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2E74B5"/>
          <w:sz w:val="20"/>
        </w:rPr>
        <w:t>TECHNICAL ARCHITECTURE &amp; ENGINEERING STANDARD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52"/>
        </w:rPr>
        <w:t>爸妈别急 · 安心下一步</w:t>
      </w:r>
    </w:p>
    <w:p>
      <w:pPr>
        <w:spacing w:after="440"/>
      </w:pPr>
      <w:r>
        <w:rPr>
          <w:rFonts w:ascii="Calibri" w:hAnsi="Calibri" w:eastAsia="Microsoft YaHei"/>
          <w:color w:val="606A74"/>
          <w:sz w:val="28"/>
        </w:rPr>
        <w:t>技术选型、架构边界、安全、测试、注释与可维护性规范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版本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v3.0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小有可为 2026 参赛工程基线（增量架构，不要求推倒重写）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日期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2026-08-12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适用范围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初赛可提交、决赛可扩展、产品化可维护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21"/>
              </w:rPr>
              <w:t>证据口径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已实现 / 已验证 / 规划中严格区分，不以设计稿替代运行证据</w:t>
            </w:r>
          </w:p>
        </w:tc>
      </w:tr>
    </w:tbl>
    <w:p>
      <w:pPr>
        <w:spacing w:before="360" w:after="0"/>
      </w:pPr>
      <w:r>
        <w:rPr>
          <w:rFonts w:ascii="Calibri" w:hAnsi="Calibri" w:eastAsia="Microsoft YaHei"/>
          <w:i/>
          <w:color w:val="606A74"/>
          <w:sz w:val="21"/>
        </w:rPr>
        <w:t>文档用途：参赛评审、产品决策、研发拆解、测试验收与后续交接。</w:t>
      </w:r>
    </w:p>
    <w:p>
      <w:r>
        <w:br w:type="page"/>
      </w:r>
    </w:p>
    <w:p>
      <w:pPr>
        <w:pStyle w:val="Heading1"/>
      </w:pPr>
      <w:r>
        <w:t>0. 架构结论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推荐方案：</w:t>
            </w:r>
            <w:r>
              <w:rPr>
                <w:rFonts w:ascii="Calibri" w:hAnsi="Calibri" w:eastAsia="Microsoft YaHei"/>
              </w:rPr>
              <w:t>保留 Next.js 16 + React 19 + TypeScript strict + Tailwind 4 的现有模块化单体。新增 application/contracts/infrastructure 边界和可替换 AI Provider；P1 前不拆微服务、不引入数据库、不做 Android 自动操作。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500"/>
        <w:gridCol w:w="3120"/>
        <w:gridCol w:w="474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选择</w:t>
            </w:r>
          </w:p>
        </w:tc>
        <w:tc>
          <w:tcPr>
            <w:tcW w:type="dxa" w:w="4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应用形态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模块化单体（Next.js App Router）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现有代码已验证；部署简单；可按领域拆边界，未来再抽服务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风险决策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确定性策略引擎优先，AI 只升不降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安全可测、可解释、模型不可用时仍工作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屏幕理解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VisionProvider + 结构化 UIObservation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隔离模型供应商，支持竞赛版 Qwen 与其他模型对比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教程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版本化任务状态机/任务包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避免 LLM 自由生成危险步骤；支持 App 改版回归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存储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 无数据库；P1 PostgreSQL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先验证闭环；需要家属端、审计检索时再引入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移动端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P0/P1 PWA/TWA；P2 再评估原生壳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不提前承担权限、发布和设备碎片化成本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0.1 赛事约束转工程约束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赛事事实/时间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工程决策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2026-08-13 24:00 初赛截止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初赛冻结当前模块化单体；不临时拆服务、不加数据库、不做自动点击。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同一提交 commit 可本地启动；录屏与现场演示走同一路由。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每赛题 Top10 入围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优先证明安全闭环与公益价值，不用模型数量代替产品完成度。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两条 LIVE 主路径 + 一条失败路径 + 已知限制。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2026-09-03 决赛材料截止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所有决赛能力通过 Feature Flag 增量加入；模型、策略、任务包独立版本化。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灰度、回滚、评测报告和 trace 可对应到版本组合。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技术+公益双评委支持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架构材料同时回答“为何需要 AI”和“老人是否真正受益”。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模型对照评测 + 老人任务观察；二者不互相替代。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实现优先级：</w:t>
            </w:r>
            <w:r>
              <w:rPr>
                <w:rFonts w:ascii="Calibri" w:hAnsi="Calibri" w:eastAsia="Microsoft YaHei"/>
              </w:rPr>
              <w:t>比赛前最后一天只修阻断问题和证据口径；架构规范是后续增量路线，不授权一次性重构现有仓库。</w:t>
            </w:r>
          </w:p>
        </w:tc>
      </w:tr>
    </w:tbl>
    <w:p>
      <w:pPr>
        <w:spacing w:after="40"/>
      </w:pPr>
    </w:p>
    <w:p>
      <w:pPr>
        <w:pStyle w:val="Heading1"/>
      </w:pPr>
      <w:r>
        <w:t>1. 设计目标与质量属性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250"/>
        <w:gridCol w:w="2900"/>
        <w:gridCol w:w="5210"/>
      </w:tblGrid>
      <w:tr>
        <w:trPr>
          <w:tblHeader w:val="true"/>
        </w:trPr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属性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5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工程措施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安全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高风险不进入指导；模型不得降低规则等级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政策引擎、判别联合类型、不变量测试、默认拒绝未知状态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可维护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领域逻辑独立于 UI/供应商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domain/application/infrastructure 分层、依赖方向检查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可扩展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替换模型、增加地区和任务包不改核心页面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Provider 接口、配置驱动、版本化契约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可测试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核心决策纯函数；外部 I/O 可注入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node:test、契约测试、固定评测集、浏览器 E2E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可观测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知道为何升级、回退、超时和拒绝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traceId、reasonCode、模型/策略版本、脱敏日志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无障碍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WCAG 2.2 AA 和工信部适老规范基线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自动对比度/axe + 真实键盘/缩放/语音兜底测试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可回滚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模型、策略、任务包可独立回滚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Feature Flag、版本号、灰度、回滚清单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当前架构与差距</w:t>
      </w:r>
    </w:p>
    <w:p>
      <w:pPr>
        <w:pStyle w:val="Heading2"/>
      </w:pPr>
      <w:r>
        <w:t>2.1 当前事实</w:t>
      </w:r>
    </w:p>
    <w:p>
      <w:pPr>
        <w:pStyle w:val="ListBullet"/>
      </w:pPr>
      <w:r>
        <w:rPr>
          <w:rFonts w:ascii="Calibri" w:hAnsi="Calibri" w:eastAsia="Microsoft YaHei"/>
        </w:rPr>
        <w:t>Next.js App Router 同时承载页面和 Route Handler；领域核心位于 src/domain，AI 增强位于 src/lib/ai。</w:t>
      </w:r>
    </w:p>
    <w:p>
      <w:pPr>
        <w:pStyle w:val="ListBullet"/>
      </w:pPr>
      <w:r>
        <w:rPr>
          <w:rFonts w:ascii="Calibri" w:hAnsi="Calibri" w:eastAsia="Microsoft YaHei"/>
        </w:rPr>
        <w:t>buildRouteForInput() 是高风险不进入 /confirm 的唯一分流点；classifyRiskByRules() 对多命中取最高风险。</w:t>
      </w:r>
    </w:p>
    <w:p>
      <w:pPr>
        <w:pStyle w:val="ListBullet"/>
      </w:pPr>
      <w:r>
        <w:rPr>
          <w:rFonts w:ascii="Calibri" w:hAnsi="Calibri" w:eastAsia="Microsoft YaHei"/>
        </w:rPr>
        <w:t>教程是人工白名单数据；AI 当前用于 LOW 语义复检和家人求助摘要改写。</w:t>
      </w:r>
    </w:p>
    <w:p>
      <w:pPr>
        <w:pStyle w:val="ListBullet"/>
      </w:pPr>
      <w:r>
        <w:rPr>
          <w:rFonts w:ascii="Calibri" w:hAnsi="Calibri" w:eastAsia="Microsoft YaHei"/>
        </w:rPr>
        <w:t>匿名 MVP 无账号、数据库和真实外部消息发送；Web Speech API 与 SpeechSynthesis 作为零依赖语音能力。</w:t>
      </w:r>
    </w:p>
    <w:p>
      <w:pPr>
        <w:pStyle w:val="ListBullet"/>
      </w:pPr>
      <w:r>
        <w:rPr>
          <w:rFonts w:ascii="Calibri" w:hAnsi="Calibri" w:eastAsia="Microsoft YaHei"/>
        </w:rPr>
        <w:t>定向测试 208 项，207 通过、1 跳过；当前 package.json 存在 Node ES module 类型警告，但不影响本轮测试通过。</w:t>
      </w:r>
    </w:p>
    <w:p>
      <w:pPr>
        <w:pStyle w:val="Heading2"/>
      </w:pPr>
      <w:r>
        <w:t>2.2 主要差距</w:t>
      </w:r>
    </w:p>
    <w:p>
      <w:pPr>
        <w:pStyle w:val="ListBullet"/>
      </w:pPr>
      <w:r>
        <w:rPr>
          <w:rFonts w:ascii="Calibri" w:hAnsi="Calibri" w:eastAsia="Microsoft YaHei"/>
        </w:rPr>
        <w:t>现有 authoritative PRD 仍包含早期技术选型候选，与已落地栈和比赛新定位存在漂移。</w:t>
      </w:r>
    </w:p>
    <w:p>
      <w:pPr>
        <w:pStyle w:val="ListBullet"/>
      </w:pPr>
      <w:r>
        <w:rPr>
          <w:rFonts w:ascii="Calibri" w:hAnsi="Calibri" w:eastAsia="Microsoft YaHei"/>
        </w:rPr>
        <w:t>屏幕理解、截图隐私、状态验证和 UNKNOWN 故障语义尚未形成协议。</w:t>
      </w:r>
    </w:p>
    <w:p>
      <w:pPr>
        <w:pStyle w:val="ListBullet"/>
      </w:pPr>
      <w:r>
        <w:rPr>
          <w:rFonts w:ascii="Calibri" w:hAnsi="Calibri" w:eastAsia="Microsoft YaHei"/>
        </w:rPr>
        <w:t>AI Provider、策略、任务包、审计事件尚未完全解耦。</w:t>
      </w:r>
    </w:p>
    <w:p>
      <w:pPr>
        <w:pStyle w:val="ListBullet"/>
      </w:pPr>
      <w:r>
        <w:rPr>
          <w:rFonts w:ascii="Calibri" w:hAnsi="Calibri" w:eastAsia="Microsoft YaHei"/>
        </w:rPr>
        <w:t>部分后端基线文档仍写“没有 HTTP 接口”，与现有 /api/route、/api/help-summary 不一致，应后续校正。</w:t>
      </w:r>
    </w:p>
    <w:p>
      <w:pPr>
        <w:pStyle w:val="ListBullet"/>
      </w:pPr>
      <w:r>
        <w:rPr>
          <w:rFonts w:ascii="Calibri" w:hAnsi="Calibri" w:eastAsia="Microsoft YaHei"/>
        </w:rPr>
        <w:t>现有 LOW AI 复检采用 fail-open；用于补漏可以接受，但不能推广到截图未知或高风险动作。</w:t>
      </w:r>
    </w:p>
    <w:p>
      <w:pPr>
        <w:pStyle w:val="Heading1"/>
      </w:pPr>
      <w:r>
        <w:t>3. 技术选型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200"/>
        <w:gridCol w:w="3000"/>
        <w:gridCol w:w="2500"/>
        <w:gridCol w:w="26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P0/P1 选择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可替换边界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不选/暂缓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Web 框架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Next.js 16.2.7 App Router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页面、Route Handler、部署适配器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不迁移 Vue/Nest；无收益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React 19.2.4 + Server/Client Components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Client 仅承载浏览器 API 与交互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不引大型组件库，避免样式和可访问性债务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类型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TypeScript strict + unknown narrowing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contracts 独立导出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禁止 any 和未校验 JSON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样式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Tailwind CSS 4 + CSS design tokens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主题/字号/对比度配置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不引 CSS-in-JS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测试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node:test + 浏览器 E2E（建议 Playwright）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领域/契约/E2E 分层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不因热度迁移 Jest/Vitest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文本模型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Provider 抽象；比赛默认百炼当前可用 Qwen/DeepSeek，经评测选型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OpenAI-compatible adapter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模型名不写死在领域层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视觉模型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Qwen 多模态作为首选候选 + 备用 Provider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UIObservation Schema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不直接信任自由文本坐标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语音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Web Speech + SpeechSynthesis 兜底；P1 Qwen ASR/TTS adapter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SpeechProvider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不在 P0 上全双工实时语音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存储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 无数据库；P1 PostgreSQL（托管商待部署地区确定）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Repository 接口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不提前引 ORM/向量库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观测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结构化日志 + 平台日志；P1 OpenTelemetry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TelemetryPort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不记录敏感原文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部署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Vercel 现状；保留 Node 兼容部署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环境配置和适配层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不绑死单一云专有 SDK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3.1 为什么不盲目追热度</w:t>
      </w:r>
    </w:p>
    <w:p>
      <w:r>
        <w:rPr>
          <w:rFonts w:ascii="Calibri" w:hAnsi="Calibri" w:eastAsia="Microsoft YaHei"/>
        </w:rPr>
        <w:t>百炼在 2026 年提供 Qwen 及第三方模型、OpenAI-compatible API、多模态和实时语音能力，适合作为比赛生态内首选候选。但模型能力、价格和区域会变化，因此“热门模型”只能存在于运行配置和评测报告，不能成为领域层依赖。模型替换必须由固定任务集的安全召回率、结构化输出通过率、延迟和成本共同决定。</w:t>
      </w:r>
    </w:p>
    <w:p>
      <w:pPr>
        <w:pStyle w:val="Heading2"/>
      </w:pPr>
      <w:r>
        <w:t>3.2 当前热门能力的候选矩阵（实施前复核可用性）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350"/>
        <w:gridCol w:w="2200"/>
        <w:gridCol w:w="3460"/>
        <w:gridCol w:w="2350"/>
      </w:tblGrid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2026 赛事页/生态候选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比赛建议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替换与降级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视觉理解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Qwen3-VL-Plus 等 Qwen 多模态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仅提取 UIObservation；坐标和按钮需任务包复核。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VisionProvider；失败转 UNKNOWN，不凭自由文本操作。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文本理解/改写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Qwen3.8-Max、Qwen3.7-Plus、DeepSeek 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风险规则之后做语义补漏、适老表达与求助摘要。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OpenAI-compatible adapter；失败回模板，不能降低风险。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语音识别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Fun-ASR / Qwen ASR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P0 保留 Web Speech；P1 针对噪声、中英混说、方言做盲测。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SpeechProvider；失败回文字输入。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语音合成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Qwen3-TTS-Flash 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P1 比较中文自然度、方言、首包延迟和成本。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浏览器 SpeechSynthesis 永远保留。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端侧模型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Gemma LiteRT 等开源方案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只在隐私/离线收益能覆盖包体、机型兼容和能耗成本时引入。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EdgeProvider；不与主流程耦合。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来源边界：</w:t>
            </w:r>
            <w:r>
              <w:rPr>
                <w:rFonts w:ascii="Calibri" w:hAnsi="Calibri" w:eastAsia="Microsoft YaHei"/>
              </w:rPr>
              <w:t>赛事页展示“热门”只证明生态宣传状态，不等于目标区域 API 已开通、价格稳定或项目评测达标。上线前必须以百炼控制台/官方 API 文档和真实 benchmark 再确认。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3.3 同类与开源制作规范的可借鉴项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500"/>
        <w:gridCol w:w="2650"/>
        <w:gridCol w:w="3320"/>
        <w:gridCol w:w="189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来源</w:t>
            </w:r>
          </w:p>
        </w:tc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值得学习</w:t>
            </w:r>
          </w:p>
        </w:tc>
        <w:tc>
          <w:tcPr>
            <w:tcW w:type="dxa" w:w="3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本项目采用方式</w:t>
            </w:r>
          </w:p>
        </w:tc>
        <w:tc>
          <w:tcPr>
            <w:tcW w:type="dxa" w:w="18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不直接照搬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UrMorning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共享屏幕、语音、一次一步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保持单步卡片、明确成功信号和求助入口。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不把实时屏幕流作为初赛前置条件。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Gemini Live / ChatGPT Voice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自然语音、多模态上下文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借鉴低摩擦输入；核心安全仍由本项目策略层负责。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不做通用助手，不默认持续采集屏幕。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Be My Eyes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AI 与人工志愿者接力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设计结构化家人求助卡与人工接管点。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不声称已有志愿者网络。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laobai-gemma-demo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guard、one-screen-one-plan、trace、replay、模型哈希校验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抽象为策略闸门、单屏单计划、证据标签和产物校验。</w:t>
            </w:r>
          </w:p>
        </w:tc>
        <w:tc>
          <w:tcPr>
            <w:tcW w:type="dxa" w:w="1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6"/>
              </w:rPr>
              <w:t>不复制无许可证代码；不采用高权限自动点击作为默认方案。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目标架构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[Browser / PWA]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UI + Speech + Screenshot Redaction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| typed request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[Next.js BFF / Route Handlers]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input validation + consent + trace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v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[Application Layer]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RouteUseCase / ObserveScreenUseCase / GuideNextStepUseCase / BuildHandoffUseCase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+-----+----------------------+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|                  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[Domain]                    [Infrastructure]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RiskPolicy                 Model Providers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TaskStateMachine           Object Storage (P1)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AllowedActionPolicy        PostgreSQL (P1)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HandoffPolicy              Telemetry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|                            |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+---------- typed ports -----+</w:t>
            </w:r>
          </w:p>
        </w:tc>
      </w:tr>
    </w:tbl>
    <w:p>
      <w:pPr>
        <w:spacing w:after="40"/>
      </w:pPr>
    </w:p>
    <w:p>
      <w:pPr>
        <w:pStyle w:val="Heading2"/>
      </w:pPr>
      <w:r>
        <w:t>4.1 依赖方向</w:t>
      </w:r>
    </w:p>
    <w:p>
      <w:pPr>
        <w:pStyle w:val="ListBullet"/>
      </w:pPr>
      <w:r>
        <w:rPr>
          <w:rFonts w:ascii="Calibri" w:hAnsi="Calibri" w:eastAsia="Microsoft YaHei"/>
        </w:rPr>
        <w:t>app/components 可以依赖 application 和 contracts；不得直接拼接模型请求或风险策略。</w:t>
      </w:r>
    </w:p>
    <w:p>
      <w:pPr>
        <w:pStyle w:val="ListBullet"/>
      </w:pPr>
      <w:r>
        <w:rPr>
          <w:rFonts w:ascii="Calibri" w:hAnsi="Calibri" w:eastAsia="Microsoft YaHei"/>
        </w:rPr>
        <w:t>application 编排用例，依赖 domain 接口与 ports；不得依赖具体云 SDK。</w:t>
      </w:r>
    </w:p>
    <w:p>
      <w:pPr>
        <w:pStyle w:val="ListBullet"/>
      </w:pPr>
      <w:r>
        <w:rPr>
          <w:rFonts w:ascii="Calibri" w:hAnsi="Calibri" w:eastAsia="Microsoft YaHei"/>
        </w:rPr>
        <w:t>domain 只包含类型、纯函数、策略和状态机；不得导入 React、Next.js、fetch、数据库或环境变量。</w:t>
      </w:r>
    </w:p>
    <w:p>
      <w:pPr>
        <w:pStyle w:val="ListBullet"/>
      </w:pPr>
      <w:r>
        <w:rPr>
          <w:rFonts w:ascii="Calibri" w:hAnsi="Calibri" w:eastAsia="Microsoft YaHei"/>
        </w:rPr>
        <w:t>infrastructure 实现 Provider/Repository/Telemetry；不得反向定义业务规则。</w:t>
      </w:r>
    </w:p>
    <w:p>
      <w:pPr>
        <w:pStyle w:val="ListBullet"/>
      </w:pPr>
      <w:r>
        <w:rPr>
          <w:rFonts w:ascii="Calibri" w:hAnsi="Calibri" w:eastAsia="Microsoft YaHei"/>
        </w:rPr>
        <w:t>contracts 是跨边界协议；任何外部输入都必须 runtime validate 后才进入 domain。</w:t>
      </w:r>
    </w:p>
    <w:p>
      <w:pPr>
        <w:pStyle w:val="Heading1"/>
      </w:pPr>
      <w:r>
        <w:t>5. 推荐目录与迁移策略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src/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app/                         # Next.js 页面与 Route Handlers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components/                  # 无业务决策的可访问 UI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domain/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risk/                      # 风险等级、策略、不变量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guidance/                  # 任务状态机、允许动作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handoff/                   # 家庭交接规则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application/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route-input.ts             # 用例编排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observe-screen.ts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guide-next-step.ts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build-handoff.ts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ports/                     # Provider / Repository / Telemetry interfaces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contracts/                   # API DTO + runtime schema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infrastructure/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ai/qwen-adapter.ts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ai/openai-compatible.ts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storage/                   # P1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telemetry/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lib/                         # 通用、无业务含义的工具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content/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task-packs/&lt;app&gt;/&lt;version&gt;/  # 审核过的任务状态与截图基线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tests/fixtures/                # 去标识化评测样本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docs/adr/                     # 架构决策记录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迁移原则：</w:t>
            </w:r>
            <w:r>
              <w:rPr>
                <w:rFonts w:ascii="Calibri" w:hAnsi="Calibri" w:eastAsia="Microsoft YaHei"/>
              </w:rPr>
              <w:t>不做大爆炸重构。先建立 ports/contracts，再把现有 src/lib/ai 适配进去；只有当第二个 Provider、数据库或家属端真正出现时，才移动对应代码。</w:t>
            </w:r>
          </w:p>
        </w:tc>
      </w:tr>
    </w:tbl>
    <w:p>
      <w:pPr>
        <w:spacing w:after="40"/>
      </w:pPr>
    </w:p>
    <w:p>
      <w:pPr>
        <w:pStyle w:val="Heading1"/>
      </w:pPr>
      <w:r>
        <w:t>6. 核心领域模型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RiskDecision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level, reasonCodes, evidence, source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多个来源取最高；AI 不得降级规则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UIObservation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appId, screenState, elements, confidence, uncertainties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Schema 有效；低置信度 -&gt; UNKNOWN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TaskPack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id, appVersionRange, states, transitions, allowedActions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发布前人工审核、版本化、可回滚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GuidanceStep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action, target, instruction, successSignal, reversible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一个步骤一个动作；动作在白名单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HandoffCard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goal, currentState, completed, risk, verifyItems, createdAt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不得包含密钥/OTP/支付密码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AuditEvent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traceId, eventType, versions, result, latency, reasonCode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不记录敏感原文；可串联复盘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6.1 判别联合返回类型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export type GuidanceDecision =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 { kind: 'guide'; risk: 'low' | 'medium'; step: GuidanceStep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 { kind: 'stop'; risk: 'high' | 'critical'; handoff: HandoffCard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 { kind: 'clarify'; risk: 'unknown'; questions: readonly string[]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| { kind: 'unsupported'; reasonCode: string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// 设计原因：调用方必须穷尽处理所有安全状态，不能把 unknown 当 low。</w:t>
            </w:r>
          </w:p>
        </w:tc>
      </w:tr>
    </w:tbl>
    <w:p>
      <w:pPr>
        <w:spacing w:after="40"/>
      </w:pPr>
    </w:p>
    <w:p>
      <w:pPr>
        <w:pStyle w:val="Heading1"/>
      </w:pPr>
      <w:r>
        <w:t>7. AI Provider 与模型治理</w:t>
      </w:r>
    </w:p>
    <w:p>
      <w:pPr>
        <w:pStyle w:val="Heading2"/>
      </w:pPr>
      <w:r>
        <w:t>7.1 Provider 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export interface VisionProvider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/**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* 仅提取可观察 UI 事实，不直接决定是否允许操作。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* 实现必须返回通过 UIObservationSchema 校验的数据。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observe(input: RedactedScreenshot, signal: AbortSignal): Promise&lt;UIObservation&gt;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export interface RiskRecheckProvider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/** AI 只能 keep 或 escalate；domain 层仍负责与规则结果取 MAX。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recheck(input: RiskRecheckInput, signal: AbortSignal): Promise&lt;AiRecheck&gt;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export interface SpeechProvider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transcribe(input: AudioChunkStream, signal: AbortSignal): Promise&lt;Transcript&gt;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synthesize(input: SafeSpeechText, signal: AbortSignal): Promise&lt;AudioStream&gt;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7.2 选型门禁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100"/>
        <w:gridCol w:w="2200"/>
        <w:gridCol w:w="50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门槛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HIGH/CRITICAL 召回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已知安全集 100%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未达标不得单独承担路由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结构化输出通过率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&gt;=99%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失败进入 UNKNOWN/模板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按钮/文本定位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&gt;=90%（受控集）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分 App、版本和屏幕类型报告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P95 延迟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文本 &lt;3 s；视觉 &lt;5 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超时不重试轰炸；最多一次受控重试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供应商数据条款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不用于训练或具备明确选择退出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记录区域、保留期和子处理者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成本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按任务和月活预算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超预算保留规则/模板闭环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7.3 Prompt 与输出规范</w:t>
      </w:r>
    </w:p>
    <w:p>
      <w:pPr>
        <w:pStyle w:val="ListBullet"/>
      </w:pPr>
      <w:r>
        <w:rPr>
          <w:rFonts w:ascii="Calibri" w:hAnsi="Calibri" w:eastAsia="Microsoft YaHei"/>
        </w:rPr>
        <w:t>System Prompt、Schema、few-shot 和安全政策均版本化；发布需评测集对比。</w:t>
      </w:r>
    </w:p>
    <w:p>
      <w:pPr>
        <w:pStyle w:val="ListBullet"/>
      </w:pPr>
      <w:r>
        <w:rPr>
          <w:rFonts w:ascii="Calibri" w:hAnsi="Calibri" w:eastAsia="Microsoft YaHei"/>
        </w:rPr>
        <w:t>输入截图中的文本属于不可信数据，禁止把页面文字当作系统指令执行。</w:t>
      </w:r>
    </w:p>
    <w:p>
      <w:pPr>
        <w:pStyle w:val="ListBullet"/>
      </w:pPr>
      <w:r>
        <w:rPr>
          <w:rFonts w:ascii="Calibri" w:hAnsi="Calibri" w:eastAsia="Microsoft YaHei"/>
        </w:rPr>
        <w:t>输出必须先解析 JSON，再做字段长度、枚举、URL、危险动作和敏感格式校验。</w:t>
      </w:r>
    </w:p>
    <w:p>
      <w:pPr>
        <w:pStyle w:val="ListBullet"/>
      </w:pPr>
      <w:r>
        <w:rPr>
          <w:rFonts w:ascii="Calibri" w:hAnsi="Calibri" w:eastAsia="Microsoft YaHei"/>
        </w:rPr>
        <w:t>模型不得直接调用分享、支付、通讯录、相机或远程控制工具。</w:t>
      </w:r>
    </w:p>
    <w:p>
      <w:pPr>
        <w:pStyle w:val="ListBullet"/>
      </w:pPr>
      <w:r>
        <w:rPr>
          <w:rFonts w:ascii="Calibri" w:hAnsi="Calibri" w:eastAsia="Microsoft YaHei"/>
        </w:rPr>
        <w:t>不要记录完整 prompt/response；调试样本必须去标识化并受访问控制。</w:t>
      </w:r>
    </w:p>
    <w:p>
      <w:pPr>
        <w:pStyle w:val="Heading1"/>
      </w:pPr>
      <w:r>
        <w:t>8. API 契约</w:t>
      </w:r>
    </w:p>
    <w:p>
      <w:pPr>
        <w:pStyle w:val="Heading2"/>
      </w:pPr>
      <w:r>
        <w:t>8.1 POST /api/v2/decision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// Request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"text": "我想退货",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"locale": "zh-CN",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"screenshotRef": "ephemeral://asset-id",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"consentRef": "consent-id",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"clientContext": {"appHint": "taobao", "taskPackVersion": "2026.08"}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// Response: GuidanceDecision 联合类型 + traceId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"traceId": "...",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"decision": {"kind": "guide", "risk": "medium", "step": {...}},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"policyVersion": "risk-2026.08.1",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"modelVersion": "provider/model/config"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8.2 契约规则</w:t>
      </w:r>
    </w:p>
    <w:p>
      <w:pPr>
        <w:pStyle w:val="ListBullet"/>
      </w:pPr>
      <w:r>
        <w:rPr>
          <w:rFonts w:ascii="Calibri" w:hAnsi="Calibri" w:eastAsia="Microsoft YaHei"/>
        </w:rPr>
        <w:t>Content-Type 仅接受 application/json；限制正文、图片尺寸、格式、数量和请求速率。</w:t>
      </w:r>
    </w:p>
    <w:p>
      <w:pPr>
        <w:pStyle w:val="ListBullet"/>
      </w:pPr>
      <w:r>
        <w:rPr>
          <w:rFonts w:ascii="Calibri" w:hAnsi="Calibri" w:eastAsia="Microsoft YaHei"/>
        </w:rPr>
        <w:t>客户端提供的 riskLevel、keywords、reason 均不可信，服务端重新计算。</w:t>
      </w:r>
    </w:p>
    <w:p>
      <w:pPr>
        <w:pStyle w:val="ListBullet"/>
      </w:pPr>
      <w:r>
        <w:rPr>
          <w:rFonts w:ascii="Calibri" w:hAnsi="Calibri" w:eastAsia="Microsoft YaHei"/>
        </w:rPr>
        <w:t>错误响应使用稳定 errorCode，不返回堆栈、密钥、内部路径或模型原始输出。</w:t>
      </w:r>
    </w:p>
    <w:p>
      <w:pPr>
        <w:pStyle w:val="ListBullet"/>
      </w:pPr>
      <w:r>
        <w:rPr>
          <w:rFonts w:ascii="Calibri" w:hAnsi="Calibri" w:eastAsia="Microsoft YaHei"/>
        </w:rPr>
        <w:t>所有变更使用 /api/v2 或兼容字段；删除/重命名字段必须提供迁移期。</w:t>
      </w:r>
    </w:p>
    <w:p>
      <w:pPr>
        <w:pStyle w:val="ListBullet"/>
      </w:pPr>
      <w:r>
        <w:rPr>
          <w:rFonts w:ascii="Calibri" w:hAnsi="Calibri" w:eastAsia="Microsoft YaHei"/>
        </w:rPr>
        <w:t>涉及分享或持久化的写操作采用幂等键和明确用户确认。</w:t>
      </w:r>
    </w:p>
    <w:p>
      <w:pPr>
        <w:pStyle w:val="Heading1"/>
      </w:pPr>
      <w:r>
        <w:t>9. 数据与存储架构</w:t>
      </w:r>
    </w:p>
    <w:p>
      <w:pPr>
        <w:pStyle w:val="Heading2"/>
      </w:pPr>
      <w:r>
        <w:t>9.1 P0 无数据库</w:t>
      </w:r>
    </w:p>
    <w:p>
      <w:r>
        <w:rPr>
          <w:rFonts w:ascii="Calibri" w:hAnsi="Calibri" w:eastAsia="Microsoft YaHei"/>
        </w:rPr>
        <w:t>初赛阶段继续匿名短会话：截图通过短时对象引用传递，处理后删除；页面状态和决策仅存在内存/请求上下文；日志只保存 hash、长度、版本、reasonCode 和延迟。这样可以避免在闭环尚未验证时引入账户、数据库和数据删除流程。</w:t>
      </w:r>
    </w:p>
    <w:p>
      <w:pPr>
        <w:pStyle w:val="Heading2"/>
      </w:pPr>
      <w:r>
        <w:t>9.2 P1 PostgreSQL 触发条件</w:t>
      </w:r>
    </w:p>
    <w:p>
      <w:pPr>
        <w:pStyle w:val="ListBullet"/>
      </w:pPr>
      <w:r>
        <w:rPr>
          <w:rFonts w:ascii="Calibri" w:hAnsi="Calibri" w:eastAsia="Microsoft YaHei"/>
        </w:rPr>
        <w:t>需要可信联系人、跨设备家属端、教程审核、审计查询或多租户机构管理。</w:t>
      </w:r>
    </w:p>
    <w:p>
      <w:pPr>
        <w:pStyle w:val="ListBullet"/>
      </w:pPr>
      <w:r>
        <w:rPr>
          <w:rFonts w:ascii="Calibri" w:hAnsi="Calibri" w:eastAsia="Microsoft YaHei"/>
        </w:rPr>
        <w:t>引入前完成数据字典、保留期、删除/导出流程、访问控制和迁移/备份策略。</w:t>
      </w:r>
    </w:p>
    <w:p>
      <w:pPr>
        <w:pStyle w:val="ListBullet"/>
      </w:pPr>
      <w:r>
        <w:rPr>
          <w:rFonts w:ascii="Calibri" w:hAnsi="Calibri" w:eastAsia="Microsoft YaHei"/>
        </w:rPr>
        <w:t>领域层依赖 Repository 接口；数据库实现不得渗入 React 组件或纯策略函数。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700"/>
        <w:gridCol w:w="2700"/>
        <w:gridCol w:w="1200"/>
        <w:gridCol w:w="37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建议表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敏感级别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sessions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短会话和状态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TTL、无原始 OTP、用户可删除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trusted_contacts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家属关系与渠道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高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单独同意、加密、最小权限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task_packs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任务状态与版本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低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审核/发布/回滚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audit_events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策略与模型决策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脱敏、追加写、受限访问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evaluation_cases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去标识化评测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来源、许可、样本版本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安全与隐私工程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控制域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输入验证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外部 JSON、URL、图片、模型输出全部 runtime validate；拒绝未知字段或显式忽略并记录。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认证/授权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P0 匿名只允许无持久化能力；P1 采用成熟身份服务，角色与资源所有权双重校验。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密钥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仅服务端环境变量/Secret Manager；不进入 NEXT_PUBLIC、日志、截图和客户端包。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网络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TLS；限制外联域；设置超时、AbortSignal、速率、预算和熔断。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LLM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防直接/间接 Prompt Injection；页面文字不可信；Schema + Policy + Allowed Action 三道闸。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日志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结构化脱敏；禁止原始截图、语音、OTP、卡号、身份证、支付密码。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供应链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锁定 pnpm lockfile；依赖审计；核心包升级需 changelog、全测和回滚。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移动端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若引入原生壳，按 MASVS STORAGE/NETWORK/PLATFORM/PRIVACY 建立检查表。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威胁建模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每个涉及截图、家属发送、账号或工具调用的变更更新数据流与滥用案例。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6DCE5"/>
          <w:left w:val="single" w:sz="4" w:space="0" w:color="D6DCE5"/>
          <w:bottom w:val="single" w:sz="4" w:space="0" w:color="D6DCE5"/>
          <w:right w:val="single" w:sz="4" w:space="0" w:color="D6DCE5"/>
          <w:insideH w:val="single" w:sz="4" w:space="0" w:color="D6DCE5"/>
          <w:insideV w:val="single" w:sz="4" w:space="0" w:color="D6DC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B2545"/>
              </w:rPr>
              <w:t>故障策略：</w:t>
            </w:r>
            <w:r>
              <w:rPr>
                <w:rFonts w:ascii="Calibri" w:hAnsi="Calibri" w:eastAsia="Microsoft YaHei"/>
              </w:rPr>
              <w:t>技术故障可以 fail-operational 到规则/模板；安全不确定性必须 fail-safe 到 UNKNOWN/STOP。两者不得共用一个“fail-open”标签。</w:t>
            </w:r>
          </w:p>
        </w:tc>
      </w:tr>
    </w:tbl>
    <w:p>
      <w:pPr>
        <w:spacing w:after="40"/>
      </w:pPr>
    </w:p>
    <w:p>
      <w:pPr>
        <w:pStyle w:val="Heading1"/>
      </w:pPr>
      <w:r>
        <w:t>11. 无障碍工程规范</w:t>
      </w:r>
    </w:p>
    <w:p>
      <w:pPr>
        <w:pStyle w:val="ListBullet"/>
      </w:pPr>
      <w:r>
        <w:rPr>
          <w:rFonts w:ascii="Calibri" w:hAnsi="Calibri" w:eastAsia="Microsoft YaHei"/>
        </w:rPr>
        <w:t>以 WCAG 2.2 AA 为发布基线；主按钮内部标准 min-height 64 px；正文至少 18 px，关键步骤 24 px 以上。</w:t>
      </w:r>
    </w:p>
    <w:p>
      <w:pPr>
        <w:pStyle w:val="ListBullet"/>
      </w:pPr>
      <w:r>
        <w:rPr>
          <w:rFonts w:ascii="Calibri" w:hAnsi="Calibri" w:eastAsia="Microsoft YaHei"/>
        </w:rPr>
        <w:t>语义 HTML 优先；button、label、heading、status/alert 保持正确语义；禁止用 div 模拟按钮。</w:t>
      </w:r>
    </w:p>
    <w:p>
      <w:pPr>
        <w:pStyle w:val="ListBullet"/>
      </w:pPr>
      <w:r>
        <w:rPr>
          <w:rFonts w:ascii="Calibri" w:hAnsi="Calibri" w:eastAsia="Microsoft YaHei"/>
        </w:rPr>
        <w:t>支持键盘、触摸、语音和文字；任何仅语音功能必须有可见替代。</w:t>
      </w:r>
    </w:p>
    <w:p>
      <w:pPr>
        <w:pStyle w:val="ListBullet"/>
      </w:pPr>
      <w:r>
        <w:rPr>
          <w:rFonts w:ascii="Calibri" w:hAnsi="Calibri" w:eastAsia="Microsoft YaHei"/>
        </w:rPr>
        <w:t>200% 文本缩放、320/375 px 竖屏、系统深色/高对比设置下不裁切关键操作。</w:t>
      </w:r>
    </w:p>
    <w:p>
      <w:pPr>
        <w:pStyle w:val="ListBullet"/>
      </w:pPr>
      <w:r>
        <w:rPr>
          <w:rFonts w:ascii="Calibri" w:hAnsi="Calibri" w:eastAsia="Microsoft YaHei"/>
        </w:rPr>
        <w:t>动效遵循 prefers-reduced-motion；不使用闪烁和无休止自动播放。</w:t>
      </w:r>
    </w:p>
    <w:p>
      <w:pPr>
        <w:pStyle w:val="ListBullet"/>
      </w:pPr>
      <w:r>
        <w:rPr>
          <w:rFonts w:ascii="Calibri" w:hAnsi="Calibri" w:eastAsia="Microsoft YaHei"/>
        </w:rPr>
        <w:t>自动检测不能替代人工：每个关键流程做键盘、读屏、放大和真实老人可用性验证。</w:t>
      </w:r>
    </w:p>
    <w:p>
      <w:pPr>
        <w:pStyle w:val="Heading1"/>
      </w:pPr>
      <w:r>
        <w:t>12. 性能、可靠性与可观测性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5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规则路由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P95 &lt;200 ms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纯函数、本地执行、无外部依赖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文本 AI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P95 &lt;3 s，硬超时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AbortSignal、一次调用、模板回退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视觉 AI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P95 &lt;5 s，硬超时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压缩/裁剪、受控重试、UNKNOWN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页面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弱网可见骨架和取消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Server Component、渐进增强、无阻塞主 CTA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可用性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AI 故障不阻断风险提醒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规则、模板、剪贴板独立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日志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100% 决策有 traceId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route/observe/policy/handoff 事件链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告警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错误率、回退率、危险输出、预算异常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按版本/Provider/地区分组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12.1 结构化事件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"event": "decision.completed",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"traceId": "...",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"policyVersion": "risk-2026.08.1",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"model": "provider/model/config",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"inputHash": "sha256-prefix",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"decision": "stop",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"reasonCodes": ["OTP_REQUEST"],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"latencyMs": 412,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"fallback": false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// 禁止字段：rawText、rawScreenshot、otp、bankAccount、paymentPassword。</w:t>
            </w:r>
          </w:p>
        </w:tc>
      </w:tr>
    </w:tbl>
    <w:p>
      <w:pPr>
        <w:spacing w:after="40"/>
      </w:pPr>
    </w:p>
    <w:p>
      <w:pPr>
        <w:pStyle w:val="Heading1"/>
      </w:pPr>
      <w:r>
        <w:t>13. 测试与质量门禁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320"/>
        <w:gridCol w:w="2760"/>
        <w:gridCol w:w="2280"/>
        <w:gridCol w:w="3000"/>
      </w:tblGrid>
      <w:tr>
        <w:trPr>
          <w:tblHeader w:val="true"/>
        </w:trPr>
        <w:tc>
          <w:tcPr>
            <w:tcW w:type="dxa" w:w="1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覆盖</w:t>
            </w:r>
          </w:p>
        </w:tc>
        <w:tc>
          <w:tcPr>
            <w:tcW w:type="dxa" w:w="22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工具/方式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发布门禁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Domain 单测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风险 MAX、路由、任务状态、求助卡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node:test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100% 通过；安全分支禁止 skip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契约测试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API DTO、Provider、Schema、错误码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固定 fixtures + mock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向后兼容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安全评测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Prompt Injection、敏感信息、危险动作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OWASP LLM 风险集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危险指导 0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视觉评测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页面状态、按钮、遮挡、模糊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去标识化截图集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按 App/版本报告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组件/无障碍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语义、焦点、对比度、缩放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axe + 人工键盘/读屏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关键路径无严重问题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E2E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低/中/高风险三条闭环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Playwright/真实浏览器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生产构建上通过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真实用户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理解率、完成率、误触、求助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任务观察 + 访谈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报告样本量与失败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13.1 当前已验证</w:t>
      </w:r>
    </w:p>
    <w:p>
      <w:r>
        <w:rPr>
          <w:rFonts w:ascii="Calibri" w:hAnsi="Calibri" w:eastAsia="Microsoft YaHei"/>
        </w:rPr>
        <w:t>2026-08-11 直接使用仓库既定的 node --test 运行 src/**/*.test.ts：208 项测试，207 通过、0 失败、1 跳过。该结果只证明本地定向测试；本轮未执行生产构建、真实外部模型、在线部署或真实老人测试。</w:t>
      </w:r>
    </w:p>
    <w:p>
      <w:pPr>
        <w:pStyle w:val="Heading1"/>
      </w:pPr>
      <w:r>
        <w:t>14. CI/CD 与版本治理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1.  Pull Request：安装锁定依赖、单测、类型检查、生产构建、依赖检查、无障碍静态检查。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2.  安全相关文件：必须由安全/产品共同审查，附风险用例和回滚方案。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3.  模型/Prompt/策略/任务包：各自有版本号；灰度时记录版本组合，不使用“latest”。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4.  部署：Preview -&gt; Staging -&gt; Production；生产开关默认关闭新 Provider，验证后逐步放量。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5.  回滚：代码、策略、任务包和模型配置均可独立回滚；不通过重新发布代码才能停模型。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</w:rPr>
        <w:t>6.  证据：保存测试报告、评测摘要、变更记录和已知限制，不以退出码 0 代替业务验收。</w:t>
      </w:r>
    </w:p>
    <w:p>
      <w:pPr>
        <w:pStyle w:val="Heading1"/>
      </w:pPr>
      <w:r>
        <w:t>15. 编码与注释规范</w:t>
      </w:r>
    </w:p>
    <w:p>
      <w:pPr>
        <w:pStyle w:val="Heading2"/>
      </w:pPr>
      <w:r>
        <w:t>15.1 TypeScript 规范</w:t>
      </w:r>
    </w:p>
    <w:p>
      <w:pPr>
        <w:pStyle w:val="ListBullet"/>
      </w:pPr>
      <w:r>
        <w:rPr>
          <w:rFonts w:ascii="Calibri" w:hAnsi="Calibri" w:eastAsia="Microsoft YaHei"/>
        </w:rPr>
        <w:t>strict 保持开启；禁止 any；外部输入从 unknown 开始，经 runtime validation 收敛。</w:t>
      </w:r>
    </w:p>
    <w:p>
      <w:pPr>
        <w:pStyle w:val="ListBullet"/>
      </w:pPr>
      <w:r>
        <w:rPr>
          <w:rFonts w:ascii="Calibri" w:hAnsi="Calibri" w:eastAsia="Microsoft YaHei"/>
        </w:rPr>
        <w:t>领域对象优先 readonly；安全状态用联合类型和穷尽检查，禁止散落字符串判断。</w:t>
      </w:r>
    </w:p>
    <w:p>
      <w:pPr>
        <w:pStyle w:val="ListBullet"/>
      </w:pPr>
      <w:r>
        <w:rPr>
          <w:rFonts w:ascii="Calibri" w:hAnsi="Calibri" w:eastAsia="Microsoft YaHei"/>
        </w:rPr>
        <w:t>纯函数放 domain；I/O、时间、随机数和环境变量通过参数或 port 注入。</w:t>
      </w:r>
    </w:p>
    <w:p>
      <w:pPr>
        <w:pStyle w:val="ListBullet"/>
      </w:pPr>
      <w:r>
        <w:rPr>
          <w:rFonts w:ascii="Calibri" w:hAnsi="Calibri" w:eastAsia="Microsoft YaHei"/>
        </w:rPr>
        <w:t>一个模块一个明确职责；超过一个变化原因时拆分；不为假设中的未来提前建抽象。</w:t>
      </w:r>
    </w:p>
    <w:p>
      <w:pPr>
        <w:pStyle w:val="ListBullet"/>
      </w:pPr>
      <w:r>
        <w:rPr>
          <w:rFonts w:ascii="Calibri" w:hAnsi="Calibri" w:eastAsia="Microsoft YaHei"/>
        </w:rPr>
        <w:t>导出接口、公共函数和安全不变量使用 TSDoc；内部简单实现不写无意义注释。</w:t>
      </w:r>
    </w:p>
    <w:p>
      <w:pPr>
        <w:pStyle w:val="Heading2"/>
      </w:pPr>
      <w:r>
        <w:t>15.2 注释原则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应写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不应写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为什么存在、风险假设、不变量、失败策略、非直觉取舍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重复代码字面行为，如“把 i 加 1”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修改需要同步哪些测试/文档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长篇历史记录；历史放 ADR/commit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外部协议、单位、上限、敏感边界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TODO 无负责人/原因/退出条件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安全函数的输入、输出、禁止行为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把注释当测试；注释与代码冲突时仍算缺陷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15.3 推荐文件头与安全函数示例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DE2"/>
          <w:left w:val="single" w:sz="4" w:space="0" w:color="DADDE2"/>
          <w:bottom w:val="single" w:sz="4" w:space="0" w:color="DADDE2"/>
          <w:right w:val="single" w:sz="4" w:space="0" w:color="DADDE2"/>
          <w:insideH w:val="single" w:sz="4" w:space="0" w:color="DADDE2"/>
          <w:insideV w:val="single" w:sz="4" w:space="0" w:color="DADD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sz w:val="17"/>
              </w:rPr>
              <w:t>/**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[文件说明]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职责：将规则、视觉观察和任务状态合并为 GuidanceDecision。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安全不变量：AI 不能降低规则风险；UNKNOWN 不能进入 guide。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输入：已通过 runtime schema 的 DecisionInput。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输出：穷尽的 GuidanceDecision 联合类型。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失败：Provider 异常转 unknown/stop，不抛出敏感信息。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 验证：修改后运行 decision-policy.test.ts 与高风险 E2E。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*/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export function decideNext(input: DecisionInput): GuidanceDecision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const ruleRisk = classifyRiskByRules(input.text)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// 这里取 MAX 是安全保险丝：任何模型或页面观察都只能升级，不能降级。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const finalRisk = maxRisk(ruleRisk.level, input.aiRisk?.level ?? 'low')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if (shouldStopGuidance(finalRisk))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return buildStopDecision(input, finalRisk)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// 屏幕无法可靠识别时不猜按钮；让用户重拍、补充描述或找家人。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if (!input.observation || input.observation.confidence &lt; MIN_GUIDANCE_CONFIDENCE) {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  return { kind: 'clarify', risk: 'unknown', questions: SCREEN_CLARIFY_QUESTIONS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 xml:space="preserve">  return matchApprovedTaskState(input, finalRisk)</w:t>
            </w:r>
            <w:r>
              <w:br/>
            </w:r>
            <w:r>
              <w:rPr>
                <w:rFonts w:ascii="Consolas" w:hAnsi="Consolas" w:eastAsia="Microsoft YaHei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15.4 TODO 与 ADR</w:t>
      </w:r>
    </w:p>
    <w:p>
      <w:pPr>
        <w:pStyle w:val="ListBullet"/>
      </w:pPr>
      <w:r>
        <w:rPr>
          <w:rFonts w:ascii="Calibri" w:hAnsi="Calibri" w:eastAsia="Microsoft YaHei"/>
        </w:rPr>
        <w:t>TODO 格式：TODO(owner, YYYY-MM-DD): 原因；退出条件；关联 issue。</w:t>
      </w:r>
    </w:p>
    <w:p>
      <w:pPr>
        <w:pStyle w:val="ListBullet"/>
      </w:pPr>
      <w:r>
        <w:rPr>
          <w:rFonts w:ascii="Calibri" w:hAnsi="Calibri" w:eastAsia="Microsoft YaHei"/>
        </w:rPr>
        <w:t>跨模块、公共 API、安全哲学、数据存储、模型供应商和权限变更必须写 ADR。</w:t>
      </w:r>
    </w:p>
    <w:p>
      <w:pPr>
        <w:pStyle w:val="ListBullet"/>
      </w:pPr>
      <w:r>
        <w:rPr>
          <w:rFonts w:ascii="Calibri" w:hAnsi="Calibri" w:eastAsia="Microsoft YaHei"/>
        </w:rPr>
        <w:t>ADR 至少包含：背景、决策、备选、后果、风险、验证和回滚。</w:t>
      </w:r>
    </w:p>
    <w:p>
      <w:pPr>
        <w:pStyle w:val="Heading1"/>
      </w:pPr>
      <w:r>
        <w:t>16. 依赖、配置与升级规范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7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新增依赖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先证明标准库/浏览器 API/现有依赖不能满足；记录体积、许可证、维护状态和安全风险。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核心升级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Next/React/Node/pnpm 大版本前读官方迁移文档；全测、构建、三条 E2E 和回滚。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模型配置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环境变量保存 provider/baseUrl/model/timeout/budget；领域层不得读取 env。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Feature Flag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新 Provider、截图、家属发送、持久化默认关闭；开关可快速止损。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Secret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本地 .env.local、生产 Secret Manager；样例只放占位，不提交真实值。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地区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API key 与端点按区域隔离；部署前核对数据流向和供应商条款。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17. 扩展路线与触发条件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000"/>
        <w:gridCol w:w="3840"/>
        <w:gridCol w:w="352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扩展</w:t>
            </w:r>
          </w:p>
        </w:tc>
        <w:tc>
          <w:tcPr>
            <w:tcW w:type="dxa" w:w="3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现在如何预留</w:t>
            </w:r>
          </w:p>
        </w:tc>
        <w:tc>
          <w:tcPr>
            <w:tcW w:type="dxa" w:w="3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何时实施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第二模型供应商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Provider 接口 + 统一 Schema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当前模型不可用/评测明显更差/成本不可控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PostgreSQL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Repository port + 无状态用例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真实家属端、审核后台或审计检索出现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原生 App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Web 核心协议、PWA/TWA 先验证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需要系统分享、端侧遮挡、推送或稳定语音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实时屏幕流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单张截图协议先稳定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隐私评审、设备验证、成本与准确率达标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多语言/方言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locale 与内容包解耦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目标社区样本和评测集具备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机构多租户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策略/任务包版本化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有两个以上机构试点和权限模型需求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18. 研发完成检查表</w:t>
      </w:r>
    </w:p>
    <w:p>
      <w:pPr>
        <w:pStyle w:val="ListBullet"/>
      </w:pPr>
      <w:r>
        <w:rPr>
          <w:rFonts w:ascii="Calibri" w:hAnsi="Calibri" w:eastAsia="Microsoft YaHei"/>
        </w:rPr>
        <w:t>需求和非目标已映射到 issue/任务；无未经授权的范围扩张。</w:t>
      </w:r>
    </w:p>
    <w:p>
      <w:pPr>
        <w:pStyle w:val="ListBullet"/>
      </w:pPr>
      <w:r>
        <w:rPr>
          <w:rFonts w:ascii="Calibri" w:hAnsi="Calibri" w:eastAsia="Microsoft YaHei"/>
        </w:rPr>
        <w:t>domain/application/infrastructure 依赖方向无反转；外部输入已校验。</w:t>
      </w:r>
    </w:p>
    <w:p>
      <w:pPr>
        <w:pStyle w:val="ListBullet"/>
      </w:pPr>
      <w:r>
        <w:rPr>
          <w:rFonts w:ascii="Calibri" w:hAnsi="Calibri" w:eastAsia="Microsoft YaHei"/>
        </w:rPr>
        <w:t>规则风险不变量、UNKNOWN、故障和人工接管均有测试。</w:t>
      </w:r>
    </w:p>
    <w:p>
      <w:pPr>
        <w:pStyle w:val="ListBullet"/>
      </w:pPr>
      <w:r>
        <w:rPr>
          <w:rFonts w:ascii="Calibri" w:hAnsi="Calibri" w:eastAsia="Microsoft YaHei"/>
        </w:rPr>
        <w:t>无敏感数据进入日志；上传、保留、删除和分享均有用户控制。</w:t>
      </w:r>
    </w:p>
    <w:p>
      <w:pPr>
        <w:pStyle w:val="ListBullet"/>
      </w:pPr>
      <w:r>
        <w:rPr>
          <w:rFonts w:ascii="Calibri" w:hAnsi="Calibri" w:eastAsia="Microsoft YaHei"/>
        </w:rPr>
        <w:t>WCAG 关键路径、375 px、200% 缩放、键盘和语音兜底已验证。</w:t>
      </w:r>
    </w:p>
    <w:p>
      <w:pPr>
        <w:pStyle w:val="ListBullet"/>
      </w:pPr>
      <w:r>
        <w:rPr>
          <w:rFonts w:ascii="Calibri" w:hAnsi="Calibri" w:eastAsia="Microsoft YaHei"/>
        </w:rPr>
        <w:t>模型、Prompt、策略和任务包版本可追踪；评测集通过。</w:t>
      </w:r>
    </w:p>
    <w:p>
      <w:pPr>
        <w:pStyle w:val="ListBullet"/>
      </w:pPr>
      <w:r>
        <w:rPr>
          <w:rFonts w:ascii="Calibri" w:hAnsi="Calibri" w:eastAsia="Microsoft YaHei"/>
        </w:rPr>
        <w:t>单测、类型检查、构建、E2E、安全/依赖检查通过；失败事实已记录。</w:t>
      </w:r>
    </w:p>
    <w:p>
      <w:pPr>
        <w:pStyle w:val="ListBullet"/>
      </w:pPr>
      <w:r>
        <w:rPr>
          <w:rFonts w:ascii="Calibri" w:hAnsi="Calibri" w:eastAsia="Microsoft YaHei"/>
        </w:rPr>
        <w:t>PRD、架构、API、数据字典、ADR、运维和回滚文档已同步。</w:t>
      </w:r>
    </w:p>
    <w:p>
      <w:pPr>
        <w:pStyle w:val="Heading1"/>
      </w:pPr>
      <w:r>
        <w:t>附录 A：标准映射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CED6"/>
          <w:left w:val="single" w:sz="6" w:space="0" w:color="C9CED6"/>
          <w:bottom w:val="single" w:sz="6" w:space="0" w:color="C9CED6"/>
          <w:right w:val="single" w:sz="6" w:space="0" w:color="C9CED6"/>
          <w:insideH w:val="single" w:sz="6" w:space="0" w:color="C9CED6"/>
          <w:insideV w:val="single" w:sz="6" w:space="0" w:color="C9CED6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标准</w:t>
            </w:r>
          </w:p>
        </w:tc>
        <w:tc>
          <w:tcPr>
            <w:tcW w:type="dxa" w:w="6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项目落点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WCAG 2.2 / ISO/IEC 40500:2025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页面语义、对比度、目标尺寸、焦点、输入帮助、状态消息和完整流程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工信部适老化规范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无衬线字体、字号调节、18 pt 以上主要文字、1.3 行距、流程简化和语音替代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OWASP ASVS 5.0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输入验证、错误处理、访问控制、日志、依赖和安全测试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OWASP LLM Top 10 / LLMSVS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Prompt Injection、敏感披露、结构化输出、工具边界和模型治理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OWASP MASVS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未来原生端存储、网络、平台、代码和隐私控制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NIST AI RMF GenAI Profile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Map/Measure/Manage/Govern、固定评测集、风险登记和持续监控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ISO/IEC 42001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模型/策略版本、角色责任、变更、事件、持续改进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个人信息保护法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7"/>
              </w:rPr>
              <w:t>明确目的、最小范围、透明、敏感信息单独同意和删除权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附录 B：参考资料</w:t>
      </w:r>
    </w:p>
    <w:p>
      <w:r>
        <w:rPr>
          <w:rFonts w:ascii="Calibri" w:hAnsi="Calibri" w:eastAsia="Microsoft YaHei"/>
          <w:sz w:val="19"/>
        </w:rPr>
        <w:t xml:space="preserve">1.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小有可为 2026 官方赛事页</w:t>
        </w:r>
      </w:hyperlink>
      <w:r>
        <w:rPr>
          <w:rFonts w:ascii="Calibri" w:hAnsi="Calibri" w:eastAsia="Microsoft YaHei"/>
          <w:color w:val="606A74"/>
          <w:sz w:val="19"/>
        </w:rPr>
        <w:t xml:space="preserve"> — 赛题、赛程、晋级范围与参赛支持；访问日期 2026-08-12</w:t>
      </w:r>
    </w:p>
    <w:p>
      <w:r>
        <w:rPr>
          <w:rFonts w:ascii="Calibri" w:hAnsi="Calibri" w:eastAsia="Microsoft YaHei"/>
          <w:sz w:val="19"/>
        </w:rPr>
        <w:t xml:space="preserve">2.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小有可为 2026 初赛作品提交页</w:t>
        </w:r>
      </w:hyperlink>
      <w:r>
        <w:rPr>
          <w:rFonts w:ascii="Calibri" w:hAnsi="Calibri" w:eastAsia="Microsoft YaHei"/>
          <w:color w:val="606A74"/>
          <w:sz w:val="19"/>
        </w:rPr>
        <w:t xml:space="preserve"> — 官方初赛材料提交入口；提交前须再次核对页面字段</w:t>
      </w:r>
    </w:p>
    <w:p>
      <w:r>
        <w:rPr>
          <w:rFonts w:ascii="Calibri" w:hAnsi="Calibri" w:eastAsia="Microsoft YaHei"/>
          <w:sz w:val="19"/>
        </w:rPr>
        <w:t xml:space="preserve">3.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laobai-gemma-demo</w:t>
        </w:r>
      </w:hyperlink>
      <w:r>
        <w:rPr>
          <w:rFonts w:ascii="Calibri" w:hAnsi="Calibri" w:eastAsia="Microsoft YaHei"/>
          <w:color w:val="606A74"/>
          <w:sz w:val="19"/>
        </w:rPr>
        <w:t xml:space="preserve"> — 端侧模型、屏幕坐标动作、guard、trace 与 replay 的开源参考；仓库未见许可证，本文仅作设计研究</w:t>
      </w:r>
    </w:p>
    <w:p>
      <w:r>
        <w:rPr>
          <w:rFonts w:ascii="Calibri" w:hAnsi="Calibri" w:eastAsia="Microsoft YaHei"/>
          <w:sz w:val="19"/>
        </w:rPr>
        <w:t xml:space="preserve">4.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UrMorning</w:t>
        </w:r>
      </w:hyperlink>
      <w:r>
        <w:rPr>
          <w:rFonts w:ascii="Calibri" w:hAnsi="Calibri" w:eastAsia="Microsoft YaHei"/>
          <w:color w:val="606A74"/>
          <w:sz w:val="19"/>
        </w:rPr>
        <w:t xml:space="preserve"> — 老年人屏幕共享、逐步语音指导的直接同类产品</w:t>
      </w:r>
    </w:p>
    <w:p>
      <w:r>
        <w:rPr>
          <w:rFonts w:ascii="Calibri" w:hAnsi="Calibri" w:eastAsia="Microsoft YaHei"/>
          <w:sz w:val="19"/>
        </w:rPr>
        <w:t xml:space="preserve">5.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Gemini Live 屏幕共享</w:t>
        </w:r>
      </w:hyperlink>
      <w:r>
        <w:rPr>
          <w:rFonts w:ascii="Calibri" w:hAnsi="Calibri" w:eastAsia="Microsoft YaHei"/>
          <w:color w:val="606A74"/>
          <w:sz w:val="19"/>
        </w:rPr>
        <w:t xml:space="preserve"> — 通用多模态屏幕问答的替代方案</w:t>
      </w:r>
    </w:p>
    <w:p>
      <w:r>
        <w:rPr>
          <w:rFonts w:ascii="Calibri" w:hAnsi="Calibri" w:eastAsia="Microsoft YaHei"/>
          <w:sz w:val="19"/>
        </w:rPr>
        <w:t xml:space="preserve">6.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ChatGPT Voice 屏幕共享</w:t>
        </w:r>
      </w:hyperlink>
      <w:r>
        <w:rPr>
          <w:rFonts w:ascii="Calibri" w:hAnsi="Calibri" w:eastAsia="Microsoft YaHei"/>
          <w:color w:val="606A74"/>
          <w:sz w:val="19"/>
        </w:rPr>
        <w:t xml:space="preserve"> — 通用语音与屏幕共享能力</w:t>
      </w:r>
    </w:p>
    <w:p>
      <w:r>
        <w:rPr>
          <w:rFonts w:ascii="Calibri" w:hAnsi="Calibri" w:eastAsia="Microsoft YaHei"/>
          <w:sz w:val="19"/>
        </w:rPr>
        <w:t xml:space="preserve">7.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Be My Eyes</w:t>
        </w:r>
      </w:hyperlink>
      <w:r>
        <w:rPr>
          <w:rFonts w:ascii="Calibri" w:hAnsi="Calibri" w:eastAsia="Microsoft YaHei"/>
          <w:color w:val="606A74"/>
          <w:sz w:val="19"/>
        </w:rPr>
        <w:t xml:space="preserve"> — 视觉辅助、AI 描述和人工志愿者升级路径</w:t>
      </w:r>
    </w:p>
    <w:p>
      <w:r>
        <w:rPr>
          <w:rFonts w:ascii="Calibri" w:hAnsi="Calibri" w:eastAsia="Microsoft YaHei"/>
          <w:sz w:val="19"/>
        </w:rPr>
        <w:t xml:space="preserve">8.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WCAG 2.2</w:t>
        </w:r>
      </w:hyperlink>
      <w:r>
        <w:rPr>
          <w:rFonts w:ascii="Calibri" w:hAnsi="Calibri" w:eastAsia="Microsoft YaHei"/>
          <w:color w:val="606A74"/>
          <w:sz w:val="19"/>
        </w:rPr>
        <w:t xml:space="preserve"> — Web 无障碍可感知、可操作、可理解、健壮性要求</w:t>
      </w:r>
    </w:p>
    <w:p>
      <w:r>
        <w:rPr>
          <w:rFonts w:ascii="Calibri" w:hAnsi="Calibri" w:eastAsia="Microsoft YaHei"/>
          <w:sz w:val="19"/>
        </w:rPr>
        <w:t xml:space="preserve">9.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工信部互联网应用适老化及无障碍改造规范</w:t>
        </w:r>
      </w:hyperlink>
      <w:r>
        <w:rPr>
          <w:rFonts w:ascii="Calibri" w:hAnsi="Calibri" w:eastAsia="Microsoft YaHei"/>
          <w:color w:val="606A74"/>
          <w:sz w:val="19"/>
        </w:rPr>
        <w:t xml:space="preserve"> — 适老字体、行距、流程简化与多种操作方式</w:t>
      </w:r>
    </w:p>
    <w:p>
      <w:r>
        <w:rPr>
          <w:rFonts w:ascii="Calibri" w:hAnsi="Calibri" w:eastAsia="Microsoft YaHei"/>
          <w:sz w:val="19"/>
        </w:rPr>
        <w:t xml:space="preserve">10.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OWASP ASVS 5.0</w:t>
        </w:r>
      </w:hyperlink>
      <w:r>
        <w:rPr>
          <w:rFonts w:ascii="Calibri" w:hAnsi="Calibri" w:eastAsia="Microsoft YaHei"/>
          <w:color w:val="606A74"/>
          <w:sz w:val="19"/>
        </w:rPr>
        <w:t xml:space="preserve"> — Web 应用安全验证基线</w:t>
      </w:r>
    </w:p>
    <w:p>
      <w:r>
        <w:rPr>
          <w:rFonts w:ascii="Calibri" w:hAnsi="Calibri" w:eastAsia="Microsoft YaHei"/>
          <w:sz w:val="19"/>
        </w:rPr>
        <w:t xml:space="preserve">11.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OWASP LLM Top 10 2025</w:t>
        </w:r>
      </w:hyperlink>
      <w:r>
        <w:rPr>
          <w:rFonts w:ascii="Calibri" w:hAnsi="Calibri" w:eastAsia="Microsoft YaHei"/>
          <w:color w:val="606A74"/>
          <w:sz w:val="19"/>
        </w:rPr>
        <w:t xml:space="preserve"> — Prompt Injection、敏感信息披露等生成式 AI 风险</w:t>
      </w:r>
    </w:p>
    <w:p>
      <w:r>
        <w:rPr>
          <w:rFonts w:ascii="Calibri" w:hAnsi="Calibri" w:eastAsia="Microsoft YaHei"/>
          <w:sz w:val="19"/>
        </w:rPr>
        <w:t xml:space="preserve">12.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NIST AI RMF GenAI Profile</w:t>
        </w:r>
      </w:hyperlink>
      <w:r>
        <w:rPr>
          <w:rFonts w:ascii="Calibri" w:hAnsi="Calibri" w:eastAsia="Microsoft YaHei"/>
          <w:color w:val="606A74"/>
          <w:sz w:val="19"/>
        </w:rPr>
        <w:t xml:space="preserve"> — 生成式 AI 风险治理与评测</w:t>
      </w:r>
    </w:p>
    <w:p>
      <w:r>
        <w:rPr>
          <w:rFonts w:ascii="Calibri" w:hAnsi="Calibri" w:eastAsia="Microsoft YaHei"/>
          <w:sz w:val="19"/>
        </w:rPr>
        <w:t xml:space="preserve">13.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ISO/IEC 42001:2023</w:t>
        </w:r>
      </w:hyperlink>
      <w:r>
        <w:rPr>
          <w:rFonts w:ascii="Calibri" w:hAnsi="Calibri" w:eastAsia="Microsoft YaHei"/>
          <w:color w:val="606A74"/>
          <w:sz w:val="19"/>
        </w:rPr>
        <w:t xml:space="preserve"> — AI 管理体系与持续改进</w:t>
      </w:r>
    </w:p>
    <w:p>
      <w:r>
        <w:rPr>
          <w:rFonts w:ascii="Calibri" w:hAnsi="Calibri" w:eastAsia="Microsoft YaHei"/>
          <w:sz w:val="19"/>
        </w:rPr>
        <w:t xml:space="preserve">14.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个人信息保护法</w:t>
        </w:r>
      </w:hyperlink>
      <w:r>
        <w:rPr>
          <w:rFonts w:ascii="Calibri" w:hAnsi="Calibri" w:eastAsia="Microsoft YaHei"/>
          <w:color w:val="606A74"/>
          <w:sz w:val="19"/>
        </w:rPr>
        <w:t xml:space="preserve"> — 合法、正当、必要、透明与最小范围原则</w:t>
      </w:r>
    </w:p>
    <w:p>
      <w:r>
        <w:rPr>
          <w:rFonts w:ascii="Calibri" w:hAnsi="Calibri" w:eastAsia="Microsoft YaHei"/>
          <w:sz w:val="19"/>
        </w:rPr>
        <w:t xml:space="preserve">15. 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Next.js App Router 官方文档</w:t>
        </w:r>
      </w:hyperlink>
      <w:r>
        <w:rPr>
          <w:rFonts w:ascii="Calibri" w:hAnsi="Calibri" w:eastAsia="Microsoft YaHei"/>
          <w:color w:val="606A74"/>
          <w:sz w:val="19"/>
        </w:rPr>
        <w:t xml:space="preserve"> — Server/Client Components、Route Handlers 与项目结构</w:t>
      </w:r>
    </w:p>
    <w:p>
      <w:r>
        <w:rPr>
          <w:rFonts w:ascii="Calibri" w:hAnsi="Calibri" w:eastAsia="Microsoft YaHei"/>
          <w:sz w:val="19"/>
        </w:rPr>
        <w:t xml:space="preserve">16. 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Alibaba Cloud Model Studio</w:t>
        </w:r>
      </w:hyperlink>
      <w:r>
        <w:rPr>
          <w:rFonts w:ascii="Calibri" w:hAnsi="Calibri" w:eastAsia="Microsoft YaHei"/>
          <w:color w:val="606A74"/>
          <w:sz w:val="19"/>
        </w:rPr>
        <w:t xml:space="preserve"> — OpenAI-compatible、多模态、区域化模型服务</w:t>
      </w:r>
    </w:p>
    <w:p>
      <w:r>
        <w:rPr>
          <w:rFonts w:ascii="Calibri" w:hAnsi="Calibri" w:eastAsia="Microsoft YaHei"/>
          <w:sz w:val="19"/>
        </w:rPr>
        <w:t xml:space="preserve">17. 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Qwen ASR Realtime</w:t>
        </w:r>
      </w:hyperlink>
      <w:r>
        <w:rPr>
          <w:rFonts w:ascii="Calibri" w:hAnsi="Calibri" w:eastAsia="Microsoft YaHei"/>
          <w:color w:val="606A74"/>
          <w:sz w:val="19"/>
        </w:rPr>
        <w:t xml:space="preserve"> — WebSocket、VAD/手动语音分段与区域端点</w:t>
      </w:r>
    </w:p>
    <w:p>
      <w:r>
        <w:rPr>
          <w:rFonts w:ascii="Calibri" w:hAnsi="Calibri" w:eastAsia="Microsoft YaHei"/>
          <w:sz w:val="19"/>
        </w:rPr>
        <w:t xml:space="preserve">18. </w:t>
      </w:r>
      <w:hyperlink r:id="rId28">
        <w:r>
          <w:rPr>
            <w:rFonts w:ascii="Calibri" w:hAnsi="Calibri" w:eastAsia="Microsoft YaHei"/>
            <w:color w:val="2E74B5"/>
            <w:u w:val="single"/>
          </w:rPr>
          <w:t>OWASP MASVS</w:t>
        </w:r>
      </w:hyperlink>
      <w:r>
        <w:rPr>
          <w:rFonts w:ascii="Calibri" w:hAnsi="Calibri" w:eastAsia="Microsoft YaHei"/>
          <w:color w:val="606A74"/>
          <w:sz w:val="19"/>
        </w:rPr>
        <w:t xml:space="preserve"> — 移动应用安全验证标准</w:t>
      </w:r>
    </w:p>
    <w:p>
      <w:r>
        <w:rPr>
          <w:rFonts w:ascii="Calibri" w:hAnsi="Calibri" w:eastAsia="Microsoft YaHei"/>
          <w:sz w:val="19"/>
        </w:rPr>
        <w:t xml:space="preserve">19. </w:t>
      </w:r>
      <w:hyperlink r:id="rId29">
        <w:r>
          <w:rPr>
            <w:rFonts w:ascii="Calibri" w:hAnsi="Calibri" w:eastAsia="Microsoft YaHei"/>
            <w:color w:val="2E74B5"/>
            <w:u w:val="single"/>
          </w:rPr>
          <w:t>OWASP LLMSVS</w:t>
        </w:r>
      </w:hyperlink>
      <w:r>
        <w:rPr>
          <w:rFonts w:ascii="Calibri" w:hAnsi="Calibri" w:eastAsia="Microsoft YaHei"/>
          <w:color w:val="606A74"/>
          <w:sz w:val="19"/>
        </w:rPr>
        <w:t xml:space="preserve"> — 生成式 AI 应用验证要求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A74"/>
        <w:sz w:val="18"/>
      </w:rPr>
      <w:t xml:space="preserve">EasyPhone AI  |  2026-08-12  |  </w:t>
    </w:r>
    <w:r>
      <w:rPr>
        <w:rFonts w:ascii="Calibri" w:hAnsi="Calibri" w:eastAsia="Microsoft YaHei"/>
        <w:color w:val="606A7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06A74"/>
        <w:sz w:val="18"/>
      </w:rPr>
      <w:t>技术架构与工程规范  |  爸妈别急 · 安心下一步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c.aliyun.com/xiaoyoukewei?display_mode=3" TargetMode="External"/><Relationship Id="rId12" Type="http://schemas.openxmlformats.org/officeDocument/2006/relationships/hyperlink" Target="https://page.aliyun.com/form/act1255247265/index.htm" TargetMode="External"/><Relationship Id="rId13" Type="http://schemas.openxmlformats.org/officeDocument/2006/relationships/hyperlink" Target="https://github.com/th9rain/laobai-gemma-demo" TargetMode="External"/><Relationship Id="rId14" Type="http://schemas.openxmlformats.org/officeDocument/2006/relationships/hyperlink" Target="https://urmorning.com/" TargetMode="External"/><Relationship Id="rId15" Type="http://schemas.openxmlformats.org/officeDocument/2006/relationships/hyperlink" Target="https://support.google.com/gemini/answer/15274899" TargetMode="External"/><Relationship Id="rId16" Type="http://schemas.openxmlformats.org/officeDocument/2006/relationships/hyperlink" Target="https://help.openai.com/en/articles/8400625-voice-mode" TargetMode="External"/><Relationship Id="rId17" Type="http://schemas.openxmlformats.org/officeDocument/2006/relationships/hyperlink" Target="https://www.bemyeyes.com/bme-app/" TargetMode="External"/><Relationship Id="rId18" Type="http://schemas.openxmlformats.org/officeDocument/2006/relationships/hyperlink" Target="https://www.w3.org/TR/WCAG22/" TargetMode="External"/><Relationship Id="rId19" Type="http://schemas.openxmlformats.org/officeDocument/2006/relationships/hyperlink" Target="https://www.miit.gov.cn/jgsj/xgj/gzdt/art/2021/art_eddf498ded1b44829644bf20d28c9f6f.html" TargetMode="External"/><Relationship Id="rId20" Type="http://schemas.openxmlformats.org/officeDocument/2006/relationships/hyperlink" Target="https://owasp.org/www-project-application-security-verification-standard/" TargetMode="External"/><Relationship Id="rId21" Type="http://schemas.openxmlformats.org/officeDocument/2006/relationships/hyperlink" Target="https://owasp.org/www-project-top-10-for-large-language-model-applications/" TargetMode="External"/><Relationship Id="rId22" Type="http://schemas.openxmlformats.org/officeDocument/2006/relationships/hyperlink" Target="https://www.nist.gov/publications/artificial-intelligence-risk-management-framework-generative-artificial-intelligence" TargetMode="External"/><Relationship Id="rId23" Type="http://schemas.openxmlformats.org/officeDocument/2006/relationships/hyperlink" Target="https://www.iso.org/standard/42001" TargetMode="External"/><Relationship Id="rId24" Type="http://schemas.openxmlformats.org/officeDocument/2006/relationships/hyperlink" Target="https://www.npc.gov.cn/npc/c2/c30834/202108/t20210820_313088.html" TargetMode="External"/><Relationship Id="rId25" Type="http://schemas.openxmlformats.org/officeDocument/2006/relationships/hyperlink" Target="https://nextjs.org/docs/app" TargetMode="External"/><Relationship Id="rId26" Type="http://schemas.openxmlformats.org/officeDocument/2006/relationships/hyperlink" Target="https://www.alibabacloud.com/help/en/model-studio/what-is-model-studio" TargetMode="External"/><Relationship Id="rId27" Type="http://schemas.openxmlformats.org/officeDocument/2006/relationships/hyperlink" Target="https://www.alibabacloud.com/help/en/model-studio/qwen-asr-realtime-interaction-process" TargetMode="External"/><Relationship Id="rId28" Type="http://schemas.openxmlformats.org/officeDocument/2006/relationships/hyperlink" Target="https://mas.owasp.org/MASVS/" TargetMode="External"/><Relationship Id="rId29" Type="http://schemas.openxmlformats.org/officeDocument/2006/relationships/hyperlink" Target="https://owasp.org/www-project-llm-verification-standard/LLMSVS-v2.0-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