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</w:r>
    </w:p>
    <w:p>
      <w:pPr>
        <w:spacing w:before="0" w:after="44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</w:r>
    </w:p>
    <w:p>
      <w:pPr>
        <w:spacing w:before="0" w:after="44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2A8C82"/>
          <w:sz w:val="22"/>
        </w:rPr>
        <w:t>小有可为 2026｜普惠养老：银发数字生活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B57"/>
          <w:sz w:val="60"/>
        </w:rPr>
        <w:t>爸妈别急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878A8"/>
          <w:sz w:val="34"/>
        </w:rPr>
        <w:t>银发数字生活安全副驾</w:t>
      </w:r>
    </w:p>
    <w:p>
      <w:pPr>
        <w:spacing w:after="640"/>
        <w:jc w:val="center"/>
      </w:pPr>
      <w:r>
        <w:rPr>
          <w:rFonts w:ascii="Microsoft YaHei" w:hAnsi="Microsoft YaHei" w:eastAsia="Microsoft YaHei"/>
          <w:b w:val="0"/>
          <w:color w:val="68757F"/>
          <w:sz w:val="23"/>
        </w:rPr>
        <w:t>看懂当前一步，只给安全的下一步；遇到风险，先停下来。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9F5F2"/>
          </w:tcPr>
          <w:p>
            <w:pPr>
              <w:spacing w:after="60" w:line="288" w:lineRule="auto"/>
            </w:pPr>
            <w:r>
              <w:rPr>
                <w:rFonts w:ascii="Microsoft YaHei" w:hAnsi="Microsoft YaHei" w:eastAsia="Microsoft YaHei"/>
                <w:b/>
                <w:color w:val="2A8C82"/>
                <w:sz w:val="21"/>
              </w:rPr>
              <w:t xml:space="preserve">核心主张  </w:t>
            </w:r>
            <w:r>
              <w:rPr>
                <w:rFonts w:ascii="Microsoft YaHei" w:hAnsi="Microsoft YaHei" w:eastAsia="Microsoft YaHei"/>
                <w:b w:val="0"/>
                <w:color w:val="20313D"/>
                <w:sz w:val="21"/>
              </w:rPr>
              <w:t>我们不替老人自动操作手机，而是帮助他们判断风险、完成可逆的小步骤，并在关键时刻顺利获得家人帮助。</w:t>
            </w:r>
          </w:p>
        </w:tc>
      </w:tr>
    </w:tbl>
    <w:p>
      <w:pPr>
        <w:spacing w:after="20"/>
      </w:pPr>
    </w:p>
    <w:p>
      <w:pPr>
        <w:spacing w:before="640" w:after="120" w:line="300" w:lineRule="auto"/>
        <w:jc w:val="center"/>
      </w:pPr>
      <w:r>
        <w:rPr>
          <w:rFonts w:ascii="Microsoft YaHei" w:hAnsi="Microsoft YaHei" w:eastAsia="Microsoft YaHei"/>
          <w:b w:val="0"/>
          <w:color w:val="68757F"/>
          <w:sz w:val="20"/>
        </w:rPr>
        <w:t>项目说明书｜参赛版</w:t>
      </w:r>
    </w:p>
    <w:p>
      <w:pPr>
        <w:spacing w:before="0" w:after="120" w:line="300" w:lineRule="auto"/>
        <w:jc w:val="center"/>
      </w:pPr>
      <w:r>
        <w:rPr>
          <w:rFonts w:ascii="Microsoft YaHei" w:hAnsi="Microsoft YaHei" w:eastAsia="Microsoft YaHei"/>
          <w:b w:val="0"/>
          <w:color w:val="68757F"/>
          <w:sz w:val="19"/>
        </w:rPr>
        <w:t>作品类型：应用类（Web 应用 / AI 辅助工具）</w:t>
      </w:r>
    </w:p>
    <w:p>
      <w:pPr>
        <w:spacing w:before="0" w:after="120" w:line="300" w:lineRule="auto"/>
        <w:jc w:val="center"/>
      </w:pPr>
      <w:r>
        <w:rPr>
          <w:rFonts w:ascii="Microsoft YaHei" w:hAnsi="Microsoft YaHei" w:eastAsia="Microsoft YaHei"/>
          <w:b w:val="0"/>
          <w:color w:val="68757F"/>
          <w:sz w:val="19"/>
        </w:rPr>
        <w:t>版本日期：2026 年 8 月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一、项目概览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“爸妈别急”是一款面向银发用户的数字生活安全辅助应用。当老人面对看不懂的手机页面、复杂的设置路径，或退款、转账等潜在风险操作时，可通过文字、语音或截图描述当前情况。系统判断用户所处步骤与风险等级，一次只给出一个清晰、可逆且经过审核的下一步，并提供可观察的成功信号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对于转账、验证码、屏幕共享、陌生链接等高风险场景，产品停止普通指导，提示用户不要继续，并生成脱敏求助信息以便联系家人。对于信息不足、页面模糊或模型无法可靠判断的情况，系统进入“不确定”状态，不猜测、不强行继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4F8"/>
          </w:tcPr>
          <w:p>
            <w:pPr>
              <w:spacing w:after="60" w:line="288" w:lineRule="auto"/>
            </w:pPr>
            <w:r>
              <w:rPr>
                <w:rFonts w:ascii="Microsoft YaHei" w:hAnsi="Microsoft YaHei" w:eastAsia="Microsoft YaHei"/>
                <w:b/>
                <w:color w:val="2878A8"/>
                <w:sz w:val="21"/>
              </w:rPr>
              <w:t xml:space="preserve">一句话介绍  </w:t>
            </w:r>
            <w:r>
              <w:rPr>
                <w:rFonts w:ascii="Microsoft YaHei" w:hAnsi="Microsoft YaHei" w:eastAsia="Microsoft YaHei"/>
                <w:b w:val="0"/>
                <w:color w:val="20313D"/>
                <w:sz w:val="21"/>
              </w:rPr>
              <w:t>一个帮助老年人安全使用手机的 AI 副驾：低风险时一步一步教，高风险时立即停下并连接家人。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二、问题与用户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2.1 用户面临的真实困难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界面变化快：同一功能在不同手机、App 版本中的入口不同，记住教程也可能找不到。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说明不适老：常见教程一次给出多个步骤，字体小、术语多，老人难以确认自己是否做对。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安全风险高：退款、转账、验证码、屏幕共享等场景容易被诈骗话术利用。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求助成本高：老人难以准确描述当前页面，家人也需要反复追问才能理解问题。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2.2 目标用户与使用者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核心需求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产品价值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银发用户</w:t>
            </w:r>
          </w:p>
        </w:tc>
        <w:tc>
          <w:tcPr>
            <w:tcW w:type="dxa" w:w="3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看懂当前页面；知道下一步；避免误操作</w:t>
            </w:r>
          </w:p>
        </w:tc>
        <w:tc>
          <w:tcPr>
            <w:tcW w:type="dxa" w:w="41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大字、语音、一步式指导与风险停止</w:t>
            </w:r>
          </w:p>
        </w:tc>
      </w:tr>
      <w:tr>
        <w:tc>
          <w:tcPr>
            <w:tcW w:type="dxa" w:w="16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子女 / 家属</w:t>
            </w:r>
          </w:p>
        </w:tc>
        <w:tc>
          <w:tcPr>
            <w:tcW w:type="dxa" w:w="36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快速了解问题；减少重复远程沟通</w:t>
            </w:r>
          </w:p>
        </w:tc>
        <w:tc>
          <w:tcPr>
            <w:tcW w:type="dxa" w:w="41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接收脱敏、结构化的求助信息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社区助老人员</w:t>
            </w:r>
          </w:p>
        </w:tc>
        <w:tc>
          <w:tcPr>
            <w:tcW w:type="dxa" w:w="3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提供一致、安全的数字技能辅导</w:t>
            </w:r>
          </w:p>
        </w:tc>
        <w:tc>
          <w:tcPr>
            <w:tcW w:type="dxa" w:w="41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基于审核教程的标准化指导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三、产品方案与核心流程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产品围绕“描述问题—识别风险—给出下一步—确认结果—必要时求助”构建闭环。系统首先使用确定性风险规则进行底线判断，再结合可选的视觉模型理解截图；最终输出只能落入四种受控决策：继续指导、停止操作、补充信息或暂不支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800"/>
        <w:gridCol w:w="40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用户看到什么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系统做什么</w:t>
            </w:r>
          </w:p>
        </w:tc>
      </w:tr>
      <w:tr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1. 描述问题</w:t>
            </w:r>
          </w:p>
        </w:tc>
        <w:tc>
          <w:tcPr>
            <w:tcW w:type="dxa" w:w="3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输入文字、语音，或在同意后上传截图</w:t>
            </w:r>
          </w:p>
        </w:tc>
        <w:tc>
          <w:tcPr>
            <w:tcW w:type="dxa" w:w="4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形成结构化观察信息</w:t>
            </w:r>
          </w:p>
        </w:tc>
      </w:tr>
      <w:tr>
        <w:tc>
          <w:tcPr>
            <w:tcW w:type="dxa" w:w="1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2. 风险判断</w:t>
            </w:r>
          </w:p>
        </w:tc>
        <w:tc>
          <w:tcPr>
            <w:tcW w:type="dxa" w:w="38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明确的安全提示与风险等级</w:t>
            </w:r>
          </w:p>
        </w:tc>
        <w:tc>
          <w:tcPr>
            <w:tcW w:type="dxa" w:w="40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关键词规则与视觉结果取最高风险</w:t>
            </w:r>
          </w:p>
        </w:tc>
      </w:tr>
      <w:tr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3. 下一步</w:t>
            </w:r>
          </w:p>
        </w:tc>
        <w:tc>
          <w:tcPr>
            <w:tcW w:type="dxa" w:w="3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一次只显示一个动作及成功信号</w:t>
            </w:r>
          </w:p>
        </w:tc>
        <w:tc>
          <w:tcPr>
            <w:tcW w:type="dxa" w:w="4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仅从人工审核的白名单教程选择</w:t>
            </w:r>
          </w:p>
        </w:tc>
      </w:tr>
      <w:tr>
        <w:tc>
          <w:tcPr>
            <w:tcW w:type="dxa" w:w="1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4. 结果确认</w:t>
            </w:r>
          </w:p>
        </w:tc>
        <w:tc>
          <w:tcPr>
            <w:tcW w:type="dxa" w:w="38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“完成了 / 没找到 / 需要帮助”等出口</w:t>
            </w:r>
          </w:p>
        </w:tc>
        <w:tc>
          <w:tcPr>
            <w:tcW w:type="dxa" w:w="40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根据反馈继续、澄清或停止</w:t>
            </w:r>
          </w:p>
        </w:tc>
      </w:tr>
      <w:tr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5. 家人协助</w:t>
            </w:r>
          </w:p>
        </w:tc>
        <w:tc>
          <w:tcPr>
            <w:tcW w:type="dxa" w:w="3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可复制或分享的脱敏求助卡</w:t>
            </w:r>
          </w:p>
        </w:tc>
        <w:tc>
          <w:tcPr>
            <w:tcW w:type="dxa" w:w="4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去除敏感信息并保留必要上下文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3.1 四种受控决策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/>
          <w:color w:val="20313D"/>
          <w:sz w:val="21"/>
        </w:rPr>
        <w:t>GUIDE（继续指导）：</w:t>
      </w:r>
      <w:r>
        <w:rPr>
          <w:rFonts w:ascii="Microsoft YaHei" w:hAnsi="Microsoft YaHei" w:eastAsia="Microsoft YaHei"/>
          <w:b w:val="0"/>
          <w:color w:val="20313D"/>
          <w:sz w:val="21"/>
        </w:rPr>
        <w:t>仅用于低风险且命中审核教程的场景。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/>
          <w:color w:val="20313D"/>
          <w:sz w:val="21"/>
        </w:rPr>
        <w:t>STOP（停止操作）：</w:t>
      </w:r>
      <w:r>
        <w:rPr>
          <w:rFonts w:ascii="Microsoft YaHei" w:hAnsi="Microsoft YaHei" w:eastAsia="Microsoft YaHei"/>
          <w:b w:val="0"/>
          <w:color w:val="20313D"/>
          <w:sz w:val="21"/>
        </w:rPr>
        <w:t>风险达到 high / critical 时立即触发。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/>
          <w:color w:val="20313D"/>
          <w:sz w:val="21"/>
        </w:rPr>
        <w:t>CLARIFY（补充信息）：</w:t>
      </w:r>
      <w:r>
        <w:rPr>
          <w:rFonts w:ascii="Microsoft YaHei" w:hAnsi="Microsoft YaHei" w:eastAsia="Microsoft YaHei"/>
          <w:b w:val="0"/>
          <w:color w:val="20313D"/>
          <w:sz w:val="21"/>
        </w:rPr>
        <w:t>截图模糊、信息冲突或模型失败时触发。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/>
          <w:color w:val="20313D"/>
          <w:sz w:val="21"/>
        </w:rPr>
        <w:t>UNSUPPORTED（暂不支持）：</w:t>
      </w:r>
      <w:r>
        <w:rPr>
          <w:rFonts w:ascii="Microsoft YaHei" w:hAnsi="Microsoft YaHei" w:eastAsia="Microsoft YaHei"/>
          <w:b w:val="0"/>
          <w:color w:val="20313D"/>
          <w:sz w:val="21"/>
        </w:rPr>
        <w:t>超出能力边界时明确告知，不伪造答案。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3.2 适老化交互原则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一个页面只承担一个主要任务，减少同时出现的选择。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大字号、高对比度、短句表达，并提供语音输入与语音播报。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每一步说明“做什么”和“看到什么算成功”，降低不确定感。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危险操作不提供继续按钮，避免提示与行为相互矛盾。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四、核心功能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具体说明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安全设计</w:t>
            </w:r>
          </w:p>
        </w:tc>
      </w:tr>
      <w:tr>
        <w:tc>
          <w:tcPr>
            <w:tcW w:type="dxa" w:w="17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多模态问题描述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支持文字、语音与可选截图，降低描述手机页面的难度</w:t>
            </w:r>
          </w:p>
        </w:tc>
        <w:tc>
          <w:tcPr>
            <w:tcW w:type="dxa" w:w="34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截图需明确同意；支持预览与本地手动遮挡</w:t>
            </w:r>
          </w:p>
        </w:tc>
      </w:tr>
      <w:tr>
        <w:tc>
          <w:tcPr>
            <w:tcW w:type="dxa" w:w="17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一步式安全指导</w:t>
            </w:r>
          </w:p>
        </w:tc>
        <w:tc>
          <w:tcPr>
            <w:tcW w:type="dxa" w:w="42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每次只给一个已审核动作，并显示成功信号</w:t>
            </w:r>
          </w:p>
        </w:tc>
        <w:tc>
          <w:tcPr>
            <w:tcW w:type="dxa" w:w="34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动作必须可逆；模型自由文本不能直接驱动操作</w:t>
            </w:r>
          </w:p>
        </w:tc>
      </w:tr>
      <w:tr>
        <w:tc>
          <w:tcPr>
            <w:tcW w:type="dxa" w:w="17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风险识别与拦截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识别转账、验证码、屏幕共享、陌生渠道等危险信号</w:t>
            </w:r>
          </w:p>
        </w:tc>
        <w:tc>
          <w:tcPr>
            <w:tcW w:type="dxa" w:w="34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规则命中高风险后，普通指导立即终止</w:t>
            </w:r>
          </w:p>
        </w:tc>
      </w:tr>
      <w:tr>
        <w:tc>
          <w:tcPr>
            <w:tcW w:type="dxa" w:w="17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不确定状态</w:t>
            </w:r>
          </w:p>
        </w:tc>
        <w:tc>
          <w:tcPr>
            <w:tcW w:type="dxa" w:w="42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信息不足或识别失败时，引导重新描述、补充信息或求助</w:t>
            </w:r>
          </w:p>
        </w:tc>
        <w:tc>
          <w:tcPr>
            <w:tcW w:type="dxa" w:w="34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不确定不得进入普通指导，不采用 fail-open</w:t>
            </w:r>
          </w:p>
        </w:tc>
      </w:tr>
      <w:tr>
        <w:tc>
          <w:tcPr>
            <w:tcW w:type="dxa" w:w="17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脱敏求助卡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整理当前问题、风险提示和必要上下文，便于家人接手</w:t>
            </w:r>
          </w:p>
        </w:tc>
        <w:tc>
          <w:tcPr>
            <w:tcW w:type="dxa" w:w="34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过滤验证码、账号等敏感内容和危险话术</w:t>
            </w:r>
          </w:p>
        </w:tc>
      </w:tr>
      <w:tr>
        <w:tc>
          <w:tcPr>
            <w:tcW w:type="dxa" w:w="17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语音与无障碍</w:t>
            </w:r>
          </w:p>
        </w:tc>
        <w:tc>
          <w:tcPr>
            <w:tcW w:type="dxa" w:w="42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语音输入、语音播报、大字号及高对比度界面</w:t>
            </w:r>
          </w:p>
        </w:tc>
        <w:tc>
          <w:tcPr>
            <w:tcW w:type="dxa" w:w="34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设计令牌通过 WCAG 对比度自动检查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五、三条核心演示路径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b/>
          <w:color w:val="20313D"/>
          <w:sz w:val="21"/>
        </w:rPr>
        <w:t>低风险｜</w:t>
      </w:r>
      <w:r>
        <w:rPr>
          <w:rFonts w:ascii="Microsoft YaHei" w:hAnsi="Microsoft YaHei" w:eastAsia="Microsoft YaHei"/>
          <w:b w:val="0"/>
          <w:color w:val="20313D"/>
          <w:sz w:val="21"/>
        </w:rPr>
        <w:t>微信没声音 / 字太小：系统识别问题后进入白名单教程，逐步提供一个可逆动作与成功信号。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b/>
          <w:color w:val="20313D"/>
          <w:sz w:val="21"/>
        </w:rPr>
        <w:t>中风险｜</w:t>
      </w:r>
      <w:r>
        <w:rPr>
          <w:rFonts w:ascii="Microsoft YaHei" w:hAnsi="Microsoft YaHei" w:eastAsia="Microsoft YaHei"/>
          <w:b w:val="0"/>
          <w:color w:val="20313D"/>
          <w:sz w:val="21"/>
        </w:rPr>
        <w:t>电商退款：系统只允许经过审核的退款步骤；若页面出现付款、验证码或陌生渠道，立即升级风险。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b/>
          <w:color w:val="20313D"/>
          <w:sz w:val="21"/>
        </w:rPr>
        <w:t>高风险｜</w:t>
      </w:r>
      <w:r>
        <w:rPr>
          <w:rFonts w:ascii="Microsoft YaHei" w:hAnsi="Microsoft YaHei" w:eastAsia="Microsoft YaHei"/>
          <w:b w:val="0"/>
          <w:color w:val="20313D"/>
          <w:sz w:val="21"/>
        </w:rPr>
        <w:t>转账 / 验证码 / 屏幕共享：系统直接停止指导，展示风险提醒并生成脱敏求助卡。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3F5F7"/>
          </w:tcPr>
          <w:p>
            <w:pPr>
              <w:spacing w:after="60" w:line="288" w:lineRule="auto"/>
            </w:pPr>
            <w:r>
              <w:rPr>
                <w:rFonts w:ascii="Microsoft YaHei" w:hAnsi="Microsoft YaHei" w:eastAsia="Microsoft YaHei"/>
                <w:b/>
                <w:color w:val="68757F"/>
                <w:sz w:val="21"/>
              </w:rPr>
              <w:t xml:space="preserve">演示真实性  </w:t>
            </w:r>
            <w:r>
              <w:rPr>
                <w:rFonts w:ascii="Microsoft YaHei" w:hAnsi="Microsoft YaHei" w:eastAsia="Microsoft YaHei"/>
                <w:b w:val="0"/>
                <w:color w:val="20313D"/>
                <w:sz w:val="21"/>
              </w:rPr>
              <w:t>三条路径使用同一套生产路由与安全规则，不设置隐藏的比赛演示分支。固定回放样例仅用于离线回归和无网络兜底，不被描述为真实模型调用。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六、产品亮点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6.1 从“万能助手”转向“安全副驾”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传统助手追求尽快给出答案，本项目首先判断“现在是否应该继续”。面对银发用户与财产安全场景，停止、澄清和转交家人不是失败，而是产品能力的一部分。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6.2 一次只给一个可逆步骤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系统不把整段教程一次性抛给用户，而是将复杂任务拆成小步骤。每一步都有明确动作和成功信号，用户可以随时停下，不会因为遗漏中间状态而越走越错。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6.3 AI 只能升级风险，不能降低风险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确定性规则是安全底线。视觉模型可以发现额外风险并提高等级，但不能推翻规则已经识别出的高风险。该机制减少模型误判对用户安全的影响。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6.4 不确定时不瞎猜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截图缺失、画面模糊、结果冲突、模型超时或结构无效时，系统进入 CLARIFY / UNKNOWN，而不是默认按低风险继续。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6.5 从求助描述到家人接手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产品把老人难以表达的页面问题整理成结构化、脱敏的求助内容，使家人快速理解“正在做什么、哪里卡住、是否有风险”，缩短沟通链路。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9F5F2"/>
          </w:tcPr>
          <w:p>
            <w:pPr>
              <w:spacing w:after="60" w:line="288" w:lineRule="auto"/>
            </w:pPr>
            <w:r>
              <w:rPr>
                <w:rFonts w:ascii="Microsoft YaHei" w:hAnsi="Microsoft YaHei" w:eastAsia="Microsoft YaHei"/>
                <w:b/>
                <w:color w:val="2A8C82"/>
                <w:sz w:val="21"/>
              </w:rPr>
              <w:t xml:space="preserve">差异化价值  </w:t>
            </w:r>
            <w:r>
              <w:rPr>
                <w:rFonts w:ascii="Microsoft YaHei" w:hAnsi="Microsoft YaHei" w:eastAsia="Microsoft YaHei"/>
                <w:b w:val="0"/>
                <w:color w:val="20313D"/>
                <w:sz w:val="21"/>
              </w:rPr>
              <w:t>不是“替老人点得更快”，而是“让老人每一步都更清楚、更可控，并在危险之前停下来”。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七、技术方案与特色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7.1 技术架构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项目采用 Next.js 16、React 19 与 TypeScript strict 构建，并使用六层分层架构隔离界面、业务编排、安全规则、跨层协议与外部 AI 服务。依赖方向保持单向，安全核心可在不启动浏览器和模型服务的情况下进行纯函数测试。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典型内容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app / components</w:t>
            </w:r>
          </w:p>
        </w:tc>
        <w:tc>
          <w:tcPr>
            <w:tcW w:type="dxa" w:w="3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页面、交互与适老化呈现</w:t>
            </w:r>
          </w:p>
        </w:tc>
        <w:tc>
          <w:tcPr>
            <w:tcW w:type="dxa" w:w="4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首页、确认页、指导页、风险提醒页、语音组件</w:t>
            </w:r>
          </w:p>
        </w:tc>
      </w:tr>
      <w:tr>
        <w:tc>
          <w:tcPr>
            <w:tcW w:type="dxa" w:w="19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application</w:t>
            </w:r>
          </w:p>
        </w:tc>
        <w:tc>
          <w:tcPr>
            <w:tcW w:type="dxa" w:w="34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用例编排与决策流程</w:t>
            </w:r>
          </w:p>
        </w:tc>
        <w:tc>
          <w:tcPr>
            <w:tcW w:type="dxa" w:w="40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观察屏幕、生成下一步、构建求助信息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domain</w:t>
            </w:r>
          </w:p>
        </w:tc>
        <w:tc>
          <w:tcPr>
            <w:tcW w:type="dxa" w:w="3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纯函数安全核心</w:t>
            </w:r>
          </w:p>
        </w:tc>
        <w:tc>
          <w:tcPr>
            <w:tcW w:type="dxa" w:w="4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风险分类、教程匹配、路由保险丝、脱敏规则</w:t>
            </w:r>
          </w:p>
        </w:tc>
      </w:tr>
      <w:tr>
        <w:tc>
          <w:tcPr>
            <w:tcW w:type="dxa" w:w="19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contracts</w:t>
            </w:r>
          </w:p>
        </w:tc>
        <w:tc>
          <w:tcPr>
            <w:tcW w:type="dxa" w:w="34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跨边界数据协议</w:t>
            </w:r>
          </w:p>
        </w:tc>
        <w:tc>
          <w:tcPr>
            <w:tcW w:type="dxa" w:w="40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UIObservation、GuidanceDecision、错误码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infrastructure</w:t>
            </w:r>
          </w:p>
        </w:tc>
        <w:tc>
          <w:tcPr>
            <w:tcW w:type="dxa" w:w="34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外部能力适配</w:t>
            </w:r>
          </w:p>
        </w:tc>
        <w:tc>
          <w:tcPr>
            <w:tcW w:type="dxa" w:w="4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Qwen Vision 适配器、遥测接口</w:t>
            </w:r>
          </w:p>
        </w:tc>
      </w:tr>
      <w:tr>
        <w:tc>
          <w:tcPr>
            <w:tcW w:type="dxa" w:w="19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lib</w:t>
            </w:r>
          </w:p>
        </w:tc>
        <w:tc>
          <w:tcPr>
            <w:tcW w:type="dxa" w:w="34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无业务含义的通用能力</w:t>
            </w:r>
          </w:p>
        </w:tc>
        <w:tc>
          <w:tcPr>
            <w:tcW w:type="dxa" w:w="40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语音、对比度与客户端工具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7.2 混合决策链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系统先执行关键词与场景规则，再按需调用视觉模型，最后通过风险取最大值策略合并结果。决策输出必须符合固定 Schema，模型自由文本不能直接控制页面跳转或点击。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5E8"/>
          </w:tcPr>
          <w:p>
            <w:pPr>
              <w:spacing w:after="60" w:line="288" w:lineRule="auto"/>
            </w:pPr>
            <w:r>
              <w:rPr>
                <w:rFonts w:ascii="Microsoft YaHei" w:hAnsi="Microsoft YaHei" w:eastAsia="Microsoft YaHei"/>
                <w:b/>
                <w:color w:val="C78B2A"/>
                <w:sz w:val="21"/>
              </w:rPr>
              <w:t xml:space="preserve">核心安全不变量  </w:t>
            </w:r>
            <w:r>
              <w:rPr>
                <w:rFonts w:ascii="Microsoft YaHei" w:hAnsi="Microsoft YaHei" w:eastAsia="Microsoft YaHei"/>
                <w:b w:val="0"/>
                <w:color w:val="20313D"/>
                <w:sz w:val="21"/>
              </w:rPr>
              <w:t>高风险绝不进入 GUIDE；UNKNOWN 不得进入 GUIDE；视觉失败不得自动放行；每个指导步骤只包含一个审核动作与一个成功信号。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7.3 隐私与降级策略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截图必须由用户主动选择，并在上传前进行预览和手动遮挡。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审计事件不保存用户原始描述文本，减少敏感信息暴露。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无 API Key 或模型不可用时，文字风险规则仍可运行；截图能力明确降级。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八、当前完成度与验证证据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本项目严格区分代码实现、本地测试、真实模型调用、线上运行与真实用户验证。以下状态基于当前仓库与本地验证记录，不将固定样例或代码推导结果描述为线上或真实设备证据。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 / 验证项</w:t>
            </w:r>
          </w:p>
        </w:tc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证据或说明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风险分类与最高风险合并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已实现</w:t>
            </w:r>
          </w:p>
        </w:tc>
        <w:tc>
          <w:tcPr>
            <w:tcW w:type="dxa" w:w="5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单元测试覆盖风险关键词与合并策略</w:t>
            </w:r>
          </w:p>
        </w:tc>
      </w:tr>
      <w:tr>
        <w:tc>
          <w:tcPr>
            <w:tcW w:type="dxa" w:w="2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高风险路由保险丝</w:t>
            </w:r>
          </w:p>
        </w:tc>
        <w:tc>
          <w:tcPr>
            <w:tcW w:type="dxa" w:w="1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已实现</w:t>
            </w:r>
          </w:p>
        </w:tc>
        <w:tc>
          <w:tcPr>
            <w:tcW w:type="dxa" w:w="53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测试覆盖高风险不能进入普通教程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求助卡与脱敏序列化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已实现</w:t>
            </w:r>
          </w:p>
        </w:tc>
        <w:tc>
          <w:tcPr>
            <w:tcW w:type="dxa" w:w="5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测试覆盖敏感信息与危险话术过滤</w:t>
            </w:r>
          </w:p>
        </w:tc>
      </w:tr>
      <w:tr>
        <w:tc>
          <w:tcPr>
            <w:tcW w:type="dxa" w:w="2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白名单教程与退款场景</w:t>
            </w:r>
          </w:p>
        </w:tc>
        <w:tc>
          <w:tcPr>
            <w:tcW w:type="dxa" w:w="1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已实现</w:t>
            </w:r>
          </w:p>
        </w:tc>
        <w:tc>
          <w:tcPr>
            <w:tcW w:type="dxa" w:w="53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测试覆盖教程匹配和风险上限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三条移动端主路径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本地通过</w:t>
            </w:r>
          </w:p>
        </w:tc>
        <w:tc>
          <w:tcPr>
            <w:tcW w:type="dxa" w:w="5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Playwright 覆盖低风险、中风险退款和高风险停止</w:t>
            </w:r>
          </w:p>
        </w:tc>
      </w:tr>
      <w:tr>
        <w:tc>
          <w:tcPr>
            <w:tcW w:type="dxa" w:w="2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TypeScript / 生产构建</w:t>
            </w:r>
          </w:p>
        </w:tc>
        <w:tc>
          <w:tcPr>
            <w:tcW w:type="dxa" w:w="1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本地通过</w:t>
            </w:r>
          </w:p>
        </w:tc>
        <w:tc>
          <w:tcPr>
            <w:tcW w:type="dxa" w:w="53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strict typecheck 与 Next.js build 已通过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真实 Qwen Vision 调用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待验证</w:t>
            </w:r>
          </w:p>
        </w:tc>
        <w:tc>
          <w:tcPr>
            <w:tcW w:type="dxa" w:w="5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适配器已实现，尚未使用真实 API Key 端到端测试</w:t>
            </w:r>
          </w:p>
        </w:tc>
      </w:tr>
      <w:tr>
        <w:tc>
          <w:tcPr>
            <w:tcW w:type="dxa" w:w="2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线上部署</w:t>
            </w:r>
          </w:p>
        </w:tc>
        <w:tc>
          <w:tcPr>
            <w:tcW w:type="dxa" w:w="15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未完成</w:t>
            </w:r>
          </w:p>
        </w:tc>
        <w:tc>
          <w:tcPr>
            <w:tcW w:type="dxa" w:w="53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当前仅完成本地构建与运行验证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真实老年用户测试</w:t>
            </w:r>
          </w:p>
        </w:tc>
        <w:tc>
          <w:tcPr>
            <w:tcW w:type="dxa" w:w="15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未完成</w:t>
            </w:r>
          </w:p>
        </w:tc>
        <w:tc>
          <w:tcPr>
            <w:tcW w:type="dxa" w:w="5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仍需开展可用性与理解度测试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878A8"/>
          <w:sz w:val="25"/>
        </w:rPr>
        <w:t>8.1 当前边界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不提供自动点击、远程控制或无障碍 Service，避免越权操作。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不建设家属账号、数据库和家属端收件箱；当前通过系统分享或复制求助信息完成交接。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多步任务当前以审核教程推进，完整 Allowed Action 状态机仍是后续工作。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截图遮挡已完成浏览器实现，但仍需真实手机触控与易用性验收。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九、社会价值与推广方向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“爸妈别急”聚焦老年人数字生活中的“最后一公里”：不仅帮助用户找到功能入口，也帮助他们判断什么时候不应该继续。项目可作为家庭数字助老工具，也可在社区数字课堂、银行与运营商适老服务、公益助老活动中提供标准化、安全化的辅助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800"/>
        <w:gridCol w:w="39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应用方向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可落地场景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3B5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预期价值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家庭</w:t>
            </w:r>
          </w:p>
        </w:tc>
        <w:tc>
          <w:tcPr>
            <w:tcW w:type="dxa" w:w="3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日常手机设置、购物、支付前确认</w:t>
            </w:r>
          </w:p>
        </w:tc>
        <w:tc>
          <w:tcPr>
            <w:tcW w:type="dxa" w:w="39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降低反复沟通成本，增强老人的独立感</w:t>
            </w:r>
          </w:p>
        </w:tc>
      </w:tr>
      <w:tr>
        <w:tc>
          <w:tcPr>
            <w:tcW w:type="dxa" w:w="16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社区</w:t>
            </w:r>
          </w:p>
        </w:tc>
        <w:tc>
          <w:tcPr>
            <w:tcW w:type="dxa" w:w="38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数字技能课堂、志愿者辅导</w:t>
            </w:r>
          </w:p>
        </w:tc>
        <w:tc>
          <w:tcPr>
            <w:tcW w:type="dxa" w:w="39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统一指导口径，优先识别风险</w:t>
            </w:r>
          </w:p>
        </w:tc>
      </w:tr>
      <w:tr>
        <w:tc>
          <w:tcPr>
            <w:tcW w:type="dxa" w:w="16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公共服务</w:t>
            </w:r>
          </w:p>
        </w:tc>
        <w:tc>
          <w:tcPr>
            <w:tcW w:type="dxa" w:w="3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医院、政务、交通 App 使用</w:t>
            </w:r>
          </w:p>
        </w:tc>
        <w:tc>
          <w:tcPr>
            <w:tcW w:type="dxa" w:w="39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以一步式教程降低数字门槛</w:t>
            </w:r>
          </w:p>
        </w:tc>
      </w:tr>
      <w:tr>
        <w:tc>
          <w:tcPr>
            <w:tcW w:type="dxa" w:w="16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18"/>
              </w:rPr>
              <w:t>金融与运营商</w:t>
            </w:r>
          </w:p>
        </w:tc>
        <w:tc>
          <w:tcPr>
            <w:tcW w:type="dxa" w:w="380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反诈教育、适老服务入口</w:t>
            </w:r>
          </w:p>
        </w:tc>
        <w:tc>
          <w:tcPr>
            <w:tcW w:type="dxa" w:w="396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20313D"/>
                <w:sz w:val="18"/>
              </w:rPr>
              <w:t>在高风险节点提供前置提醒与人工转接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十、下一阶段计划</w:t>
      </w:r>
    </w:p>
    <w:p>
      <w:pPr>
        <w:pStyle w:val="ListNumber"/>
        <w:numPr>
          <w:ilvl w:val="0"/>
          <w:numId w:val="10"/>
        </w:numPr>
        <w:spacing w:after="10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完成真实 Qwen Vision 端到端调用，记录响应质量、延迟、失败率与降级行为。</w:t>
      </w:r>
    </w:p>
    <w:p>
      <w:pPr>
        <w:pStyle w:val="ListNumber"/>
        <w:numPr>
          <w:ilvl w:val="0"/>
          <w:numId w:val="10"/>
        </w:numPr>
        <w:spacing w:after="10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邀请银发用户开展真实设备可用性测试，重点验证字体、语音、截图遮挡和风险提示的理解度。</w:t>
      </w:r>
    </w:p>
    <w:p>
      <w:pPr>
        <w:pStyle w:val="ListNumber"/>
        <w:numPr>
          <w:ilvl w:val="0"/>
          <w:numId w:val="10"/>
        </w:numPr>
        <w:spacing w:after="10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补齐多步任务状态机与更多人工审核任务包，同时保持动作白名单和可逆原则。</w:t>
      </w:r>
    </w:p>
    <w:p>
      <w:pPr>
        <w:pStyle w:val="ListNumber"/>
        <w:numPr>
          <w:ilvl w:val="0"/>
          <w:numId w:val="10"/>
        </w:numPr>
        <w:spacing w:after="100" w:line="288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完成线上部署、安全检查与隐私说明，在小范围社区或家庭中进行试点。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B57"/>
          <w:sz w:val="32"/>
        </w:rPr>
        <w:t>十一、结语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0313D"/>
          <w:sz w:val="21"/>
        </w:rPr>
        <w:t>面对不断变化的数字世界，老人需要的未必是一个替他们完成所有操作的“万能 AI”，而是一个知道什么时候指导、什么时候停下、什么时候请家人加入的安全伙伴。“爸妈别急”希望让每一次手机操作都更清楚、更可控，也让每一次求助都更容易被理解。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9F5F2"/>
          </w:tcPr>
          <w:p>
            <w:pPr>
              <w:spacing w:after="60" w:line="288" w:lineRule="auto"/>
            </w:pPr>
            <w:r>
              <w:rPr>
                <w:rFonts w:ascii="Microsoft YaHei" w:hAnsi="Microsoft YaHei" w:eastAsia="Microsoft YaHei"/>
                <w:b/>
                <w:color w:val="2A8C82"/>
                <w:sz w:val="21"/>
              </w:rPr>
              <w:t xml:space="preserve">项目愿景  </w:t>
            </w:r>
            <w:r>
              <w:rPr>
                <w:rFonts w:ascii="Microsoft YaHei" w:hAnsi="Microsoft YaHei" w:eastAsia="Microsoft YaHei"/>
                <w:b w:val="0"/>
                <w:color w:val="20313D"/>
                <w:sz w:val="21"/>
              </w:rPr>
              <w:t>让每一位老人都能更有信心地使用数字服务，同时保留随时停下和寻求帮助的权利。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9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8757F"/>
        <w:sz w:val="17"/>
      </w:rPr>
      <w:t>小有可为 2026｜普惠养老：银发数字生活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8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8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爸妈别急——银发数字生活安全副驾｜项目说明书</dc:title>
  <dc:subject>小有可为 2026 参赛项目说明</dc:subject>
  <dc:creator>爸妈别急项目组</dc:creator>
  <cp:keywords>银发数字生活, 适老化, AI, 风险防护, 数字助老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