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OneCase 项目简介</w:t>
      </w:r>
    </w:p>
    <w:p>
      <w:pPr>
        <w:pStyle w:val="Subtitle"/>
      </w:pPr>
      <w:r>
        <w:t>社区事项 AI 工作台</w:t>
      </w:r>
    </w:p>
    <w:p>
      <w:pPr>
        <w:pStyle w:val="Heading1"/>
      </w:pPr>
      <w:r>
        <w:t>一句话定位</w:t>
      </w:r>
    </w:p>
    <w:p>
      <w:r>
        <w:t>OneCase 面向社区工作人员，把居民反馈整理为可确认、可关联、可追踪的社区事项。</w:t>
      </w:r>
    </w:p>
    <w:p>
      <w:pPr>
        <w:pStyle w:val="Heading1"/>
      </w:pPr>
      <w:r>
        <w:t>拟解决的痛点</w:t>
      </w:r>
    </w:p>
    <w:p>
      <w:r>
        <w:t>一条反馈可能包含多个问题，不同居民的反馈又可能指向同一事项。工作人员需要拆分、查重、重复录入，并在聊天和台账之间追踪处理进度。以上为本项目的问题假设，当前没有真实访谈或耗时测量证明其频率和规模。</w:t>
      </w:r>
    </w:p>
    <w:p>
      <w:pPr>
        <w:pStyle w:val="Heading1"/>
      </w:pPr>
      <w:r>
        <w:t>目标用户</w:t>
      </w:r>
    </w:p>
    <w:p>
      <w:r>
        <w:t>社区工作人员和网格员是直接使用者，社区负责人查看事项进展。居民是信息来源，当前不需要操作 OneCase；文字和图片由工作人员录入，尚未接入微信。</w:t>
      </w:r>
    </w:p>
    <w:p>
      <w:pPr>
        <w:pStyle w:val="Heading1"/>
      </w:pPr>
      <w:r>
        <w:t>项目摘要</w:t>
      </w:r>
    </w:p>
    <w:p>
      <w:r>
        <w:t>OneCase 帮社区工作人员把反馈整理成草稿，由人确认新建或关联事项，再跟进处理进度。文字流程已实现，图片支持上传、预览、保存和恢复。Qwen、OpenAI、StepFun 的图片消息已接通；当前 StepFun 已用一条合成图片真实跑通至草稿确认环节（Review），但代表性识别效果仍未验证；Mock 不能识别图片。语音暂未支持，实际提效仍待验证。</w:t>
      </w:r>
    </w:p>
    <w:p>
      <w:pPr>
        <w:pStyle w:val="Heading1"/>
      </w:pPr>
      <w:r>
        <w:t>处理流程（概念示意）</w:t>
      </w:r>
    </w:p>
    <w:p>
      <w:r>
        <w:t>文字反馈 → AI 事项草稿 → 人工检查与修改。相似事项候选及依据供人工核对。</w:t>
      </w:r>
    </w:p>
    <w:p>
      <w:r>
        <w:t>截图或现场图片 → 上传与保存 → 人工检查；StepFun 已用单张合成图片真实生成 AI 草稿，代表性效果仍待验证。</w:t>
      </w:r>
    </w:p>
    <w:p>
      <w:r>
        <w:t>人工确认后，选择新建事项或关联已有事项，两种处理方式都保留来源、状态与处理记录。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OneCase · 项目简介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  <w:jc w:val="left"/>
    </w:pPr>
    <w:rPr>
      <w:rFonts w:ascii="Calibri" w:hAnsi="Calibri" w:eastAsia="Microsoft YaHei"/>
      <w:b w:val="0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widowControl/>
      <w:tabs>
        <w:tab w:val="center" w:pos="4680"/>
        <w:tab w:val="right" w:pos="9360"/>
      </w:tabs>
      <w:spacing w:after="0" w:line="264" w:lineRule="auto" w:before="0"/>
    </w:pPr>
    <w:rPr>
      <w:rFonts w:ascii="Calibri" w:hAnsi="Calibri" w:eastAsia="Microsoft YaHei"/>
      <w:b w:val="0"/>
      <w:color w:val="666666"/>
      <w:sz w:val="18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pBdr>
        <w:bottom w:val="single" w:sz="8" w:space="4" w:color="4F81BD" w:themeColor="accent1"/>
      </w:pBdr>
      <w:spacing w:after="160" w:line="264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widowControl/>
      <w:numPr>
        <w:ilvl w:val="1"/>
      </w:numPr>
      <w:spacing w:before="0" w:after="200" w:line="264" w:lineRule="auto"/>
    </w:pPr>
    <w:rPr>
      <w:rFonts w:asciiTheme="majorHAnsi" w:eastAsiaTheme="majorEastAsia" w:hAnsiTheme="majorHAnsi" w:cstheme="majorBidi" w:ascii="Calibri" w:hAnsi="Calibri" w:eastAsia="Microsoft YaHei"/>
      <w:b w:val="0"/>
      <w:i/>
      <w:iCs/>
      <w:color w:val="666666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OneCase 项目简介</dc:title>
  <dc:subject>项目定位、痛点、目标用户、摘要与处理流程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