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da 库 · 调用命令字典与实例</w:t>
      </w:r>
    </w:p>
    <w:p>
      <w:r>
        <w:rPr>
          <w:rFonts w:ascii="微软雅黑" w:hAnsi="微软雅黑" w:eastAsia="微软雅黑"/>
          <w:color w:val="555555"/>
          <w:sz w:val="20"/>
        </w:rPr>
        <w:t>个人网络接单数据分析库（v0.1.0）。本文档罗列全部中文调用命令，并附一份完整可跑实例。</w:t>
      </w:r>
    </w:p>
    <w:p>
      <w:r>
        <w:rPr>
          <w:rFonts w:ascii="微软雅黑" w:hAnsi="微软雅黑" w:eastAsia="微软雅黑"/>
          <w:color w:val="555555"/>
          <w:sz w:val="20"/>
        </w:rPr>
        <w:t>换电脑安装：pip install git+ssh://git@gitee.com/qryxp/order-processing-hub.git（或 HTTPS 一行）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一、导入与基础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import da</w:t>
      </w:r>
      <w:r>
        <w:br/>
      </w:r>
      <w:r>
        <w:rPr>
          <w:rFonts w:ascii="Consolas" w:hAnsi="Consolas" w:eastAsia="宋体"/>
          <w:sz w:val="19"/>
        </w:rPr>
        <w:t>import pandas as pd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读数据（Excel 需 openpyxl）</w:t>
      </w:r>
      <w:r>
        <w:br/>
      </w:r>
      <w:r>
        <w:rPr>
          <w:rFonts w:ascii="Consolas" w:hAnsi="Consolas" w:eastAsia="宋体"/>
          <w:sz w:val="19"/>
        </w:rPr>
        <w:t>df = pd.read_csv("data/sample_skills.csv")   # 自带脱敏示例</w:t>
      </w:r>
      <w:r>
        <w:br/>
      </w:r>
      <w:r>
        <w:rPr>
          <w:rFonts w:ascii="Consolas" w:hAnsi="Consolas" w:eastAsia="宋体"/>
          <w:sz w:val="19"/>
        </w:rPr>
        <w:t># xl = pd.read_excel("表.xlsx", sheet_name="Case6_薪酬绩效")</w:t>
      </w:r>
    </w:p>
    <w:p>
      <w:r>
        <w:rPr>
          <w:rFonts w:ascii="微软雅黑" w:hAnsi="微软雅黑" w:eastAsia="微软雅黑"/>
          <w:sz w:val="21"/>
        </w:rPr>
        <w:t>da 是「库」不是「数据库」。导入 = ① 读成 pandas 的 DataFrame ② 交给 da 处理；数据全程不出本机。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二、指标调用（核心）</w:t>
      </w:r>
    </w:p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2.1 域级调用（明确归属时用）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da.技能外包.净到手率(df)</w:t>
      </w:r>
      <w:r>
        <w:br/>
      </w:r>
      <w:r>
        <w:rPr>
          <w:rFonts w:ascii="Consolas" w:hAnsi="Consolas" w:eastAsia="宋体"/>
          <w:sz w:val="19"/>
        </w:rPr>
        <w:t>da.小微电商.销售额(df)</w:t>
      </w:r>
      <w:r>
        <w:br/>
      </w:r>
      <w:r>
        <w:rPr>
          <w:rFonts w:ascii="Consolas" w:hAnsi="Consolas" w:eastAsia="宋体"/>
          <w:sz w:val="19"/>
        </w:rPr>
        <w:t>da.自媒体.互动率(df)</w:t>
      </w:r>
      <w:r>
        <w:br/>
      </w:r>
      <w:r>
        <w:rPr>
          <w:rFonts w:ascii="Consolas" w:hAnsi="Consolas" w:eastAsia="宋体"/>
          <w:sz w:val="19"/>
        </w:rPr>
        <w:t>da.零工平台.中标率(df)</w:t>
      </w:r>
      <w:r>
        <w:br/>
      </w:r>
      <w:r>
        <w:rPr>
          <w:rFonts w:ascii="Consolas" w:hAnsi="Consolas" w:eastAsia="宋体"/>
          <w:sz w:val="19"/>
        </w:rPr>
        <w:t>da.技能外包.净到手率(df, by="渠道来源")   # 按维度分组</w:t>
      </w:r>
    </w:p>
    <w:p>
      <w:r>
        <w:rPr>
          <w:rFonts w:ascii="微软雅黑" w:hAnsi="微软雅黑" w:eastAsia="微软雅黑"/>
          <w:sz w:val="21"/>
        </w:rPr>
        <w:t>四个域的中文别名与英文模块对照：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业务域</w:t>
            </w:r>
          </w:p>
        </w:tc>
        <w:tc>
          <w:tcPr>
            <w:tcW w:type="dxa" w:w="1872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中文别名</w:t>
            </w:r>
          </w:p>
        </w:tc>
        <w:tc>
          <w:tcPr>
            <w:tcW w:type="dxa" w:w="1872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英文模块</w:t>
            </w:r>
          </w:p>
        </w:tc>
        <w:tc>
          <w:tcPr>
            <w:tcW w:type="dxa" w:w="4608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示例指标（部分）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技能外包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9"/>
              </w:rPr>
              <w:t>da.技能外包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9"/>
              </w:rPr>
              <w:t>da.skills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19"/>
              </w:rPr>
              <w:t>净到手率 / 客单价 / 报价采纳率 / 交付准时率</w:t>
            </w:r>
          </w:p>
        </w:tc>
      </w:tr>
      <w:tr>
        <w:tc>
          <w:tcPr>
            <w:tcW w:type="dxa" w:w="144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小微电商</w:t>
            </w:r>
          </w:p>
        </w:tc>
        <w:tc>
          <w:tcPr>
            <w:tcW w:type="dxa" w:w="187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da.小微电商</w:t>
            </w:r>
          </w:p>
        </w:tc>
        <w:tc>
          <w:tcPr>
            <w:tcW w:type="dxa" w:w="187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da.ecommerce</w:t>
            </w:r>
          </w:p>
        </w:tc>
        <w:tc>
          <w:tcPr>
            <w:tcW w:type="dxa" w:w="460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销售额 / 客单价ATV / 转化率 / 复购率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自媒体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9"/>
              </w:rPr>
              <w:t>da.自媒体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9"/>
              </w:rPr>
              <w:t>da.media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19"/>
              </w:rPr>
              <w:t>互动率 / 涨粉率 / 播放完成率</w:t>
            </w:r>
          </w:p>
        </w:tc>
      </w:tr>
      <w:tr>
        <w:tc>
          <w:tcPr>
            <w:tcW w:type="dxa" w:w="144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零工平台</w:t>
            </w:r>
          </w:p>
        </w:tc>
        <w:tc>
          <w:tcPr>
            <w:tcW w:type="dxa" w:w="187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da.零工平台</w:t>
            </w:r>
          </w:p>
        </w:tc>
        <w:tc>
          <w:tcPr>
            <w:tcW w:type="dxa" w:w="187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da.gig</w:t>
            </w:r>
          </w:p>
        </w:tc>
        <w:tc>
          <w:tcPr>
            <w:tcW w:type="dxa" w:w="460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中标率 / 任务完成率 / 时薪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2.2 顶层直呼（★记不住域也能用）</w:t>
      </w:r>
    </w:p>
    <w:p>
      <w:r>
        <w:rPr>
          <w:rFonts w:ascii="微软雅黑" w:hAnsi="微软雅黑" w:eastAsia="微软雅黑"/>
          <w:sz w:val="21"/>
        </w:rPr>
        <w:t>指标多了记不住归哪个域？现在支持顶层直接按中文名调用，与域级写法完全等价：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# 两种写法等价，返回同一个函数</w:t>
      </w:r>
      <w:r>
        <w:br/>
      </w:r>
      <w:r>
        <w:rPr>
          <w:rFonts w:ascii="Consolas" w:hAnsi="Consolas" w:eastAsia="宋体"/>
          <w:sz w:val="19"/>
        </w:rPr>
        <w:t>da.净到手率(df)                  # 顶层直呼（不用记域）</w:t>
      </w:r>
      <w:r>
        <w:br/>
      </w:r>
      <w:r>
        <w:rPr>
          <w:rFonts w:ascii="Consolas" w:hAnsi="Consolas" w:eastAsia="宋体"/>
          <w:sz w:val="19"/>
        </w:rPr>
        <w:t>da.技能外包.净到手率(df)         # 域级（等价上方）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da.净到手率(df, by="渠道来源")   # 分组照常</w:t>
      </w:r>
      <w:r>
        <w:br/>
      </w:r>
      <w:r>
        <w:rPr>
          <w:rFonts w:ascii="Consolas" w:hAnsi="Consolas" w:eastAsia="宋体"/>
          <w:sz w:val="19"/>
        </w:rPr>
        <w:t>da.销售额(df_e)                  # 小微电商</w:t>
      </w:r>
      <w:r>
        <w:br/>
      </w:r>
      <w:r>
        <w:rPr>
          <w:rFonts w:ascii="Consolas" w:hAnsi="Consolas" w:eastAsia="宋体"/>
          <w:sz w:val="19"/>
        </w:rPr>
        <w:t>da.互动率(df_m)                  # 自媒体</w:t>
      </w:r>
      <w:r>
        <w:br/>
      </w:r>
      <w:r>
        <w:rPr>
          <w:rFonts w:ascii="Consolas" w:hAnsi="Consolas" w:eastAsia="宋体"/>
          <w:sz w:val="19"/>
        </w:rPr>
        <w:t>da.中标率(df_g)                  # 零工平台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Jupyter 里输入 da. 会自动补全出所有指标名（已注入 __dir__）。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打错名不会懵：da.这个指标不存在 会友好提示用 da.list_metrics() 或 da.能力探测(df) 找。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前提：指标中文名在全部域中唯一（注册表为 dict，同名后者覆盖前者）。当前库 50+ 指标无重名，放心用。</w:t>
      </w:r>
    </w:p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2.3 看一个指标的算法配方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da.show_recipe(da.净到手率)        # 打印该指标源码 + 字段 + 公式</w:t>
      </w:r>
      <w:r>
        <w:br/>
      </w:r>
      <w:r>
        <w:rPr>
          <w:rFonts w:ascii="Consolas" w:hAnsi="Consolas" w:eastAsia="宋体"/>
          <w:sz w:val="19"/>
        </w:rPr>
        <w:t>da.show_recipe(da.技能外包.净到手率)</w:t>
      </w:r>
    </w:p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2.4 列全部指标 / 某域指标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da.list_metrics()               # 全部（多层级清单）</w:t>
      </w:r>
      <w:r>
        <w:br/>
      </w:r>
      <w:r>
        <w:rPr>
          <w:rFonts w:ascii="Consolas" w:hAnsi="Consolas" w:eastAsia="宋体"/>
          <w:sz w:val="19"/>
        </w:rPr>
        <w:t>da.list_metrics("技能外包")       # 只看某域</w:t>
      </w:r>
      <w:r>
        <w:br/>
      </w:r>
      <w:r>
        <w:rPr>
          <w:rFonts w:ascii="Consolas" w:hAnsi="Consolas" w:eastAsia="宋体"/>
          <w:sz w:val="19"/>
        </w:rPr>
        <w:t>da.metrics_in("技能外包")        # 等价</w:t>
      </w:r>
      <w:r>
        <w:br/>
      </w:r>
      <w:r>
        <w:rPr>
          <w:rFonts w:ascii="Consolas" w:hAnsi="Consolas" w:eastAsia="宋体"/>
          <w:sz w:val="19"/>
        </w:rPr>
        <w:t>da.get_registry()               # 原始注册表 dict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三、数据清洗（da.数据清洗 / da.clean）</w:t>
      </w:r>
    </w:p>
    <w:p>
      <w:r>
        <w:rPr>
          <w:rFonts w:ascii="微软雅黑" w:hAnsi="微软雅黑" w:eastAsia="微软雅黑"/>
          <w:sz w:val="21"/>
        </w:rPr>
        <w:t>通用清洗，适配任何表。所有函数默认返回新 DataFrame，不破坏原数据。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312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关键参数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强制日期转换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9"/>
              </w:rPr>
              <w:t>多格式日期强制转 datetime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列=None, 格式=None（自动识别）</w:t>
            </w:r>
          </w:p>
        </w:tc>
      </w:tr>
      <w:tr>
        <w:tc>
          <w:tcPr>
            <w:tcW w:type="dxa" w:w="216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空值映射填充</w:t>
            </w:r>
          </w:p>
        </w:tc>
        <w:tc>
          <w:tcPr>
            <w:tcW w:type="dxa" w:w="331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整列空值统一填充</w:t>
            </w:r>
          </w:p>
        </w:tc>
        <w:tc>
          <w:tcPr>
            <w:tcW w:type="dxa" w:w="432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映射=None, 数值列默认填充=0, 文本列默认填充=""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按参照列填充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9"/>
              </w:rPr>
              <w:t>★按另一列映射填空值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目标列, 参考列, 方式='组内最常见值', 映射=None</w:t>
            </w:r>
          </w:p>
        </w:tc>
      </w:tr>
      <w:tr>
        <w:tc>
          <w:tcPr>
            <w:tcW w:type="dxa" w:w="216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异常值检测</w:t>
            </w:r>
          </w:p>
        </w:tc>
        <w:tc>
          <w:tcPr>
            <w:tcW w:type="dxa" w:w="331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★IQR/3σ 标记离群点（只标不删）</w:t>
            </w:r>
          </w:p>
        </w:tc>
        <w:tc>
          <w:tcPr>
            <w:tcW w:type="dxa" w:w="432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数值列=None, 方法='iqr', 系数=1.5, 返回明细=False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清洗管道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9"/>
              </w:rPr>
              <w:t>一站式：日期+空值+去重+去空格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去重=True, 去空格=True, 日期列=None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3.1 空值与按参照列填充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# 整列填充</w:t>
      </w:r>
      <w:r>
        <w:br/>
      </w:r>
      <w:r>
        <w:rPr>
          <w:rFonts w:ascii="Consolas" w:hAnsi="Consolas" w:eastAsia="宋体"/>
          <w:sz w:val="19"/>
        </w:rPr>
        <w:t>df2 = da.数据清洗.空值映射填充(df, 数值列默认填充=0, 文本列默认填充="未知")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按参照列映射：用「商品名称」已有的类型，填「商品类型」的空值</w:t>
      </w:r>
      <w:r>
        <w:br/>
      </w:r>
      <w:r>
        <w:rPr>
          <w:rFonts w:ascii="Consolas" w:hAnsi="Consolas" w:eastAsia="宋体"/>
          <w:sz w:val="19"/>
        </w:rPr>
        <w:t>df2 = da.数据清洗.按参照列填充(</w:t>
      </w:r>
      <w:r>
        <w:br/>
      </w:r>
      <w:r>
        <w:rPr>
          <w:rFonts w:ascii="Consolas" w:hAnsi="Consolas" w:eastAsia="宋体"/>
          <w:sz w:val="19"/>
        </w:rPr>
        <w:t xml:space="preserve">    df, 目标列="商品类型", 参考列="商品名称",</w:t>
      </w:r>
      <w:r>
        <w:br/>
      </w:r>
      <w:r>
        <w:rPr>
          <w:rFonts w:ascii="Consolas" w:hAnsi="Consolas" w:eastAsia="宋体"/>
          <w:sz w:val="19"/>
        </w:rPr>
        <w:t xml:space="preserve">    方式="组内最常见值")          # 或 方式="组内首个"</w:t>
      </w:r>
      <w:r>
        <w:br/>
      </w:r>
      <w:r>
        <w:rPr>
          <w:rFonts w:ascii="Consolas" w:hAnsi="Consolas" w:eastAsia="宋体"/>
          <w:sz w:val="19"/>
        </w:rPr>
        <w:t># 手头有标准对照表时强制覆盖：映射={"A":"电子","B":"食品"}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冲突提示：同一名称对应多个类型时，函数主动报警告让你人工核对，不会偷偷乱填。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没依据就留空：参考列本身为空的行，不瞎猜，保留空。</w:t>
      </w:r>
    </w:p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3.2 异常值检测（只检测，不删不改）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# 默认：检测全部数值列，IQR 法（系数 1.5）标记离群点</w:t>
      </w:r>
      <w:r>
        <w:br/>
      </w:r>
      <w:r>
        <w:rPr>
          <w:rFonts w:ascii="Consolas" w:hAnsi="Consolas" w:eastAsia="宋体"/>
          <w:sz w:val="19"/>
        </w:rPr>
        <w:t>标记 = da.数据清洗.异常值检测(df)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指定列 + 系数</w:t>
      </w:r>
      <w:r>
        <w:br/>
      </w:r>
      <w:r>
        <w:rPr>
          <w:rFonts w:ascii="Consolas" w:hAnsi="Consolas" w:eastAsia="宋体"/>
          <w:sz w:val="19"/>
        </w:rPr>
        <w:t>标记 = da.数据清洗.异常值检测(df, 数值列=["当前月薪","年度绩效评分"], 方法="iqr", 系数=1.5)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拿明细表逐条核对</w:t>
      </w:r>
      <w:r>
        <w:br/>
      </w:r>
      <w:r>
        <w:rPr>
          <w:rFonts w:ascii="Consolas" w:hAnsi="Consolas" w:eastAsia="宋体"/>
          <w:sz w:val="19"/>
        </w:rPr>
        <w:t>表, 明细 = da.数据清洗.异常值检测(df, 数值列=["当前月薪"], 返回明细=True)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近似正态分布用 3σ 法</w:t>
      </w:r>
      <w:r>
        <w:br/>
      </w:r>
      <w:r>
        <w:rPr>
          <w:rFonts w:ascii="Consolas" w:hAnsi="Consolas" w:eastAsia="宋体"/>
          <w:sz w:val="19"/>
        </w:rPr>
        <w:t>标记 = da.数据清洗.异常值检测(df, 数值列=["当前月薪"], 方法="sigma", 系数=3)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系数：IQR 默认 1.5（温和），想宽松用 3（异常更少）；3σ 默认 3，想严格用 2。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输出：每行加 异常_&lt;列名&gt; 布尔列 + 异常_任一 汇总列（按行汇总）。异常值不是必删，先看业务合理性。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小样本时 3σ 不鲁棒（单个极大离群值会把标准差撑大导致抓不到），偏态数据优先用 IQR。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四、图表绘制（da.图表 / da.charts）</w:t>
      </w:r>
    </w:p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4.1 极简统一入口 画()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da.图表.画(df, 类型="柱状图", x="渠道来源", y="实收金额", 预设="商务蓝")</w:t>
      </w:r>
      <w:r>
        <w:br/>
      </w:r>
      <w:r>
        <w:rPr>
          <w:rFonts w:ascii="Consolas" w:hAnsi="Consolas" w:eastAsia="宋体"/>
          <w:sz w:val="19"/>
        </w:rPr>
        <w:t>da.图表.画(df, 类型="饼图",   x="渠道来源",            预设="活力橙")</w:t>
      </w:r>
      <w:r>
        <w:br/>
      </w:r>
      <w:r>
        <w:rPr>
          <w:rFonts w:ascii="Consolas" w:hAnsi="Consolas" w:eastAsia="宋体"/>
          <w:sz w:val="19"/>
        </w:rPr>
        <w:t>da.图表.画(df, 类型="直方图", x="实收金额",           预设="清爽白")</w:t>
      </w:r>
      <w:r>
        <w:br/>
      </w:r>
      <w:r>
        <w:rPr>
          <w:rFonts w:ascii="Consolas" w:hAnsi="Consolas" w:eastAsia="宋体"/>
          <w:sz w:val="19"/>
        </w:rPr>
        <w:t>da.图表.画(df, 类型="箱线图", x="渠道来源", y="实收金额", 预设="暗夜")</w:t>
      </w:r>
      <w:r>
        <w:br/>
      </w:r>
      <w:r>
        <w:rPr>
          <w:rFonts w:ascii="Consolas" w:hAnsi="Consolas" w:eastAsia="宋体"/>
          <w:sz w:val="19"/>
        </w:rPr>
        <w:t>da.图表.画(df, 类型="折线图", x="月份",     y="销售额", 预设="商务蓝")</w:t>
      </w:r>
    </w:p>
    <w:p>
      <w:r>
        <w:rPr>
          <w:rFonts w:ascii="微软雅黑" w:hAnsi="微软雅黑" w:eastAsia="微软雅黑"/>
          <w:sz w:val="21"/>
        </w:rPr>
        <w:t>画() 支持的类型：柱状图 / 条形图 / 折线图 / 饼图 / 散点图 / 气泡图 / 直方图 / 箱线图 / 热力图。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4752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9"/>
              </w:rPr>
              <w:t>类型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9"/>
              </w:rPr>
              <w:t>图表种类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sz w:val="19"/>
              </w:rPr>
              <w:t>见上九种</w:t>
            </w:r>
          </w:p>
        </w:tc>
      </w:tr>
      <w:tr>
        <w:tc>
          <w:tcPr>
            <w:tcW w:type="dxa" w:w="1584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x / y</w:t>
            </w:r>
          </w:p>
        </w:tc>
        <w:tc>
          <w:tcPr>
            <w:tcW w:type="dxa" w:w="3456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横轴 / 纵轴列名</w:t>
            </w:r>
          </w:p>
        </w:tc>
        <w:tc>
          <w:tcPr>
            <w:tcW w:type="dxa" w:w="475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字符串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9"/>
              </w:rPr>
              <w:t>engine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9"/>
              </w:rPr>
              <w:t>绘图引擎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sz w:val="19"/>
              </w:rPr>
              <w:t>plotly（默认,可交互）/ seaborn / pyecharts</w:t>
            </w:r>
          </w:p>
        </w:tc>
      </w:tr>
      <w:tr>
        <w:tc>
          <w:tcPr>
            <w:tcW w:type="dxa" w:w="1584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预设</w:t>
            </w:r>
          </w:p>
        </w:tc>
        <w:tc>
          <w:tcPr>
            <w:tcW w:type="dxa" w:w="3456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配色主题</w:t>
            </w:r>
          </w:p>
        </w:tc>
        <w:tc>
          <w:tcPr>
            <w:tcW w:type="dxa" w:w="475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清爽白 / 商务蓝(默认) / 活力橙 / 暗夜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9"/>
              </w:rPr>
              <w:t>agg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x 多行的聚合方式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sz w:val="19"/>
              </w:rPr>
              <w:t>mean/sum/count（默认 mean）</w:t>
            </w:r>
          </w:p>
        </w:tc>
      </w:tr>
      <w:tr>
        <w:tc>
          <w:tcPr>
            <w:tcW w:type="dxa" w:w="1584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top_n</w:t>
            </w:r>
          </w:p>
        </w:tc>
        <w:tc>
          <w:tcPr>
            <w:tcW w:type="dxa" w:w="3456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只取前 N 类</w:t>
            </w:r>
          </w:p>
        </w:tc>
        <w:tc>
          <w:tcPr>
            <w:tcW w:type="dxa" w:w="4752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整数，如 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4.2 预设与设定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# 换黑底：预设="暗夜"</w:t>
      </w:r>
      <w:r>
        <w:br/>
      </w:r>
      <w:r>
        <w:rPr>
          <w:rFonts w:ascii="Consolas" w:hAnsi="Consolas" w:eastAsia="宋体"/>
          <w:sz w:val="19"/>
        </w:rPr>
        <w:t>da.图表.画(df, 类型="柱状图", x="渠道来源", y="实收金额", 预设="暗夜")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设全局默认，之后 画() 不写预设也生效</w:t>
      </w:r>
      <w:r>
        <w:br/>
      </w:r>
      <w:r>
        <w:rPr>
          <w:rFonts w:ascii="Consolas" w:hAnsi="Consolas" w:eastAsia="宋体"/>
          <w:sz w:val="19"/>
        </w:rPr>
        <w:t>da.图表.设定(默认引擎="plotly", 默认预设="商务蓝")</w:t>
      </w:r>
    </w:p>
    <w:p>
      <w:pPr>
        <w:pStyle w:val="Heading2"/>
      </w:pPr>
      <w:r>
        <w:rPr>
          <w:rFonts w:ascii="微软雅黑" w:hAnsi="微软雅黑" w:eastAsia="微软雅黑"/>
          <w:b/>
          <w:color w:val="2E5C8A"/>
          <w:sz w:val="25"/>
        </w:rPr>
        <w:t>4.3 看某图配方 / 独立函数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da.图表.查看配方("柱状图")                 # 打印该图配置源码</w:t>
      </w:r>
      <w:r>
        <w:br/>
      </w:r>
      <w:r>
        <w:rPr>
          <w:rFonts w:ascii="Consolas" w:hAnsi="Consolas" w:eastAsia="宋体"/>
          <w:sz w:val="19"/>
        </w:rPr>
        <w:t>da.图表.柱状图(df, x="渠道来源", y="实收金额")   # 各图也有独立函数可直接调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五、业务看板（da.图表）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da.图表.看板(df, 名称="渠道对比")     # 固化模板，名称可用友好名或函数名</w:t>
      </w:r>
      <w:r>
        <w:br/>
      </w:r>
      <w:r>
        <w:rPr>
          <w:rFonts w:ascii="Consolas" w:hAnsi="Consolas" w:eastAsia="宋体"/>
          <w:sz w:val="19"/>
        </w:rPr>
        <w:t>da.图表.看板(df, 名称="渠道对比", 组合=True)  # 组合成一张大图</w:t>
      </w:r>
      <w:r>
        <w:br/>
      </w:r>
      <w:r>
        <w:rPr>
          <w:rFonts w:ascii="Consolas" w:hAnsi="Consolas" w:eastAsia="宋体"/>
          <w:sz w:val="19"/>
        </w:rPr>
        <w:t>da.图表.自定义看板(df, 图表=[("柱状图","渠道来源","实收金额"),</w:t>
      </w:r>
      <w:r>
        <w:br/>
      </w:r>
      <w:r>
        <w:rPr>
          <w:rFonts w:ascii="Consolas" w:hAnsi="Consolas" w:eastAsia="宋体"/>
          <w:sz w:val="19"/>
        </w:rPr>
        <w:t xml:space="preserve">                          ("饼图","渠道来源",None)])   # 自定义组合</w:t>
      </w:r>
      <w:r>
        <w:br/>
      </w:r>
      <w:r>
        <w:rPr>
          <w:rFonts w:ascii="Consolas" w:hAnsi="Consolas" w:eastAsia="宋体"/>
          <w:sz w:val="19"/>
        </w:rPr>
        <w:t>da.图表.看板清单()                    # 列出所有看板模板</w:t>
      </w:r>
    </w:p>
    <w:p>
      <w:r>
        <w:rPr>
          <w:rFonts w:ascii="微软雅黑" w:hAnsi="微软雅黑" w:eastAsia="微软雅黑"/>
          <w:sz w:val="21"/>
        </w:rPr>
        <w:t>内置看板：地区销售 / 渠道对比 / 收益趋势 / 品类销售 / 账号表现 / 接单效率。名称支持友好名（如 '渠道对比'）或函数名（如 '渠道对比看板'）。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六、能力探测与一键计算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da.能力探测(df, "技能外包")   # 列出可算指标 + 差几列能解锁哪些</w:t>
      </w:r>
      <w:r>
        <w:br/>
      </w:r>
      <w:r>
        <w:rPr>
          <w:rFonts w:ascii="Consolas" w:hAnsi="Consolas" w:eastAsia="宋体"/>
          <w:sz w:val="19"/>
        </w:rPr>
        <w:t>da.可算指标(df, "技能外包")    # 仅列当前能算的</w:t>
      </w:r>
      <w:r>
        <w:br/>
      </w:r>
      <w:r>
        <w:rPr>
          <w:rFonts w:ascii="Consolas" w:hAnsi="Consolas" w:eastAsia="宋体"/>
          <w:sz w:val="19"/>
        </w:rPr>
        <w:t>da.一键计算(df, "技能外包")    # 批量算出所有可算指标</w:t>
      </w:r>
    </w:p>
    <w:p>
      <w:r>
        <w:rPr>
          <w:rFonts w:ascii="微软雅黑" w:hAnsi="微软雅黑" w:eastAsia="微软雅黑"/>
          <w:sz w:val="21"/>
        </w:rPr>
        <w:t>可选列容错：指标如 综合成本率 标了可选列 税费，缺该列时按 0 计算仍可算，并给出提示。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七、命令自更新（da.更新）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# 往内置域加一个指标（仅 4 个内置域：技能外包/小微电商/自媒体/零工平台）</w:t>
      </w:r>
      <w:r>
        <w:br/>
      </w:r>
      <w:r>
        <w:rPr>
          <w:rFonts w:ascii="Consolas" w:hAnsi="Consolas" w:eastAsia="宋体"/>
          <w:sz w:val="19"/>
        </w:rPr>
        <w:t>da.更新.加指标(</w:t>
      </w:r>
      <w:r>
        <w:br/>
      </w:r>
      <w:r>
        <w:rPr>
          <w:rFonts w:ascii="Consolas" w:hAnsi="Consolas" w:eastAsia="宋体"/>
          <w:sz w:val="19"/>
        </w:rPr>
        <w:t xml:space="preserve">    域="技能外包", 名称="示例_平均月薪",</w:t>
      </w:r>
      <w:r>
        <w:br/>
      </w:r>
      <w:r>
        <w:rPr>
          <w:rFonts w:ascii="Consolas" w:hAnsi="Consolas" w:eastAsia="宋体"/>
          <w:sz w:val="19"/>
        </w:rPr>
        <w:t xml:space="preserve">    字段=["当前月薪"], 公式="平均月薪=当前月薪均值",</w:t>
      </w:r>
      <w:r>
        <w:br/>
      </w:r>
      <w:r>
        <w:rPr>
          <w:rFonts w:ascii="Consolas" w:hAnsi="Consolas" w:eastAsia="宋体"/>
          <w:sz w:val="19"/>
        </w:rPr>
        <w:t xml:space="preserve">    计算体='return d["当前月薪"].mean()')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加一个看板模板</w:t>
      </w:r>
      <w:r>
        <w:br/>
      </w:r>
      <w:r>
        <w:rPr>
          <w:rFonts w:ascii="Consolas" w:hAnsi="Consolas" w:eastAsia="宋体"/>
          <w:sz w:val="19"/>
        </w:rPr>
        <w:t>da.更新.加看板(名称="我的看板", 图表列表=[{"类型":"柱状图","x":"渠道来源","y":"实收金额"}])</w:t>
      </w:r>
    </w:p>
    <w:p>
      <w:r>
        <w:rPr>
          <w:rFonts w:ascii="微软雅黑" w:hAnsi="微软雅黑" w:eastAsia="微软雅黑"/>
          <w:sz w:val="21"/>
        </w:rPr>
        <w:t>加指标会写入 da/&lt;域&gt;/_自定义.py 并热加载，立即生效。注意：不能直接建新域（如 '薪酬绩效'），新业务域需手写模块（见第八节脚手架）。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八、脚手架（da.脚手架）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da.脚手架.生成指标代码(域名="技能外包", 名称="新指标",</w:t>
      </w:r>
      <w:r>
        <w:br/>
      </w:r>
      <w:r>
        <w:rPr>
          <w:rFonts w:ascii="Consolas" w:hAnsi="Consolas" w:eastAsia="宋体"/>
          <w:sz w:val="19"/>
        </w:rPr>
        <w:t xml:space="preserve">                     字段=["列A","列B"], 公式="新指标=列A/列B")</w:t>
      </w:r>
      <w:r>
        <w:br/>
      </w:r>
      <w:r>
        <w:rPr>
          <w:rFonts w:ascii="Consolas" w:hAnsi="Consolas" w:eastAsia="宋体"/>
          <w:sz w:val="19"/>
        </w:rPr>
        <w:t>da.脚手架.生成看板代码(名称="新看板", 图表列表=[{"类型":"柱状图","x":"x列","y":"y列"}])</w:t>
      </w:r>
    </w:p>
    <w:p>
      <w:r>
        <w:rPr>
          <w:rFonts w:ascii="微软雅黑" w:hAnsi="微软雅黑" w:eastAsia="微软雅黑"/>
          <w:sz w:val="21"/>
        </w:rPr>
        <w:t>生成代码骨架，复制到对应模块文件后补全逻辑即可。适合把薪酬绩效等不在内置域的业务本地化成新域。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九、完整实例（用自带 sample_skills.csv，全可跑）</w:t>
      </w:r>
    </w:p>
    <w:p>
      <w:pPr>
        <w:shd w:val="clear" w:color="auto" w:fill="F2F2F2"/>
        <w:pBdr>
          <w:left w:val="single" w:sz="24" w:space="6" w:color="1F4E79"/>
        </w:pBdr>
        <w:spacing w:before="80" w:after="80"/>
        <w:ind w:left="259"/>
      </w:pPr>
      <w:r>
        <w:rPr>
          <w:rFonts w:ascii="Consolas" w:hAnsi="Consolas" w:eastAsia="宋体"/>
          <w:sz w:val="19"/>
        </w:rPr>
        <w:t>import da, pandas as pd</w:t>
      </w:r>
      <w:r>
        <w:br/>
      </w:r>
      <w:r>
        <w:rPr>
          <w:rFonts w:ascii="Consolas" w:hAnsi="Consolas" w:eastAsia="宋体"/>
          <w:sz w:val="19"/>
        </w:rPr>
        <w:t>df = pd.read_csv("data/sample_skills.csv")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1) 先看这份数据能算哪些指标</w:t>
      </w:r>
      <w:r>
        <w:br/>
      </w:r>
      <w:r>
        <w:rPr>
          <w:rFonts w:ascii="Consolas" w:hAnsi="Consolas" w:eastAsia="宋体"/>
          <w:sz w:val="19"/>
        </w:rPr>
        <w:t>print(da.能力探测(df, "技能外包"))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2) 指标：顶层直呼 与 域级 等价</w:t>
      </w:r>
      <w:r>
        <w:br/>
      </w:r>
      <w:r>
        <w:rPr>
          <w:rFonts w:ascii="Consolas" w:hAnsi="Consolas" w:eastAsia="宋体"/>
          <w:sz w:val="19"/>
        </w:rPr>
        <w:t>print(da.净到手率(df))                  # 顶层直呼</w:t>
      </w:r>
      <w:r>
        <w:br/>
      </w:r>
      <w:r>
        <w:rPr>
          <w:rFonts w:ascii="Consolas" w:hAnsi="Consolas" w:eastAsia="宋体"/>
          <w:sz w:val="19"/>
        </w:rPr>
        <w:t>print(da.技能外包.净到手率(df))         # 等价的域级</w:t>
      </w:r>
      <w:r>
        <w:br/>
      </w:r>
      <w:r>
        <w:rPr>
          <w:rFonts w:ascii="Consolas" w:hAnsi="Consolas" w:eastAsia="宋体"/>
          <w:sz w:val="19"/>
        </w:rPr>
        <w:t>print(da.技能外包.净到手率(df, by="渠道来源"))   # 分组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3) 清洗：异常值检测（只标记不删）</w:t>
      </w:r>
      <w:r>
        <w:br/>
      </w:r>
      <w:r>
        <w:rPr>
          <w:rFonts w:ascii="Consolas" w:hAnsi="Consolas" w:eastAsia="宋体"/>
          <w:sz w:val="19"/>
        </w:rPr>
        <w:t>d = da.数据清洗.异常值检测(df, 数值列=["报价金额","实收金额"],</w:t>
      </w:r>
      <w:r>
        <w:br/>
      </w:r>
      <w:r>
        <w:rPr>
          <w:rFonts w:ascii="Consolas" w:hAnsi="Consolas" w:eastAsia="宋体"/>
          <w:sz w:val="19"/>
        </w:rPr>
        <w:t xml:space="preserve">                            方法="iqr", 系数=1.5)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4) 图表：四种</w:t>
      </w:r>
      <w:r>
        <w:br/>
      </w:r>
      <w:r>
        <w:rPr>
          <w:rFonts w:ascii="Consolas" w:hAnsi="Consolas" w:eastAsia="宋体"/>
          <w:sz w:val="19"/>
        </w:rPr>
        <w:t>da.图表.画(df, 类型="柱状图", x="渠道来源", y="实收金额", 预设="商务蓝")</w:t>
      </w:r>
      <w:r>
        <w:br/>
      </w:r>
      <w:r>
        <w:rPr>
          <w:rFonts w:ascii="Consolas" w:hAnsi="Consolas" w:eastAsia="宋体"/>
          <w:sz w:val="19"/>
        </w:rPr>
        <w:t>da.图表.画(df, 类型="饼图",   x="渠道来源",          预设="活力橙")</w:t>
      </w:r>
      <w:r>
        <w:br/>
      </w:r>
      <w:r>
        <w:rPr>
          <w:rFonts w:ascii="Consolas" w:hAnsi="Consolas" w:eastAsia="宋体"/>
          <w:sz w:val="19"/>
        </w:rPr>
        <w:t>da.图表.画(df, 类型="直方图", x="实收金额",         预设="清爽白")</w:t>
      </w:r>
      <w:r>
        <w:br/>
      </w:r>
      <w:r>
        <w:rPr>
          <w:rFonts w:ascii="Consolas" w:hAnsi="Consolas" w:eastAsia="宋体"/>
          <w:sz w:val="19"/>
        </w:rPr>
        <w:t>da.图表.画(df, 类型="箱线图", x="渠道来源", y="实收金额", 预设="暗夜")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5) 看板（友好名）</w:t>
      </w:r>
      <w:r>
        <w:br/>
      </w:r>
      <w:r>
        <w:rPr>
          <w:rFonts w:ascii="Consolas" w:hAnsi="Consolas" w:eastAsia="宋体"/>
          <w:sz w:val="19"/>
        </w:rPr>
        <w:t>da.图表.看板(df, 名称="渠道对比")</w:t>
      </w:r>
      <w:r>
        <w:br/>
      </w:r>
      <w:r>
        <w:rPr>
          <w:rFonts w:ascii="Consolas" w:hAnsi="Consolas" w:eastAsia="宋体"/>
          <w:sz w:val="19"/>
        </w:rPr>
      </w:r>
      <w:r>
        <w:br/>
      </w:r>
      <w:r>
        <w:rPr>
          <w:rFonts w:ascii="Consolas" w:hAnsi="Consolas" w:eastAsia="宋体"/>
          <w:sz w:val="19"/>
        </w:rPr>
        <w:t># 6) 看配方</w:t>
      </w:r>
      <w:r>
        <w:br/>
      </w:r>
      <w:r>
        <w:rPr>
          <w:rFonts w:ascii="Consolas" w:hAnsi="Consolas" w:eastAsia="宋体"/>
          <w:sz w:val="19"/>
        </w:rPr>
        <w:t>da.show_recipe(da.净到手率)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附录：常用命令速查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</w:t>
            </w:r>
          </w:p>
        </w:tc>
        <w:tc>
          <w:tcPr>
            <w:tcW w:type="dxa" w:w="7200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一行命令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顶层调指标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da.净到手率(df)</w:t>
            </w:r>
          </w:p>
        </w:tc>
      </w:tr>
      <w:tr>
        <w:tc>
          <w:tcPr>
            <w:tcW w:type="dxa" w:w="316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域级调指标</w:t>
            </w:r>
          </w:p>
        </w:tc>
        <w:tc>
          <w:tcPr>
            <w:tcW w:type="dxa" w:w="720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da.技能外包.净到手率(df)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9"/>
              </w:rPr>
              <w:t>看算法配方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da.show_recipe(da.净到手率)</w:t>
            </w:r>
          </w:p>
        </w:tc>
      </w:tr>
      <w:tr>
        <w:tc>
          <w:tcPr>
            <w:tcW w:type="dxa" w:w="316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列全部指标</w:t>
            </w:r>
          </w:p>
        </w:tc>
        <w:tc>
          <w:tcPr>
            <w:tcW w:type="dxa" w:w="720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da.list_metrics()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9"/>
              </w:rPr>
              <w:t>能力探测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da.能力探测(df, '技能外包')</w:t>
            </w:r>
          </w:p>
        </w:tc>
      </w:tr>
      <w:tr>
        <w:tc>
          <w:tcPr>
            <w:tcW w:type="dxa" w:w="316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按参照列填空</w:t>
            </w:r>
          </w:p>
        </w:tc>
        <w:tc>
          <w:tcPr>
            <w:tcW w:type="dxa" w:w="720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da.数据清洗.按参照列填充(df, 目标列='商品类型', 参考列='商品名称')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9"/>
              </w:rPr>
              <w:t>异常值检测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da.数据清洗.异常值检测(df, 数值列=['当前月薪'], 方法='iqr', 系数=1.5)</w:t>
            </w:r>
          </w:p>
        </w:tc>
      </w:tr>
      <w:tr>
        <w:tc>
          <w:tcPr>
            <w:tcW w:type="dxa" w:w="316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画柱状图</w:t>
            </w:r>
          </w:p>
        </w:tc>
        <w:tc>
          <w:tcPr>
            <w:tcW w:type="dxa" w:w="720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da.图表.画(df, 类型='柱状图', x='渠道来源', y='实收金额', 预设='商务蓝')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9"/>
              </w:rPr>
              <w:t>换黑底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预设='暗夜'</w:t>
            </w:r>
          </w:p>
        </w:tc>
      </w:tr>
      <w:tr>
        <w:tc>
          <w:tcPr>
            <w:tcW w:type="dxa" w:w="3168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</w:t>
            </w:r>
          </w:p>
        </w:tc>
        <w:tc>
          <w:tcPr>
            <w:tcW w:type="dxa" w:w="7200"/>
            <w:shd w:val="clear" w:color="auto" w:fill="EDF2F8"/>
          </w:tcPr>
          <w:p>
            <w:r/>
            <w:r>
              <w:rPr>
                <w:rFonts w:ascii="微软雅黑" w:hAnsi="微软雅黑" w:eastAsia="微软雅黑"/>
                <w:sz w:val="19"/>
              </w:rPr>
              <w:t>da.图表.看板(df, 名称='渠道对比')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9"/>
              </w:rPr>
              <w:t>加指标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da.更新.加指标(域='技能外包', 名称='x', 字段=['a'], 公式='', 计算体='return ...')</w:t>
            </w:r>
          </w:p>
        </w:tc>
      </w:tr>
    </w:tbl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