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B7AF4">
      <w:pPr>
        <w:jc w:val="center"/>
      </w:pPr>
      <w:r>
        <w:rPr>
          <w:rFonts w:ascii="黑体" w:hAnsi="黑体" w:eastAsia="黑体"/>
          <w:b/>
          <w:sz w:val="32"/>
        </w:rPr>
        <w:t>组内成员分工与贡献表</w:t>
      </w:r>
    </w:p>
    <w:p w14:paraId="7F091B90">
      <w:pPr>
        <w:jc w:val="center"/>
      </w:pPr>
      <w:r>
        <w:rPr>
          <w:rFonts w:ascii="宋体" w:hAnsi="宋体" w:eastAsia="宋体"/>
          <w:sz w:val="21"/>
        </w:rPr>
        <w:t>计算机视觉综合实践：无人机视角下的双光目标检测</w:t>
      </w:r>
    </w:p>
    <w:tbl>
      <w:tblPr>
        <w:tblStyle w:val="33"/>
        <w:tblW w:w="142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701"/>
        <w:gridCol w:w="10035"/>
        <w:gridCol w:w="1304"/>
      </w:tblGrid>
      <w:tr w14:paraId="4E1A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B600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小组成员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10B7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学号</w:t>
            </w:r>
          </w:p>
        </w:tc>
        <w:tc>
          <w:tcPr>
            <w:tcW w:w="100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640B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分工</w:t>
            </w:r>
          </w:p>
        </w:tc>
        <w:tc>
          <w:tcPr>
            <w:tcW w:w="130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469A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贡献占比</w:t>
            </w:r>
          </w:p>
        </w:tc>
      </w:tr>
      <w:tr w14:paraId="23C9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862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陈涛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C6EF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3023244121</w:t>
            </w:r>
          </w:p>
        </w:tc>
        <w:tc>
          <w:tcPr>
            <w:tcW w:w="10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01D9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负责课程提供数据下载后的工程化处理，包括 RGB/热红外图像路径配对、COCO 标注到 YOLO 训练格式转换、类别映射检查、训练/验证/测试配置文件维护，并参与数据读取模块调试。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C2E41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1/3</w:t>
            </w:r>
          </w:p>
        </w:tc>
      </w:tr>
      <w:tr w14:paraId="3D0B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980F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许皓然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046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3023244116</w:t>
            </w:r>
          </w:p>
        </w:tc>
        <w:tc>
          <w:tcPr>
            <w:tcW w:w="10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B147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负责 RGB-T 双分支检测模型开发，包括 YOLO11l dual-stem 结构接入、双模态特征融合模块实现、预训练权重加载适配、训练参数配置与模型收敛调试。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4AEEC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1/3</w:t>
            </w:r>
          </w:p>
        </w:tc>
      </w:tr>
      <w:tr w14:paraId="010AF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93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陈仕伟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F8A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3023244119</w:t>
            </w:r>
          </w:p>
        </w:tc>
        <w:tc>
          <w:tcPr>
            <w:tcW w:w="10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9F50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负责推理与结果融合系统开发，包括 none/hflip 测试时增强、COCO JSON 结果生成、WBF 检测框融合、提交文件压缩与线上评测结果分析。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77CBA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sz w:val="19"/>
                <w:lang w:val="en-US" w:eastAsia="zh-CN"/>
              </w:rPr>
              <w:t>1/3</w:t>
            </w:r>
          </w:p>
        </w:tc>
      </w:tr>
    </w:tbl>
    <w:p w14:paraId="150F7D90">
      <w:pPr>
        <w:spacing w:before="160"/>
      </w:pPr>
      <w:bookmarkStart w:id="0" w:name="_GoBack"/>
      <w:bookmarkEnd w:id="0"/>
    </w:p>
    <w:sectPr>
      <w:pgSz w:w="15840" w:h="12240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790D04"/>
    <w:rsid w:val="4404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362</Characters>
  <Lines>0</Lines>
  <Paragraphs>0</Paragraphs>
  <TotalTime>0</TotalTime>
  <ScaleCrop>false</ScaleCrop>
  <LinksUpToDate>false</LinksUpToDate>
  <CharactersWithSpaces>376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qars</dc:creator>
  <dc:description>generated by python-docx</dc:description>
  <cp:lastModifiedBy>qars</cp:lastModifiedBy>
  <dcterms:modified xsi:type="dcterms:W3CDTF">2026-07-01T19:43:28Z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eyJoZGlkIjoiNzNlZTE2MDAzN2ZmMzk2NjM1OTE5MTM3NjRlMGU1YmEiLCJ1c2VySWQiOiIxNTIwNzMxMzk4In0=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E2AEA7672D6B4BE3A342CABA007A7BB7_12</vt:lpwstr>
  </property>
</Properties>
</file>