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0F2F2">
      <w:pPr>
        <w:spacing w:after="160"/>
        <w:jc w:val="center"/>
      </w:pPr>
      <w:r>
        <w:rPr>
          <w:rFonts w:ascii="Times New Roman" w:hAnsi="Times New Roman" w:eastAsia="黑体"/>
          <w:b/>
          <w:sz w:val="32"/>
        </w:rPr>
        <w:t>无人机视角下 RGB-T 双光车辆检测实验报告</w:t>
      </w:r>
    </w:p>
    <w:p w14:paraId="408D494E">
      <w:pPr>
        <w:spacing w:after="240"/>
        <w:jc w:val="center"/>
      </w:pPr>
      <w:r>
        <w:rPr>
          <w:rFonts w:ascii="Times New Roman" w:hAnsi="Times New Roman" w:eastAsia="仿宋"/>
          <w:b w:val="0"/>
          <w:sz w:val="24"/>
        </w:rPr>
        <w:t>基于 YOLO11 双分支门控融合、测试增强与 WBF 的检测方案</w:t>
      </w:r>
    </w:p>
    <w:p w14:paraId="638BA000">
      <w:pPr>
        <w:spacing w:before="200" w:after="120"/>
      </w:pPr>
      <w:r>
        <w:rPr>
          <w:rFonts w:ascii="Times New Roman" w:hAnsi="Times New Roman" w:eastAsia="黑体"/>
          <w:b/>
          <w:sz w:val="26"/>
        </w:rPr>
        <w:t>一、任务理解</w:t>
      </w:r>
    </w:p>
    <w:p w14:paraId="3CBE69C9">
      <w:pPr>
        <w:spacing w:before="0" w:after="100" w:line="324" w:lineRule="auto"/>
        <w:ind w:firstLine="480"/>
      </w:pPr>
      <w:r>
        <w:rPr>
          <w:rFonts w:ascii="Times New Roman" w:hAnsi="Times New Roman" w:eastAsia="宋体"/>
          <w:b w:val="0"/>
          <w:sz w:val="24"/>
        </w:rPr>
        <w:t>本实验面向无人机视角下的 RGB-T 双光目标检测。数据同时提供可见光 RGB 图像和红外 TIR 图像，训练集为 17990 对图像，验证集为 1469 对图像，测试集为 1000 对图像；训练和验证标注采用 COCO JSON，最终提交也需要生成 COCO bbox 检测结果。检测类别包括 car、truck、bus、van 和 freight_car。场景覆盖城市道路、居民区、停车场以及白天到夜晚等不同光照条件，目标普遍较小，且部分类别外观接近，因此任务难点主要集中在小目标召回、跨模态信息利用和测试集分布变化三个方面。</w:t>
      </w:r>
    </w:p>
    <w:p w14:paraId="2932DE85">
      <w:pPr>
        <w:spacing w:before="0" w:after="100" w:line="324" w:lineRule="auto"/>
        <w:ind w:firstLine="480"/>
      </w:pPr>
      <w:bookmarkStart w:id="0" w:name="_GoBack"/>
      <w:bookmarkEnd w:id="0"/>
      <w:r>
        <w:rPr>
          <w:rFonts w:ascii="Times New Roman" w:hAnsi="Times New Roman" w:eastAsia="宋体"/>
          <w:b w:val="0"/>
          <w:sz w:val="24"/>
        </w:rPr>
        <w:t>当前线上最好成绩为 mAP=0.370549，模型大小按评审页面填写为 113.58M。该成绩来自 YOLO11l RGB-T 双分支模型，并结合原图推理、水平翻转推理和 Weighted Boxes Fusion 后处理得到。</w:t>
      </w:r>
    </w:p>
    <w:p w14:paraId="6F6A92E4">
      <w:pPr>
        <w:spacing w:before="200" w:after="120"/>
      </w:pPr>
      <w:r>
        <w:rPr>
          <w:rFonts w:ascii="Times New Roman" w:hAnsi="Times New Roman" w:eastAsia="黑体"/>
          <w:b/>
          <w:sz w:val="26"/>
        </w:rPr>
        <w:t>二、方法设计</w:t>
      </w:r>
    </w:p>
    <w:p w14:paraId="70453495">
      <w:pPr>
        <w:spacing w:before="0" w:after="100" w:line="324" w:lineRule="auto"/>
        <w:ind w:firstLine="480"/>
      </w:pPr>
      <w:r>
        <w:rPr>
          <w:rFonts w:ascii="Times New Roman" w:hAnsi="Times New Roman" w:eastAsia="宋体"/>
          <w:b w:val="0"/>
          <w:sz w:val="24"/>
        </w:rPr>
        <w:t>直接将 RGB 与 TIR 图像拼成 6 通道输入虽然实现简单，但会破坏预训练模型第一层的输入分布，也容易让两种成像差异较大的模态在浅层阶段过早混杂。为此，本实验在 YOLO11l 的基础上改造了输入端结构：RGB 图像和 TIR 图像分别经过独立的 stem 提取浅层特征，再通过可学习门控模块进行特征级融合，融合后的特征继续送入共享的 YOLO11 主干、颈部和检测头。</w:t>
      </w:r>
    </w:p>
    <w:p w14:paraId="524790C8">
      <w:pPr>
        <w:spacing w:before="0" w:after="100" w:line="324" w:lineRule="auto"/>
        <w:ind w:firstLine="480"/>
      </w:pPr>
      <w:r>
        <w:rPr>
          <w:rFonts w:ascii="Times New Roman" w:hAnsi="Times New Roman" w:eastAsia="宋体"/>
          <w:b w:val="0"/>
          <w:sz w:val="24"/>
        </w:rPr>
        <w:t>门控融合的核心思想是让模型根据当前图像内容自动调整两种模态的贡献。具体地，将两路浅层特征拼接后经过 1×1 卷积和 sigmoid 得到权重 α，最终融合特征可写为 F=αF_rgb+(1-α)F_tir。这样处理后，白天或纹理清晰场景中模型可以更多利用 RGB 细节，夜间或低照度场景中模型可以更多依赖 TIR 轮廓。为减少红外分支从零学习带来的不稳定，TIR stem 使用 RGB stem 的预训练权重进行初始化，使新增分支能够继承 YOLO 的基础边缘和纹理表达能力。</w:t>
      </w:r>
    </w:p>
    <w:p w14:paraId="6E2541ED">
      <w:pPr>
        <w:spacing w:before="0" w:after="100" w:line="324" w:lineRule="auto"/>
        <w:ind w:firstLine="480"/>
      </w:pPr>
      <w:r>
        <w:rPr>
          <w:rFonts w:ascii="Times New Roman" w:hAnsi="Times New Roman" w:eastAsia="宋体"/>
          <w:b w:val="0"/>
          <w:sz w:val="24"/>
        </w:rPr>
        <w:t>训练阶段使用 896×896 输入尺寸，batch size 为 8，最多训练 40 个 epoch，并使用 early stopping 控制过拟合。由于 RGB 与 TIR 必须保持像素级对应，训练中没有采用 mosaic、mixup、cutmix、copy-paste 等强增强；主要保留水平翻转等不会破坏成对关系的增强。该策略降低了模态错位风险，但也使训练样本变化相对有限，后续仍需要通过同步缩放、同步平移和亮度扰动等方式增强泛化能力。</w:t>
      </w:r>
    </w:p>
    <w:p w14:paraId="6148DDFF">
      <w:pPr>
        <w:spacing w:before="200" w:after="120"/>
      </w:pPr>
      <w:r>
        <w:rPr>
          <w:rFonts w:ascii="Times New Roman" w:hAnsi="Times New Roman" w:eastAsia="黑体"/>
          <w:b/>
          <w:sz w:val="26"/>
        </w:rPr>
        <w:t>三、推理与结果融合</w:t>
      </w:r>
    </w:p>
    <w:p w14:paraId="07D0ADB7">
      <w:pPr>
        <w:spacing w:before="0" w:after="100" w:line="324" w:lineRule="auto"/>
        <w:ind w:firstLine="480"/>
      </w:pPr>
      <w:r>
        <w:rPr>
          <w:rFonts w:ascii="Times New Roman" w:hAnsi="Times New Roman" w:eastAsia="宋体"/>
          <w:b w:val="0"/>
          <w:sz w:val="24"/>
        </w:rPr>
        <w:t>最终提交没有只使用一次普通推理。主模型首先在测试集上进行原图预测，再进行水平翻转 TTA 预测，并将翻转预测框映射回原图坐标。随后按照图像编号和类别对多个预测结果进行 WBF 融合：对 IoU 较高的检测框聚为一组，再按置信度对框坐标进行加权平均，从而减少单次推理带来的位置抖动。当前最佳参数为 WBF IoU=0.70，输出分数阈值为 0.0018，最终 JSON 大小约 4.92MB，满足网页 5MB 限制，共保留 61287 个检测框，平均每张测试图约 61 个框。</w:t>
      </w:r>
    </w:p>
    <w:p w14:paraId="3BBB3923">
      <w:pPr>
        <w:spacing w:before="0" w:after="100" w:line="324" w:lineRule="auto"/>
        <w:ind w:firstLine="480"/>
      </w:pPr>
      <w:r>
        <w:rPr>
          <w:rFonts w:ascii="Times New Roman" w:hAnsi="Times New Roman" w:eastAsia="宋体"/>
          <w:b w:val="0"/>
          <w:sz w:val="24"/>
        </w:rPr>
        <w:t>验证集上，原图推理 AP_50:95 为 0.5976899，水平翻转推理提升到 0.6027072，说明两种预测存在一定互补性。线上评审结果为 mAP=0.370549、mAP_50=0.522094、mAP_75=0.430877，AR@100 为 0.585672，AR@500 为 0.595216。AR@100 到 AR@500 提升较小，说明继续保留大量低分框对召回增益有限，过低的 score 阈值可能引入额外误检。因此后续更适合对不同类别设置不同分数阈值，而不是单纯继续降低全局阈值。</w:t>
      </w:r>
    </w:p>
    <w:p w14:paraId="223AE7E4">
      <w:pPr>
        <w:spacing w:before="200" w:after="120"/>
      </w:pPr>
      <w:r>
        <w:rPr>
          <w:rFonts w:ascii="Times New Roman" w:hAnsi="Times New Roman" w:eastAsia="黑体"/>
          <w:b/>
          <w:sz w:val="26"/>
        </w:rPr>
        <w:t>四、实验分析与创新点</w:t>
      </w:r>
    </w:p>
    <w:p w14:paraId="47FCC67D">
      <w:pPr>
        <w:spacing w:before="0" w:after="100" w:line="324" w:lineRule="auto"/>
        <w:ind w:firstLine="480"/>
      </w:pPr>
      <w:r>
        <w:rPr>
          <w:rFonts w:ascii="Times New Roman" w:hAnsi="Times New Roman" w:eastAsia="宋体"/>
          <w:b w:val="0"/>
          <w:sz w:val="24"/>
        </w:rPr>
        <w:t>与 RGB-only、6 通道直接输入、输入附近简单融合、YOLO11x 大模型等尝试相比，当前方案的优势不是单纯增大参数量，而是针对 RGB-T 数据特点进行了结构适配。RGB-only 没有利用红外信息，夜间和低照度场景存在上限；6 通道直接输入对预训练权重扰动较大；YOLO11x 虽然更大，但线上效果没有稳定超过 YOLO11l，说明瓶颈不只是模型容量。当前双 stem 门控结构在保留 YOLO11 检测框架成熟性的同时，使 RGB 与 TIR 能够先分别建模再融合，是本方案的主要结构改进。</w:t>
      </w:r>
    </w:p>
    <w:p w14:paraId="0DE63B3C">
      <w:pPr>
        <w:spacing w:before="0" w:after="100" w:line="324" w:lineRule="auto"/>
        <w:ind w:firstLine="480"/>
      </w:pPr>
      <w:r>
        <w:rPr>
          <w:rFonts w:ascii="Times New Roman" w:hAnsi="Times New Roman" w:eastAsia="宋体"/>
          <w:b w:val="0"/>
          <w:sz w:val="24"/>
        </w:rPr>
        <w:t>本方案的创新主要体现在三个方面。第一，构建了面向 RGB-T 成对数据的双分支读取和双 stem 特征提取流程，避免将两种模态简单拼接后直接输入主干。第二，采用可学习门控融合，让模型根据图像内容自适应分配 RGB 与 TIR 权重，并通过预训练权重迁移提高红外分支训练稳定性。第三，在推理阶段结合水平翻转 TTA、WBF 和提交文件大小约束进行后处理，使检测框位置更稳定，也保证最终 JSON 能够正常上传评审。需要说明的是，YOLO11 和 WBF 本身属于已有技术，本实验的主要工作在于将它们针对无人机 RGB-T 场景进行工程化改造和参数化适配。</w:t>
      </w:r>
    </w:p>
    <w:p w14:paraId="1A344BDE">
      <w:pPr>
        <w:spacing w:before="200" w:after="120"/>
      </w:pPr>
      <w:r>
        <w:rPr>
          <w:rFonts w:ascii="Times New Roman" w:hAnsi="Times New Roman" w:eastAsia="黑体"/>
          <w:b/>
          <w:sz w:val="26"/>
        </w:rPr>
        <w:t>五、问题与后续改进</w:t>
      </w:r>
    </w:p>
    <w:p w14:paraId="11D436D3">
      <w:pPr>
        <w:spacing w:before="0" w:after="100" w:line="324" w:lineRule="auto"/>
        <w:ind w:firstLine="480"/>
      </w:pPr>
      <w:r>
        <w:rPr>
          <w:rFonts w:ascii="Times New Roman" w:hAnsi="Times New Roman" w:eastAsia="宋体"/>
          <w:b w:val="0"/>
          <w:sz w:val="24"/>
        </w:rPr>
        <w:t>当前方案仍有明显局限。首先，模型规模为 113.58M，与“尽量小模型”的目标还有差距；其次，本地验证集和线上测试集之间存在较大落差，说明测试集的天气、光照和采集场景变化造成了分布差异；再次，truck、van、freight_car 之间外观相近，容易发生类别混淆；最后，平均每图 61 个框的输出策略偏重召回，可能牺牲精度。</w:t>
      </w:r>
    </w:p>
    <w:p w14:paraId="09A520B7">
      <w:pPr>
        <w:spacing w:before="0" w:after="100" w:line="324" w:lineRule="auto"/>
        <w:ind w:firstLine="480"/>
      </w:pPr>
      <w:r>
        <w:rPr>
          <w:rFonts w:ascii="Times New Roman" w:hAnsi="Times New Roman" w:eastAsia="宋体"/>
          <w:b w:val="0"/>
          <w:sz w:val="24"/>
        </w:rPr>
        <w:t>后续改进应优先围绕“小模型保持高分”展开。第一，将当前 YOLO11l 作为 teacher，训练 YOLO11m 或 YOLO11s 双 stem 学生模型，通过伪标签或检测头蒸馏压缩模型规模。第二，在 P3、P4 等更适合小目标的特征层增加轻量门控融合，使 RGB-T 信息不仅在浅层融合，也能在中层特征中继续交互。第三，引入切图推理或 SAHI，将局部区域放大后再检测，再与整图结果 WBF 融合，以不增加模型参数的方式提升小目标召回。第四，基于验证集按类别统计 AP 和混淆情况，为 car、truck、bus、van、freight_car 设置差异化 score 阈值，减少低置信误检。</w:t>
      </w:r>
    </w:p>
    <w:p w14:paraId="4BD2CE4D">
      <w:pPr>
        <w:spacing w:before="0" w:after="100" w:line="324" w:lineRule="auto"/>
        <w:ind w:firstLine="480"/>
      </w:pPr>
      <w:r>
        <w:rPr>
          <w:rFonts w:ascii="Times New Roman" w:hAnsi="Times New Roman" w:eastAsia="宋体"/>
          <w:b w:val="0"/>
          <w:sz w:val="24"/>
        </w:rPr>
        <w:t>在复现和提交层面，项目保留了从数据读取、RGB-T 成对加载、模型训练、测试推理到 JSON 融合压缩的完整流程。最终推荐文件为 RECOMMENDED_submit_113M_score_0p370549.json，对应权重为 best_yolo11l_dualstem_i896.pt。训练和推理代码集中在 04_code 目录，便于根据当前方案继续替换模型规模、调整融合位置或重新扫描 WBF 参数。</w:t>
      </w:r>
    </w:p>
    <w:p w14:paraId="02E39A78">
      <w:pPr>
        <w:spacing w:before="0" w:after="100" w:line="324" w:lineRule="auto"/>
        <w:ind w:firstLine="480"/>
      </w:pPr>
      <w:r>
        <w:rPr>
          <w:rFonts w:ascii="Times New Roman" w:hAnsi="Times New Roman" w:eastAsia="宋体"/>
          <w:b w:val="0"/>
          <w:sz w:val="24"/>
        </w:rPr>
        <w:t>综合来看，本实验已经完成从单模态 YOLO 到 RGB-T 双分支门控融合模型的改造，并通过 TTA 与 WBF 获得当前线上最好结果。后续不宜继续盲目增大模型，而应以轻量化多层融合、教师蒸馏和小目标推理增强为重点，在控制模型大小的同时提高线上 mAP。</w:t>
      </w:r>
    </w:p>
    <w:sectPr>
      <w:pgSz w:w="11906" w:h="16838"/>
      <w:pgMar w:top="1134" w:right="1191" w:bottom="113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D442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2160</Words>
  <Characters>2801</Characters>
  <Lines>0</Lines>
  <Paragraphs>0</Paragraphs>
  <TotalTime>18</TotalTime>
  <ScaleCrop>false</ScaleCrop>
  <LinksUpToDate>false</LinksUpToDate>
  <CharactersWithSpaces>3001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qars</cp:lastModifiedBy>
  <dcterms:modified xsi:type="dcterms:W3CDTF">2026-07-01T19:41:30Z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eyJoZGlkIjoiNzNlZTE2MDAzN2ZmMzk2NjM1OTE5MTM3NjRlMGU1YmEiLCJ1c2VySWQiOiIxNTIwNzMxMzk4In0=</vt:lpwstr>
  </property>
  <property fmtid="{D5CDD505-2E9C-101B-9397-08002B2CF9AE}" pid="3" name="KSOProductBuildVer">
    <vt:lpwstr>2052-12.1.0.26895</vt:lpwstr>
  </property>
  <property fmtid="{D5CDD505-2E9C-101B-9397-08002B2CF9AE}" pid="4" name="ICV">
    <vt:lpwstr>845AE973208A4DDC894B53CDEE18C95B_12</vt:lpwstr>
  </property>
</Properties>
</file>