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DM Sans" w:cs="DM Sans" w:eastAsia="DM Sans" w:hAnsi="DM Sans"/>
          <w:b/>
          <w:bCs/>
          <w:color w:val="4338CA"/>
          <w:sz w:val="52"/>
          <w:szCs w:val="52"/>
        </w:rPr>
        <w:t xml:space="preserve">ADAPT BY LMJ</w:t>
      </w:r>
    </w:p>
    <w:p>
      <w:pPr>
        <w:pBdr>
          <w:bottom w:val="single" w:color="4338CA" w:sz="4" w:space="12"/>
        </w:pBdr>
        <w:spacing w:after="60"/>
        <w:jc w:val="center"/>
      </w:pPr>
      <w:r>
        <w:rPr>
          <w:rFonts w:ascii="DM Sans" w:cs="DM Sans" w:eastAsia="DM Sans" w:hAnsi="DM Sans"/>
          <w:color w:val="6B7280"/>
          <w:spacing w:val="200"/>
          <w:sz w:val="24"/>
          <w:szCs w:val="24"/>
        </w:rPr>
        <w:t xml:space="preserve">PLATEFORME DE COACHING SPORTIF</w:t>
      </w:r>
    </w:p>
    <w:p>
      <w:pPr>
        <w:spacing w:before="600" w:after="0"/>
      </w:pPr>
    </w:p>
    <w:p>
      <w:pPr>
        <w:spacing w:after="200"/>
        <w:jc w:val="center"/>
      </w:pPr>
      <w:r>
        <w:rPr>
          <w:rFonts w:ascii="DM Sans" w:cs="DM Sans" w:eastAsia="DM Sans" w:hAnsi="DM Sans"/>
          <w:b/>
          <w:bCs/>
          <w:color w:val="1E1E2E"/>
          <w:sz w:val="44"/>
          <w:szCs w:val="44"/>
        </w:rPr>
        <w:t xml:space="preserve">CAHIER DES CHARGES</w:t>
      </w:r>
    </w:p>
    <w:p>
      <w:pPr>
        <w:spacing w:after="80"/>
        <w:jc w:val="center"/>
      </w:pPr>
      <w:r>
        <w:rPr>
          <w:rFonts w:ascii="DM Sans" w:cs="DM Sans" w:eastAsia="DM Sans" w:hAnsi="DM Sans"/>
          <w:color w:val="6B7280"/>
          <w:sz w:val="24"/>
          <w:szCs w:val="24"/>
        </w:rPr>
        <w:t xml:space="preserve">Correctifs, bugs et évolutions requises</w:t>
      </w:r>
    </w:p>
    <w:p>
      <w:pPr>
        <w:spacing w:before="200" w:after="0"/>
      </w:pPr>
    </w:p>
    <w:p>
      <w:pPr>
        <w:spacing w:after="200"/>
        <w:jc w:val="center"/>
      </w:pPr>
      <w:r>
        <w:rPr>
          <w:rFonts w:ascii="DM Sans" w:cs="DM Sans" w:eastAsia="DM Sans" w:hAnsi="DM Sans"/>
          <w:i/>
          <w:iCs/>
          <w:color w:val="6B7280"/>
          <w:sz w:val="20"/>
          <w:szCs w:val="20"/>
        </w:rPr>
        <w:t xml:space="preserve">Document de référence — Version 1.0</w:t>
      </w:r>
    </w:p>
    <w:p>
      <w:pPr>
        <w:spacing w:before="1200"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b/>
                <w:bCs/>
                <w:color w:val="4338CA"/>
                <w:sz w:val="20"/>
                <w:szCs w:val="20"/>
              </w:rPr>
              <w:t xml:space="preserve">Client</w:t>
            </w:r>
          </w:p>
        </w:tc>
        <w:tc>
          <w:tcPr>
            <w:tcW w:type="dxa" w:w="3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color w:val="1E1E2E"/>
                <w:sz w:val="20"/>
                <w:szCs w:val="20"/>
              </w:rPr>
              <w:t xml:space="preserve">LMJ Coaching</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b/>
                <w:bCs/>
                <w:color w:val="4338CA"/>
                <w:sz w:val="20"/>
                <w:szCs w:val="20"/>
              </w:rPr>
              <w:t xml:space="preserve">Projet</w:t>
            </w:r>
          </w:p>
        </w:tc>
        <w:tc>
          <w:tcPr>
            <w:tcW w:type="dxa" w:w="3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color w:val="1E1E2E"/>
                <w:sz w:val="20"/>
                <w:szCs w:val="20"/>
              </w:rPr>
              <w:t xml:space="preserve">ADAPT by LMJ</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b/>
                <w:bCs/>
                <w:color w:val="4338CA"/>
                <w:sz w:val="20"/>
                <w:szCs w:val="20"/>
              </w:rPr>
              <w:t xml:space="preserve">Agence</w:t>
            </w:r>
          </w:p>
        </w:tc>
        <w:tc>
          <w:tcPr>
            <w:tcW w:type="dxa" w:w="3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color w:val="1E1E2E"/>
                <w:sz w:val="20"/>
                <w:szCs w:val="20"/>
              </w:rPr>
              <w:t xml:space="preserve">done. (madebydone.be)</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b/>
                <w:bCs/>
                <w:color w:val="4338CA"/>
                <w:sz w:val="20"/>
                <w:szCs w:val="20"/>
              </w:rPr>
              <w:t xml:space="preserve">Date</w:t>
            </w:r>
          </w:p>
        </w:tc>
        <w:tc>
          <w:tcPr>
            <w:tcW w:type="dxa" w:w="3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color w:val="1E1E2E"/>
                <w:sz w:val="20"/>
                <w:szCs w:val="20"/>
              </w:rPr>
              <w:t xml:space="preserve">23 mars 2026</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b/>
                <w:bCs/>
                <w:color w:val="4338CA"/>
                <w:sz w:val="20"/>
                <w:szCs w:val="20"/>
              </w:rPr>
              <w:t xml:space="preserve">Version</w:t>
            </w:r>
          </w:p>
        </w:tc>
        <w:tc>
          <w:tcPr>
            <w:tcW w:type="dxa" w:w="3000"/>
            <w:tcBorders>
              <w:top w:val="none" w:sz="0"/>
              <w:left w:val="none" w:sz="0"/>
              <w:bottom w:val="none" w:sz="0"/>
              <w:right w:val="none" w:sz="0"/>
            </w:tcBorders>
            <w:tcMar>
              <w:top w:type="dxa" w:w="60"/>
              <w:left w:type="dxa" w:w="100"/>
              <w:bottom w:type="dxa" w:w="60"/>
              <w:right w:type="dxa" w:w="100"/>
            </w:tcMar>
          </w:tcPr>
          <w:p>
            <w:r>
              <w:rPr>
                <w:rFonts w:ascii="DM Sans" w:cs="DM Sans" w:eastAsia="DM Sans" w:hAnsi="DM Sans"/>
                <w:color w:val="1E1E2E"/>
                <w:sz w:val="20"/>
                <w:szCs w:val="20"/>
              </w:rPr>
              <w:t xml:space="preserve">1.0</w:t>
            </w:r>
          </w:p>
        </w:tc>
      </w:tr>
    </w:tbl>
    <w:p>
      <w:pPr>
        <w:sectPr>
          <w:pgSz w:w="11906" w:h="16838" w:orient="portrait"/>
          <w:pgMar w:top="1440" w:right="1440" w:bottom="1440" w:left="1440" w:header="708" w:footer="708" w:gutter="0"/>
          <w:pgNumType/>
          <w:docGrid w:linePitch="360"/>
        </w:sectPr>
      </w:pPr>
    </w:p>
    <w:p>
      <w:pPr>
        <w:pStyle w:val="Heading1"/>
      </w:pPr>
      <w:r>
        <w:rPr>
          <w:rFonts w:ascii="DM Sans" w:cs="DM Sans" w:eastAsia="DM Sans" w:hAnsi="DM Sans"/>
        </w:rPr>
        <w:t xml:space="preserve">1. Contexte et objectif</w:t>
      </w:r>
    </w:p>
    <w:p>
      <w:pPr>
        <w:spacing w:before="80" w:after="80"/>
      </w:pPr>
      <w:r>
        <w:rPr>
          <w:rFonts w:ascii="DM Sans" w:cs="DM Sans" w:eastAsia="DM Sans" w:hAnsi="DM Sans"/>
          <w:b w:val="false"/>
          <w:bCs w:val="false"/>
          <w:i w:val="false"/>
          <w:iCs w:val="false"/>
          <w:color w:val="374151"/>
          <w:sz w:val="20"/>
          <w:szCs w:val="20"/>
        </w:rPr>
        <w:t xml:space="preserve">Ce document constitue le cahier des charges officiel du projet ADAPT by LMJ. Il recense de manière exhaustive l’ensemble des correctifs, bugs, améliorations et évolutions demandés par le client suite aux tests de la plateforme.</w:t>
      </w:r>
    </w:p>
    <w:p>
      <w:pPr>
        <w:spacing w:before="80" w:after="80"/>
      </w:pPr>
      <w:r>
        <w:rPr>
          <w:rFonts w:ascii="DM Sans" w:cs="DM Sans" w:eastAsia="DM Sans" w:hAnsi="DM Sans"/>
          <w:b/>
          <w:bCs/>
          <w:i w:val="false"/>
          <w:iCs w:val="false"/>
          <w:color w:val="374151"/>
          <w:sz w:val="20"/>
          <w:szCs w:val="20"/>
        </w:rPr>
        <w:t xml:space="preserve">Chaque point listé ci-dessous doit être intégralement implémenté par l’équipe de développement. Aucun point ne peut être ignoré ou partiellement traité sans validation écrite préalable du client.</w:t>
      </w:r>
    </w:p>
    <w:p>
      <w:pPr>
        <w:spacing w:before="100" w:after="0"/>
      </w:pPr>
    </w:p>
    <w:p>
      <w:pPr>
        <w:spacing w:before="80" w:after="80"/>
      </w:pPr>
      <w:r>
        <w:rPr>
          <w:rFonts w:ascii="DM Sans" w:cs="DM Sans" w:eastAsia="DM Sans" w:hAnsi="DM Sans"/>
          <w:b w:val="false"/>
          <w:bCs w:val="false"/>
          <w:i w:val="false"/>
          <w:iCs w:val="false"/>
          <w:color w:val="374151"/>
          <w:sz w:val="20"/>
          <w:szCs w:val="20"/>
        </w:rPr>
        <w:t xml:space="preserve">Les priorités sont classées comme suit :</w:t>
      </w:r>
    </w:p>
    <w:p>
      <w:pPr>
        <w:pStyle w:val="ListParagraph"/>
        <w:numPr>
          <w:ilvl w:val="0"/>
          <w:numId w:val="2"/>
        </w:numPr>
      </w:pPr>
      <w:r>
        <w:rPr>
          <w:rFonts w:ascii="DM Sans" w:cs="DM Sans" w:eastAsia="DM Sans" w:hAnsi="DM Sans"/>
          <w:b/>
          <w:bCs/>
          <w:color w:val="DC2626"/>
          <w:sz w:val="20"/>
          <w:szCs w:val="20"/>
        </w:rPr>
        <w:t xml:space="preserve">CRITIQUE</w:t>
      </w:r>
      <w:r>
        <w:rPr>
          <w:rFonts w:ascii="DM Sans" w:cs="DM Sans" w:eastAsia="DM Sans" w:hAnsi="DM Sans"/>
          <w:color w:val="374151"/>
          <w:sz w:val="20"/>
          <w:szCs w:val="20"/>
        </w:rPr>
        <w:t xml:space="preserve"> — Bug bloquant ou fonctionnalité cassée, à corriger immédiatement</w:t>
      </w:r>
    </w:p>
    <w:p>
      <w:pPr>
        <w:pStyle w:val="ListParagraph"/>
        <w:numPr>
          <w:ilvl w:val="0"/>
          <w:numId w:val="2"/>
        </w:numPr>
      </w:pPr>
      <w:r>
        <w:rPr>
          <w:rFonts w:ascii="DM Sans" w:cs="DM Sans" w:eastAsia="DM Sans" w:hAnsi="DM Sans"/>
          <w:b/>
          <w:bCs/>
          <w:color w:val="D97706"/>
          <w:sz w:val="20"/>
          <w:szCs w:val="20"/>
        </w:rPr>
        <w:t xml:space="preserve">HAUTE</w:t>
      </w:r>
      <w:r>
        <w:rPr>
          <w:rFonts w:ascii="DM Sans" w:cs="DM Sans" w:eastAsia="DM Sans" w:hAnsi="DM Sans"/>
          <w:color w:val="374151"/>
          <w:sz w:val="20"/>
          <w:szCs w:val="20"/>
        </w:rPr>
        <w:t xml:space="preserve"> — Fonctionnalité essentielle manquante, à livrer en priorité</w:t>
      </w:r>
    </w:p>
    <w:p>
      <w:pPr>
        <w:pStyle w:val="ListParagraph"/>
        <w:numPr>
          <w:ilvl w:val="0"/>
          <w:numId w:val="2"/>
        </w:numPr>
      </w:pPr>
      <w:r>
        <w:rPr>
          <w:rFonts w:ascii="DM Sans" w:cs="DM Sans" w:eastAsia="DM Sans" w:hAnsi="DM Sans"/>
          <w:b/>
          <w:bCs/>
          <w:color w:val="2563EB"/>
          <w:sz w:val="20"/>
          <w:szCs w:val="20"/>
        </w:rPr>
        <w:t xml:space="preserve">MOYENNE</w:t>
      </w:r>
      <w:r>
        <w:rPr>
          <w:rFonts w:ascii="DM Sans" w:cs="DM Sans" w:eastAsia="DM Sans" w:hAnsi="DM Sans"/>
          <w:color w:val="374151"/>
          <w:sz w:val="20"/>
          <w:szCs w:val="20"/>
        </w:rPr>
        <w:t xml:space="preserve"> — Amélioration importante pour l’expérience utilisateur</w:t>
      </w:r>
    </w:p>
    <w:p>
      <w:pPr>
        <w:pStyle w:val="ListParagraph"/>
        <w:numPr>
          <w:ilvl w:val="0"/>
          <w:numId w:val="2"/>
        </w:numPr>
      </w:pPr>
      <w:r>
        <w:rPr>
          <w:rFonts w:ascii="DM Sans" w:cs="DM Sans" w:eastAsia="DM Sans" w:hAnsi="DM Sans"/>
          <w:b/>
          <w:bCs/>
          <w:color w:val="6B7280"/>
          <w:sz w:val="20"/>
          <w:szCs w:val="20"/>
        </w:rPr>
        <w:t xml:space="preserve">BASSE</w:t>
      </w:r>
      <w:r>
        <w:rPr>
          <w:rFonts w:ascii="DM Sans" w:cs="DM Sans" w:eastAsia="DM Sans" w:hAnsi="DM Sans"/>
          <w:color w:val="374151"/>
          <w:sz w:val="20"/>
          <w:szCs w:val="20"/>
        </w:rPr>
        <w:t xml:space="preserve"> — Évolution souhaitée, planifiable sur une version ultérieure</w:t>
      </w:r>
    </w:p>
    <w:p>
      <w:r>
        <w:br w:type="page"/>
      </w:r>
    </w:p>
    <w:p>
      <w:pPr>
        <w:pStyle w:val="Heading1"/>
      </w:pPr>
      <w:r>
        <w:rPr>
          <w:rFonts w:ascii="DM Sans" w:cs="DM Sans" w:eastAsia="DM Sans" w:hAnsi="DM Sans"/>
        </w:rPr>
        <w:t xml:space="preserve">2. Bugs critiques et points bloquants</w:t>
      </w:r>
    </w:p>
    <w:p>
      <w:pPr>
        <w:spacing w:before="80" w:after="80"/>
      </w:pPr>
      <w:r>
        <w:rPr>
          <w:rFonts w:ascii="DM Sans" w:cs="DM Sans" w:eastAsia="DM Sans" w:hAnsi="DM Sans"/>
          <w:b w:val="false"/>
          <w:bCs w:val="false"/>
          <w:i w:val="false"/>
          <w:iCs w:val="false"/>
          <w:color w:val="374151"/>
          <w:sz w:val="20"/>
          <w:szCs w:val="20"/>
        </w:rPr>
        <w:t xml:space="preserve">Les éléments ci-dessous empêchent le fonctionnement normal de la plateforme et doivent être corrigés en priorité absolue.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BUG-01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Ajouter client</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bouton « Ajouter client » dans l’éditeur de programme renvoie une erreur HTTP 404. Le lien ou la route API est cassé(e). Corriger la route et vérifier que l’ajout fonctionne de bout en bout.</w:t>
            </w:r>
          </w:p>
        </w:tc>
        <w:tc>
          <w:tcPr>
            <w:tcW w:type="dxa" w:w="11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vAlign w:val="center"/>
          </w:tcPr>
          <w:p>
            <w:pPr>
              <w:jc w:val="center"/>
            </w:pPr>
            <w:r>
              <w:rPr>
                <w:rFonts w:ascii="DM Sans" w:cs="DM Sans" w:eastAsia="DM Sans" w:hAnsi="DM Sans"/>
                <w:b/>
                <w:bCs/>
                <w:color w:val="DC2626"/>
                <w:sz w:val="18"/>
                <w:szCs w:val="18"/>
              </w:rPr>
              <w:t xml:space="preserve">CRITIQUE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Bug</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BUG-02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Champ taille (profil)</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champ « Taille » dans le profil client ne fonctionne pas : impossible de saisir ou d’enregistrer une valeur. Vérifier le binding du champ, la validation et la persistance en base.</w:t>
            </w:r>
          </w:p>
        </w:tc>
        <w:tc>
          <w:tcPr>
            <w:tcW w:type="dxa" w:w="11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vAlign w:val="center"/>
          </w:tcPr>
          <w:p>
            <w:pPr>
              <w:jc w:val="center"/>
            </w:pPr>
            <w:r>
              <w:rPr>
                <w:rFonts w:ascii="DM Sans" w:cs="DM Sans" w:eastAsia="DM Sans" w:hAnsi="DM Sans"/>
                <w:b/>
                <w:bCs/>
                <w:color w:val="DC2626"/>
                <w:sz w:val="18"/>
                <w:szCs w:val="18"/>
              </w:rPr>
              <w:t xml:space="preserve">CRITIQUE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Bug</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BUG-03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Séances / calendrier profil</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Les séances assignées à un athlète ne s’affichent pas dans le calendrier de son profil. Le lien entre les séances programmées et la vue calendrier du profil est absent ou cassé.</w:t>
            </w:r>
          </w:p>
        </w:tc>
        <w:tc>
          <w:tcPr>
            <w:tcW w:type="dxa" w:w="11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vAlign w:val="center"/>
          </w:tcPr>
          <w:p>
            <w:pPr>
              <w:jc w:val="center"/>
            </w:pPr>
            <w:r>
              <w:rPr>
                <w:rFonts w:ascii="DM Sans" w:cs="DM Sans" w:eastAsia="DM Sans" w:hAnsi="DM Sans"/>
                <w:b/>
                <w:bCs/>
                <w:color w:val="DC2626"/>
                <w:sz w:val="18"/>
                <w:szCs w:val="18"/>
              </w:rPr>
              <w:t xml:space="preserve">CRITIQUE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Bug</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BUG-04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Ajout séance jour précis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Il est impossible ou pas clair d’ajouter une séance sur un jour précis ou le jour même. Le workflow d’ajout de séance doit permettre de sélectionner une date exacte, y compris la date du jour.</w:t>
            </w:r>
          </w:p>
        </w:tc>
        <w:tc>
          <w:tcPr>
            <w:tcW w:type="dxa" w:w="11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vAlign w:val="center"/>
          </w:tcPr>
          <w:p>
            <w:pPr>
              <w:jc w:val="center"/>
            </w:pPr>
            <w:r>
              <w:rPr>
                <w:rFonts w:ascii="DM Sans" w:cs="DM Sans" w:eastAsia="DM Sans" w:hAnsi="DM Sans"/>
                <w:b/>
                <w:bCs/>
                <w:color w:val="DC2626"/>
                <w:sz w:val="18"/>
                <w:szCs w:val="18"/>
              </w:rPr>
              <w:t xml:space="preserve">CRITIQUE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Bug/UX</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BUG-05</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Détail d’un bloc</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Impossible de voir le détail d’un bloc dans l’éditeur de programme. Chaque bloc (warm-up, strength, etc.) doit être cliquable pour afficher son contenu détaillé (exercices, séries, repos…).</w:t>
            </w:r>
          </w:p>
        </w:tc>
        <w:tc>
          <w:tcPr>
            <w:tcW w:type="dxa" w:w="11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vAlign w:val="center"/>
          </w:tcPr>
          <w:p>
            <w:pPr>
              <w:jc w:val="center"/>
            </w:pPr>
            <w:r>
              <w:rPr>
                <w:rFonts w:ascii="DM Sans" w:cs="DM Sans" w:eastAsia="DM Sans" w:hAnsi="DM Sans"/>
                <w:b/>
                <w:bCs/>
                <w:color w:val="DC2626"/>
                <w:sz w:val="18"/>
                <w:szCs w:val="18"/>
              </w:rPr>
              <w:t xml:space="preserve">CRITIQUE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Bug/UX</w:t>
            </w:r>
          </w:p>
        </w:tc>
      </w:tr>
    </w:tbl>
    <w:p>
      <w:r>
        <w:br w:type="page"/>
      </w:r>
    </w:p>
    <w:p>
      <w:pPr>
        <w:pStyle w:val="Heading1"/>
      </w:pPr>
      <w:r>
        <w:rPr>
          <w:rFonts w:ascii="DM Sans" w:cs="DM Sans" w:eastAsia="DM Sans" w:hAnsi="DM Sans"/>
        </w:rPr>
        <w:t xml:space="preserve">3. Dashboard et navigation</w:t>
      </w:r>
    </w:p>
    <w:p>
      <w:pPr>
        <w:spacing w:before="80" w:after="80"/>
      </w:pPr>
      <w:r>
        <w:rPr>
          <w:rFonts w:ascii="DM Sans" w:cs="DM Sans" w:eastAsia="DM Sans" w:hAnsi="DM Sans"/>
          <w:b w:val="false"/>
          <w:bCs w:val="false"/>
          <w:i w:val="false"/>
          <w:iCs w:val="false"/>
          <w:color w:val="374151"/>
          <w:sz w:val="20"/>
          <w:szCs w:val="20"/>
        </w:rPr>
        <w:t xml:space="preserve">Le dashboard actuel crée une confusion avec la vue Athlètes. Les deux doivent être clairement différenciés avec des rôles distincts.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DASH-01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Séparation Dashboard / Athlètes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Dashboard et la page Athlètes doivent être clairement différenciés. Le Dashboard doit servir de vue d’ensemble globale (alertes, activité récente, KPI). La page Athlètes liste les profils individuels.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UX</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DASH-02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Vue séances passées / à venir</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Dashboard doit afficher clairement : les séances passées (avec statut : réalisée, manquée), les séances à venir (prochains 7 jours), et un calendrier mensuel navigable.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UX</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DASH-03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Gestion séances depuis profil athlète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Depuis la fiche d’un athlète, le coach doit pouvoir voir et modifier directement ses séances (accès rapide à l’éditeur de programme contextualisé).</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UX</w:t>
            </w:r>
          </w:p>
        </w:tc>
      </w:tr>
    </w:tbl>
    <w:p>
      <w:r>
        <w:br w:type="page"/>
      </w:r>
    </w:p>
    <w:p>
      <w:pPr>
        <w:pStyle w:val="Heading1"/>
      </w:pPr>
      <w:r>
        <w:rPr>
          <w:rFonts w:ascii="DM Sans" w:cs="DM Sans" w:eastAsia="DM Sans" w:hAnsi="DM Sans"/>
        </w:rPr>
        <w:t xml:space="preserve">4. Éditeur de programme et calendrier</w:t>
      </w:r>
    </w:p>
    <w:p>
      <w:pPr>
        <w:spacing w:before="80" w:after="80"/>
      </w:pPr>
      <w:r>
        <w:rPr>
          <w:rFonts w:ascii="DM Sans" w:cs="DM Sans" w:eastAsia="DM Sans" w:hAnsi="DM Sans"/>
          <w:b w:val="false"/>
          <w:bCs w:val="false"/>
          <w:i w:val="false"/>
          <w:iCs w:val="false"/>
          <w:color w:val="374151"/>
          <w:sz w:val="20"/>
          <w:szCs w:val="20"/>
        </w:rPr>
        <w:t xml:space="preserve">L’éditeur de programme est le cœur de l’application. Les points suivants sont essentiels pour un usage professionnel du coaching.</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Copier / Coller séance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Permettre de copier une séance existante et de la coller sur un autre jour. Gain de temps majeur pour la planification hebdomadaire.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Déplacer séance (drag &amp; drop)</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Permettre de déplacer une séance d’un jour à un autre par glisser-déposer dans le calendrier. Indispensable pour la réorganisation rapide.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Navigation calendrier étendue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calendrier est actuellement limité à la vue semaine. Ajouter : navigation par mois, possibilité d’aller à une date précise (ex : 23/12), vue mensuelle.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Calcul temps total automatique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temps total d’une séance doit se calculer automatiquement en fonction des exercices, séries, repos et transitions définis dans chaque bloc.</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PROG-05</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Plusieurs séances par jour</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Permettre d’ajouter plusieurs séances sur un même jour (ex : matin force, après-midi conditioning).</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PROG-06</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Dupliquer séance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Permettre de dupliquer une séance entière (avec tous ses blocs et exercices) en un clic, avec possibilité de l’assigner à un autre jour ou athlète.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r>
        <w:br w:type="page"/>
      </w:r>
    </w:p>
    <w:p>
      <w:pPr>
        <w:pStyle w:val="Heading1"/>
      </w:pPr>
      <w:r>
        <w:rPr>
          <w:rFonts w:ascii="DM Sans" w:cs="DM Sans" w:eastAsia="DM Sans" w:hAnsi="DM Sans"/>
        </w:rPr>
        <w:t xml:space="preserve">5. Structure des séances et système modulaire</w:t>
      </w:r>
    </w:p>
    <w:p>
      <w:pPr>
        <w:spacing w:before="80" w:after="80"/>
      </w:pPr>
      <w:r>
        <w:rPr>
          <w:rFonts w:ascii="DM Sans" w:cs="DM Sans" w:eastAsia="DM Sans" w:hAnsi="DM Sans"/>
          <w:b w:val="false"/>
          <w:bCs w:val="false"/>
          <w:i w:val="false"/>
          <w:iCs w:val="false"/>
          <w:color w:val="374151"/>
          <w:sz w:val="20"/>
          <w:szCs w:val="20"/>
        </w:rPr>
        <w:t xml:space="preserve">Chaque séance doit être structurée en blocs modulaires. Le coach doit pouvoir composer librement ses séances à partir de ces blocs.</w:t>
      </w:r>
    </w:p>
    <w:p>
      <w:pPr>
        <w:spacing w:before="100" w:after="0"/>
      </w:pPr>
    </w:p>
    <w:p>
      <w:pPr>
        <w:pStyle w:val="Heading2"/>
      </w:pPr>
      <w:r>
        <w:rPr>
          <w:rFonts w:ascii="DM Sans" w:cs="DM Sans" w:eastAsia="DM Sans" w:hAnsi="DM Sans"/>
        </w:rPr>
        <w:t xml:space="preserve">5.1 Types de séances</w:t>
      </w:r>
    </w:p>
    <w:p>
      <w:pPr>
        <w:spacing w:before="80" w:after="80"/>
      </w:pPr>
      <w:r>
        <w:rPr>
          <w:rFonts w:ascii="DM Sans" w:cs="DM Sans" w:eastAsia="DM Sans" w:hAnsi="DM Sans"/>
          <w:b w:val="false"/>
          <w:bCs w:val="false"/>
          <w:i w:val="false"/>
          <w:iCs w:val="false"/>
          <w:color w:val="374151"/>
          <w:sz w:val="20"/>
          <w:szCs w:val="20"/>
        </w:rPr>
        <w:t xml:space="preserve">Ajouter les types de séances suivants, sélectionnables lors de la création :</w:t>
      </w:r>
    </w:p>
    <w:p>
      <w:pPr>
        <w:pStyle w:val="ListParagraph"/>
        <w:numPr>
          <w:ilvl w:val="0"/>
          <w:numId w:val="2"/>
        </w:numPr>
      </w:pPr>
      <w:r>
        <w:rPr>
          <w:rFonts w:ascii="DM Sans" w:cs="DM Sans" w:eastAsia="DM Sans" w:hAnsi="DM Sans"/>
          <w:b/>
          <w:bCs/>
          <w:sz w:val="20"/>
          <w:szCs w:val="20"/>
        </w:rPr>
        <w:t xml:space="preserve">Développement athlétique</w:t>
      </w:r>
      <w:r>
        <w:rPr>
          <w:rFonts w:ascii="DM Sans" w:cs="DM Sans" w:eastAsia="DM Sans" w:hAnsi="DM Sans"/>
          <w:sz w:val="20"/>
          <w:szCs w:val="20"/>
        </w:rPr>
        <w:t xml:space="preserve"> (force, puissance, plyo, vitesse, COD, mobilité)</w:t>
      </w:r>
    </w:p>
    <w:p>
      <w:pPr>
        <w:pStyle w:val="ListParagraph"/>
        <w:numPr>
          <w:ilvl w:val="0"/>
          <w:numId w:val="2"/>
        </w:numPr>
      </w:pPr>
      <w:r>
        <w:rPr>
          <w:rFonts w:ascii="DM Sans" w:cs="DM Sans" w:eastAsia="DM Sans" w:hAnsi="DM Sans"/>
          <w:b/>
          <w:bCs/>
          <w:sz w:val="20"/>
          <w:szCs w:val="20"/>
        </w:rPr>
        <w:t xml:space="preserve">Running / Engine</w:t>
      </w:r>
    </w:p>
    <w:p>
      <w:pPr>
        <w:pStyle w:val="ListParagraph"/>
        <w:numPr>
          <w:ilvl w:val="0"/>
          <w:numId w:val="2"/>
        </w:numPr>
      </w:pPr>
      <w:r>
        <w:rPr>
          <w:rFonts w:ascii="DM Sans" w:cs="DM Sans" w:eastAsia="DM Sans" w:hAnsi="DM Sans"/>
          <w:b/>
          <w:bCs/>
          <w:sz w:val="20"/>
          <w:szCs w:val="20"/>
        </w:rPr>
        <w:t xml:space="preserve">Conditioning</w:t>
      </w:r>
      <w:r>
        <w:rPr>
          <w:rFonts w:ascii="DM Sans" w:cs="DM Sans" w:eastAsia="DM Sans" w:hAnsi="DM Sans"/>
          <w:sz w:val="20"/>
          <w:szCs w:val="20"/>
        </w:rPr>
        <w:t xml:space="preserve"> (Hyrox, circuits, AMRAP, EMOM…)</w:t>
      </w:r>
    </w:p>
    <w:p>
      <w:pPr>
        <w:pStyle w:val="ListParagraph"/>
        <w:numPr>
          <w:ilvl w:val="0"/>
          <w:numId w:val="2"/>
        </w:numPr>
      </w:pPr>
      <w:r>
        <w:rPr>
          <w:rFonts w:ascii="DM Sans" w:cs="DM Sans" w:eastAsia="DM Sans" w:hAnsi="DM Sans"/>
          <w:b/>
          <w:bCs/>
          <w:sz w:val="20"/>
          <w:szCs w:val="20"/>
        </w:rPr>
        <w:t xml:space="preserve">Strength</w:t>
      </w:r>
    </w:p>
    <w:p>
      <w:pPr>
        <w:spacing w:before="100" w:after="0"/>
      </w:pPr>
    </w:p>
    <w:p>
      <w:pPr>
        <w:pStyle w:val="Heading2"/>
      </w:pPr>
      <w:r>
        <w:rPr>
          <w:rFonts w:ascii="DM Sans" w:cs="DM Sans" w:eastAsia="DM Sans" w:hAnsi="DM Sans"/>
        </w:rPr>
        <w:t xml:space="preserve">5.2 Blocs modulaires</w:t>
      </w:r>
    </w:p>
    <w:p>
      <w:pPr>
        <w:spacing w:before="80" w:after="80"/>
      </w:pPr>
      <w:r>
        <w:rPr>
          <w:rFonts w:ascii="DM Sans" w:cs="DM Sans" w:eastAsia="DM Sans" w:hAnsi="DM Sans"/>
          <w:b w:val="false"/>
          <w:bCs w:val="false"/>
          <w:i w:val="false"/>
          <w:iCs w:val="false"/>
          <w:color w:val="374151"/>
          <w:sz w:val="20"/>
          <w:szCs w:val="20"/>
        </w:rPr>
        <w:t xml:space="preserve">Chaque séance est composée de blocs que le coach assemble librement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Warm-up</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d’échauffement. Exercices de mobilité, activation, échauffement spécifique. Ajout libre d’exercices depuis la bibliothèque.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Strength</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de force. Séries, répétitions, charge, tempo, repos. Support des supersets (A1/A2).</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Power</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puissance / pliométrie. Mêmes paramètres que Strength + métriques spécifiques (hauteur, distance…).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Conditioning</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cardio / circuit. Support des formats AMRAP, EMOM, For Time, Tabata. Temps, rounds, distance.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BLOC-05</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Core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gainage / abdominaux. Exercices avec durée ou répétitions.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BLOC-06</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Cool down</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Bloc retour au calme. Étirements, respiration, foam rolling.</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100" w:after="0"/>
      </w:pPr>
    </w:p>
    <w:p>
      <w:pPr>
        <w:pStyle w:val="Heading2"/>
      </w:pPr>
      <w:r>
        <w:rPr>
          <w:rFonts w:ascii="DM Sans" w:cs="DM Sans" w:eastAsia="DM Sans" w:hAnsi="DM Sans"/>
        </w:rPr>
        <w:t xml:space="preserve">5.3 Supersets et circuits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SUP-01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Supersets (A1/A2)</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Pouvoir associer plusieurs exercices en superset (A1/A2/A3…). Les exercices groupés s’exécutent en enchaînement avant le repos.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SUP-02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Circuits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Pouvoir créer des circuits (enchaînement de X exercices, Y rounds). Format visuel clair et distinct des exercices linéaires.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r>
        <w:br w:type="page"/>
      </w:r>
    </w:p>
    <w:p>
      <w:pPr>
        <w:pStyle w:val="Heading1"/>
      </w:pPr>
      <w:r>
        <w:rPr>
          <w:rFonts w:ascii="DM Sans" w:cs="DM Sans" w:eastAsia="DM Sans" w:hAnsi="DM Sans"/>
        </w:rPr>
        <w:t xml:space="preserve">6. Bibliothèque d’exercices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LIB-01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CRUD exercices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coach doit pouvoir créer, modifier et supprimer des exercices dans une bibliothèque centralisée. Champs : nom, catégorie, description, muscles ciblés, vidéo/image.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LIB-02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Recherche et filtres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Recherche par nom, filtrage par catégorie (force, cardio, mobilité…) et par groupe musculaire.</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LIB-03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Assignation directe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Depuis la bibliothèque, pouvoir assigner un exercice directement dans un bloc d’une séance en cours d’édition.</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200" w:after="0"/>
      </w:pPr>
    </w:p>
    <w:p>
      <w:pPr>
        <w:pStyle w:val="Heading1"/>
      </w:pPr>
      <w:r>
        <w:rPr>
          <w:rFonts w:ascii="DM Sans" w:cs="DM Sans" w:eastAsia="DM Sans" w:hAnsi="DM Sans"/>
        </w:rPr>
        <w:t xml:space="preserve">7. Gestion du planning et rendez-vous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PLAN-01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RDV coach / client</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Pouvoir intégrer des rendez-vous (séances 1:1, bilans, visio…) dans le calendrier, distincts des séances programmées.</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PLAN-02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Vue planning coach</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Le coach doit avoir une vue globale de son planning : tous les athlètes, toutes les séances, tous les RDV sur une même timeline.</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r>
        <w:br w:type="page"/>
      </w:r>
    </w:p>
    <w:p>
      <w:pPr>
        <w:pStyle w:val="Heading1"/>
      </w:pPr>
      <w:r>
        <w:rPr>
          <w:rFonts w:ascii="DM Sans" w:cs="DM Sans" w:eastAsia="DM Sans" w:hAnsi="DM Sans"/>
        </w:rPr>
        <w:t xml:space="preserve">8. Métriques et suivi de performance</w:t>
      </w:r>
    </w:p>
    <w:p>
      <w:pPr>
        <w:spacing w:before="80" w:after="80"/>
      </w:pPr>
      <w:r>
        <w:rPr>
          <w:rFonts w:ascii="DM Sans" w:cs="DM Sans" w:eastAsia="DM Sans" w:hAnsi="DM Sans"/>
          <w:b w:val="false"/>
          <w:bCs w:val="false"/>
          <w:i w:val="false"/>
          <w:iCs w:val="false"/>
          <w:color w:val="374151"/>
          <w:sz w:val="20"/>
          <w:szCs w:val="20"/>
        </w:rPr>
        <w:t xml:space="preserve">Le suivi de la progression est essentiel pour un outil de coaching premium. Les métriques suivantes doivent être intégrées.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MET-01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Métriques séance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Chaque séance doit permettre de saisir : temps, distance, calories, rounds, charges utilisées.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MET-02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Tests performance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Section dédiée aux tests : 1RM, max pompes, max tractions, tests running (Cooper, 5K…). Résultats horodatés.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MET-03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Graphiques d’évolution</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Graphiques de progression dans le temps pour chaque métrique et chaque test. Courbes avec comparaison périodes.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MET-04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Photo profil athlète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Permettre l’ajout d’une photo de profil pour chaque athlète. Upload depuis mobile et web.</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200" w:after="0"/>
      </w:pPr>
    </w:p>
    <w:p>
      <w:pPr>
        <w:pStyle w:val="Heading1"/>
      </w:pPr>
      <w:r>
        <w:rPr>
          <w:rFonts w:ascii="DM Sans" w:cs="DM Sans" w:eastAsia="DM Sans" w:hAnsi="DM Sans"/>
        </w:rPr>
        <w:t xml:space="preserve">9. Système d’alertes et notifications</w:t>
      </w:r>
    </w:p>
    <w:p>
      <w:pPr>
        <w:pStyle w:val="Heading2"/>
      </w:pPr>
      <w:r>
        <w:rPr>
          <w:rFonts w:ascii="DM Sans" w:cs="DM Sans" w:eastAsia="DM Sans" w:hAnsi="DM Sans"/>
        </w:rPr>
        <w:t xml:space="preserve">9.1 Alertes côté athlète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ALR-01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Rappel séance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Notification push/email de rappel avant chaque séance programmée (délai configurable par le coach).</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ALR-02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Encouragement</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Messages d’encouragement automatiques basés sur la régularité, les performances ou les milestones atteints.</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DM Sans" w:cs="DM Sans" w:eastAsia="DM Sans" w:hAnsi="DM Sans"/>
                <w:b/>
                <w:bCs/>
                <w:color w:val="6B7280"/>
                <w:sz w:val="18"/>
                <w:szCs w:val="18"/>
              </w:rPr>
              <w:t xml:space="preserve">BASSE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ALR-03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Rappel check-in</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Rappel quotidien pour remplir le check-in du matin (sommeil, énergie, stress, courbatures, motivation).</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ALR-04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Alerte baisse performance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Alerte automatique si le score ADAPT détecte une baisse significative sur plusieurs jours consécutifs.</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100" w:after="0"/>
      </w:pPr>
    </w:p>
    <w:p>
      <w:pPr>
        <w:pStyle w:val="Heading2"/>
      </w:pPr>
      <w:r>
        <w:rPr>
          <w:rFonts w:ascii="DM Sans" w:cs="DM Sans" w:eastAsia="DM Sans" w:hAnsi="DM Sans"/>
        </w:rPr>
        <w:t xml:space="preserve">9.2 Alertes côté coach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ALC-01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Variation performance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Alerte au coach en cas de baisse OU hausse significative de performance d’un athlète (score ADAPT, charges, temps).</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ALC-02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Fatigue / douleur</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Alerte si un athlète signale fatigue élevée ou douleur via son check-in pendant plusieurs jours.</w:t>
            </w:r>
          </w:p>
        </w:tc>
        <w:tc>
          <w:tcPr>
            <w:tcW w:type="dxa" w:w="11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DM Sans" w:cs="DM Sans" w:eastAsia="DM Sans" w:hAnsi="DM Sans"/>
                <w:b/>
                <w:bCs/>
                <w:color w:val="D97706"/>
                <w:sz w:val="18"/>
                <w:szCs w:val="18"/>
              </w:rPr>
              <w:t xml:space="preserve">HAUTE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ALC-03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Inactivité</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Alerte si un athlète n’a pas fait de séance ou de check-in depuis X jours (seuil configurable).</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r>
        <w:br w:type="page"/>
      </w:r>
    </w:p>
    <w:p>
      <w:pPr>
        <w:pStyle w:val="Heading1"/>
      </w:pPr>
      <w:r>
        <w:rPr>
          <w:rFonts w:ascii="DM Sans" w:cs="DM Sans" w:eastAsia="DM Sans" w:hAnsi="DM Sans"/>
        </w:rPr>
        <w:t xml:space="preserve">10. Programmes intelligents et automatisation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INT-01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Starter automatique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Si un athlète n’a pas de programme actif, générer automatiquement une séance adaptée à son profil via le moteur ADAPT.</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INT-02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Onboarding intelligent</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Questionnaire initial (objectifs, expérience, disponibilités, blessures) qui génère automatiquement un programme de base sur 1 à 2 semaines.</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INT-03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Offre automatique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Possibilité de configurer une offre promotionnelle automatique (ex : 1 mois offert après achat de 10 séances), basée sur le profil et les objectifs de l’athlète.</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DM Sans" w:cs="DM Sans" w:eastAsia="DM Sans" w:hAnsi="DM Sans"/>
                <w:b/>
                <w:bCs/>
                <w:color w:val="6B7280"/>
                <w:sz w:val="18"/>
                <w:szCs w:val="18"/>
              </w:rPr>
              <w:t xml:space="preserve">BASSE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200" w:after="0"/>
      </w:pPr>
    </w:p>
    <w:p>
      <w:pPr>
        <w:pStyle w:val="Heading1"/>
      </w:pPr>
      <w:r>
        <w:rPr>
          <w:rFonts w:ascii="DM Sans" w:cs="DM Sans" w:eastAsia="DM Sans" w:hAnsi="DM Sans"/>
        </w:rPr>
        <w:t xml:space="preserve">11. Multimédia et guides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MED-01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Upload vidéo athlète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L’athlète doit pouvoir envoyer une vidéo (feedback technique) au coach depuis l’app mobile. Le coach peut la visionner et commenter.</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MED-02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Guides intégrés</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Section éducative avec guides sur : RPE (perception de l’effort), tempo, choix des charges, récupération. Contenu rédigé par le coach, éditable.</w:t>
            </w:r>
          </w:p>
        </w:tc>
        <w:tc>
          <w:tcPr>
            <w:tcW w:type="dxa" w:w="11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DM Sans" w:cs="DM Sans" w:eastAsia="DM Sans" w:hAnsi="DM Sans"/>
                <w:b/>
                <w:bCs/>
                <w:color w:val="2563EB"/>
                <w:sz w:val="18"/>
                <w:szCs w:val="18"/>
              </w:rPr>
              <w:t xml:space="preserve">MOYENNE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pPr>
        <w:spacing w:before="200" w:after="0"/>
      </w:pPr>
    </w:p>
    <w:p>
      <w:pPr>
        <w:pStyle w:val="Heading1"/>
      </w:pPr>
      <w:r>
        <w:rPr>
          <w:rFonts w:ascii="DM Sans" w:cs="DM Sans" w:eastAsia="DM Sans" w:hAnsi="DM Sans"/>
        </w:rPr>
        <w:t xml:space="preserve">12. Intégrations et évolutions futures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26"/>
        <w:gridCol w:w="1100"/>
        <w:gridCol w:w="1100"/>
      </w:tblGrid>
      <w:tr>
        <w:trPr>
          <w:tblHeader/>
        </w:trPr>
        <w:tc>
          <w:tcPr>
            <w:tcW w:type="dxa" w:w="8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Composant</w:t>
            </w:r>
          </w:p>
        </w:tc>
        <w:tc>
          <w:tcPr>
            <w:tcW w:type="dxa" w:w="3826"/>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Description</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Priorité</w:t>
            </w:r>
          </w:p>
        </w:tc>
        <w:tc>
          <w:tcPr>
            <w:tcW w:type="dxa" w:w="11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vAlign w:val="center"/>
          </w:tcPr>
          <w:p>
            <w:pPr>
              <w:jc w:val="center"/>
            </w:pPr>
            <w:r>
              <w:rPr>
                <w:rFonts w:ascii="DM Sans" w:cs="DM Sans" w:eastAsia="DM Sans" w:hAnsi="DM Sans"/>
                <w:b/>
                <w:bCs/>
                <w:color w:val="FFFFFF"/>
                <w:sz w:val="18"/>
                <w:szCs w:val="18"/>
              </w:rPr>
              <w:t xml:space="preserve">Catégorie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FUT-01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Nutrition (optionnel)</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Module optionnel de suivi nutritionnel : repas, hydratation. Non bloquant pour la V1 mais à prévoir dans l’architecture.</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DM Sans" w:cs="DM Sans" w:eastAsia="DM Sans" w:hAnsi="DM Sans"/>
                <w:b/>
                <w:bCs/>
                <w:color w:val="6B7280"/>
                <w:sz w:val="18"/>
                <w:szCs w:val="18"/>
              </w:rPr>
              <w:t xml:space="preserve">BASSE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r>
        <w:tc>
          <w:tcPr>
            <w:tcW w:type="dxa" w:w="800"/>
            <w:tcBorders>
              <w:top w:val="single" w:color="E5E7EB" w:sz="1"/>
              <w:left w:val="single" w:color="E5E7EB" w:sz="1"/>
              <w:bottom w:val="single" w:color="E5E7EB" w:sz="1"/>
              <w:right w:val="single" w:color="E5E7EB" w:sz="1"/>
            </w:tcBorders>
            <w:shd w:fill="F8F7FF" w:val="clear"/>
            <w:tcMar>
              <w:top w:type="dxa" w:w="100"/>
              <w:left w:type="dxa" w:w="150"/>
              <w:bottom w:type="dxa" w:w="100"/>
              <w:right w:type="dxa" w:w="150"/>
            </w:tcMar>
            <w:vAlign w:val="center"/>
          </w:tcPr>
          <w:p>
            <w:pPr>
              <w:jc w:val="center"/>
            </w:pPr>
            <w:r>
              <w:rPr>
                <w:rFonts w:ascii="DM Sans" w:cs="DM Sans" w:eastAsia="DM Sans" w:hAnsi="DM Sans"/>
                <w:b/>
                <w:bCs/>
                <w:color w:val="4338CA"/>
                <w:sz w:val="18"/>
                <w:szCs w:val="18"/>
              </w:rPr>
              <w:t xml:space="preserve">FUT-02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r>
              <w:rPr>
                <w:rFonts w:ascii="DM Sans" w:cs="DM Sans" w:eastAsia="DM Sans" w:hAnsi="DM Sans"/>
                <w:b/>
                <w:bCs/>
                <w:color w:val="1E1E2E"/>
                <w:sz w:val="18"/>
                <w:szCs w:val="18"/>
              </w:rPr>
              <w:t xml:space="preserve">Connexion montre</w:t>
            </w:r>
          </w:p>
        </w:tc>
        <w:tc>
          <w:tcPr>
            <w:tcW w:type="dxa" w:w="3826"/>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spacing w:after="0"/>
            </w:pPr>
            <w:r>
              <w:rPr>
                <w:rFonts w:ascii="DM Sans" w:cs="DM Sans" w:eastAsia="DM Sans" w:hAnsi="DM Sans"/>
                <w:color w:val="374151"/>
                <w:sz w:val="18"/>
                <w:szCs w:val="18"/>
              </w:rPr>
              <w:t xml:space="preserve">Intégration avec montres connectées (Apple Watch, Garmin, Polar…) : activité, fréquence cardiaque, calories. À prévoir dans l’architecture.</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DM Sans" w:cs="DM Sans" w:eastAsia="DM Sans" w:hAnsi="DM Sans"/>
                <w:b/>
                <w:bCs/>
                <w:color w:val="6B7280"/>
                <w:sz w:val="18"/>
                <w:szCs w:val="18"/>
              </w:rPr>
              <w:t xml:space="preserve">BASSE</w:t>
            </w:r>
          </w:p>
        </w:tc>
        <w:tc>
          <w:tcPr>
            <w:tcW w:type="dxa" w:w="11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DM Sans" w:cs="DM Sans" w:eastAsia="DM Sans" w:hAnsi="DM Sans"/>
                <w:color w:val="6B7280"/>
                <w:sz w:val="17"/>
                <w:szCs w:val="17"/>
              </w:rPr>
              <w:t xml:space="preserve">Feature</w:t>
            </w:r>
          </w:p>
        </w:tc>
      </w:tr>
    </w:tbl>
    <w:p>
      <w:r>
        <w:br w:type="page"/>
      </w:r>
    </w:p>
    <w:p>
      <w:pPr>
        <w:pStyle w:val="Heading1"/>
      </w:pPr>
      <w:r>
        <w:rPr>
          <w:rFonts w:ascii="DM Sans" w:cs="DM Sans" w:eastAsia="DM Sans" w:hAnsi="DM Sans"/>
        </w:rPr>
        <w:t xml:space="preserve">13. Récapitulatif par priorité</w:t>
      </w:r>
    </w:p>
    <w:p>
      <w:pPr>
        <w:spacing w:before="80" w:after="80"/>
      </w:pPr>
      <w:r>
        <w:rPr>
          <w:rFonts w:ascii="DM Sans" w:cs="DM Sans" w:eastAsia="DM Sans" w:hAnsi="DM Sans"/>
          <w:b w:val="false"/>
          <w:bCs w:val="false"/>
          <w:i w:val="false"/>
          <w:iCs w:val="false"/>
          <w:color w:val="374151"/>
          <w:sz w:val="20"/>
          <w:szCs w:val="20"/>
        </w:rPr>
        <w:t xml:space="preserve">Synthèse du nombre de points par niveau de priorité :</w:t>
      </w:r>
    </w:p>
    <w:p>
      <w:pPr>
        <w:spacing w:before="1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tcPr>
          <w:p>
            <w:pPr>
              <w:jc w:val="center"/>
            </w:pPr>
            <w:r>
              <w:rPr>
                <w:rFonts w:ascii="DM Sans" w:cs="DM Sans" w:eastAsia="DM Sans" w:hAnsi="DM Sans"/>
                <w:b/>
                <w:bCs/>
                <w:color w:val="FFFFFF"/>
                <w:sz w:val="18"/>
                <w:szCs w:val="18"/>
              </w:rPr>
              <w:t xml:space="preserve">Priorité</w:t>
            </w:r>
          </w:p>
        </w:tc>
        <w:tc>
          <w:tcPr>
            <w:tcW w:type="dxa" w:w="20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tcPr>
          <w:p>
            <w:pPr>
              <w:jc w:val="center"/>
            </w:pPr>
            <w:r>
              <w:rPr>
                <w:rFonts w:ascii="DM Sans" w:cs="DM Sans" w:eastAsia="DM Sans" w:hAnsi="DM Sans"/>
                <w:b/>
                <w:bCs/>
                <w:color w:val="FFFFFF"/>
                <w:sz w:val="18"/>
                <w:szCs w:val="18"/>
              </w:rPr>
              <w:t xml:space="preserve">Nombre de points</w:t>
            </w:r>
          </w:p>
        </w:tc>
        <w:tc>
          <w:tcPr>
            <w:tcW w:type="dxa" w:w="2000"/>
            <w:tcBorders>
              <w:top w:val="single" w:color="E5E7EB" w:sz="1"/>
              <w:left w:val="single" w:color="E5E7EB" w:sz="1"/>
              <w:bottom w:val="single" w:color="E5E7EB" w:sz="1"/>
              <w:right w:val="single" w:color="E5E7EB" w:sz="1"/>
            </w:tcBorders>
            <w:shd w:fill="4338CA" w:val="clear"/>
            <w:tcMar>
              <w:top w:type="dxa" w:w="100"/>
              <w:left w:type="dxa" w:w="150"/>
              <w:bottom w:type="dxa" w:w="100"/>
              <w:right w:type="dxa" w:w="150"/>
            </w:tcMar>
          </w:tcPr>
          <w:p>
            <w:pPr>
              <w:jc w:val="center"/>
            </w:pPr>
            <w:r>
              <w:rPr>
                <w:rFonts w:ascii="DM Sans" w:cs="DM Sans" w:eastAsia="DM Sans" w:hAnsi="DM Sans"/>
                <w:b/>
                <w:bCs/>
                <w:color w:val="FFFFFF"/>
                <w:sz w:val="18"/>
                <w:szCs w:val="18"/>
              </w:rPr>
              <w:t xml:space="preserve">Statut attendu</w:t>
            </w:r>
          </w:p>
        </w:tc>
      </w:tr>
      <w:tr>
        <w:tc>
          <w:tcPr>
            <w:tcW w:type="dxa" w:w="200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pPr>
              <w:jc w:val="center"/>
            </w:pPr>
            <w:r>
              <w:rPr>
                <w:rFonts w:ascii="DM Sans" w:cs="DM Sans" w:eastAsia="DM Sans" w:hAnsi="DM Sans"/>
                <w:b/>
                <w:bCs/>
                <w:color w:val="DC2626"/>
                <w:sz w:val="18"/>
                <w:szCs w:val="18"/>
              </w:rPr>
              <w:t xml:space="preserve">CRITIQUE</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b/>
                <w:bCs/>
                <w:color w:val="1E1E2E"/>
                <w:sz w:val="18"/>
                <w:szCs w:val="18"/>
              </w:rPr>
              <w:t xml:space="preserve">5</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color w:val="1E1E2E"/>
                <w:sz w:val="18"/>
                <w:szCs w:val="18"/>
              </w:rPr>
              <w:t xml:space="preserve">Correction immédiate</w:t>
            </w:r>
          </w:p>
        </w:tc>
      </w:tr>
      <w:tr>
        <w:tc>
          <w:tcPr>
            <w:tcW w:type="dxa" w:w="200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pPr>
              <w:jc w:val="center"/>
            </w:pPr>
            <w:r>
              <w:rPr>
                <w:rFonts w:ascii="DM Sans" w:cs="DM Sans" w:eastAsia="DM Sans" w:hAnsi="DM Sans"/>
                <w:b/>
                <w:bCs/>
                <w:color w:val="D97706"/>
                <w:sz w:val="18"/>
                <w:szCs w:val="18"/>
              </w:rPr>
              <w:t xml:space="preserve">HAUTE</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b/>
                <w:bCs/>
                <w:color w:val="1E1E2E"/>
                <w:sz w:val="18"/>
                <w:szCs w:val="18"/>
              </w:rPr>
              <w:t xml:space="preserve">22</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color w:val="1E1E2E"/>
                <w:sz w:val="18"/>
                <w:szCs w:val="18"/>
              </w:rPr>
              <w:t xml:space="preserve">Livraison prioritaire</w:t>
            </w:r>
          </w:p>
        </w:tc>
      </w:tr>
      <w:tr>
        <w:tc>
          <w:tcPr>
            <w:tcW w:type="dxa" w:w="200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tcPr>
          <w:p>
            <w:pPr>
              <w:jc w:val="center"/>
            </w:pPr>
            <w:r>
              <w:rPr>
                <w:rFonts w:ascii="DM Sans" w:cs="DM Sans" w:eastAsia="DM Sans" w:hAnsi="DM Sans"/>
                <w:b/>
                <w:bCs/>
                <w:color w:val="2563EB"/>
                <w:sz w:val="18"/>
                <w:szCs w:val="18"/>
              </w:rPr>
              <w:t xml:space="preserve">MOYENNE</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b/>
                <w:bCs/>
                <w:color w:val="1E1E2E"/>
                <w:sz w:val="18"/>
                <w:szCs w:val="18"/>
              </w:rPr>
              <w:t xml:space="preserve">11</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color w:val="1E1E2E"/>
                <w:sz w:val="18"/>
                <w:szCs w:val="18"/>
              </w:rPr>
              <w:t xml:space="preserve">Intégration planifiée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pPr>
              <w:jc w:val="center"/>
            </w:pPr>
            <w:r>
              <w:rPr>
                <w:rFonts w:ascii="DM Sans" w:cs="DM Sans" w:eastAsia="DM Sans" w:hAnsi="DM Sans"/>
                <w:b/>
                <w:bCs/>
                <w:color w:val="6B7280"/>
                <w:sz w:val="18"/>
                <w:szCs w:val="18"/>
              </w:rPr>
              <w:t xml:space="preserve">BASSE</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b/>
                <w:bCs/>
                <w:color w:val="1E1E2E"/>
                <w:sz w:val="18"/>
                <w:szCs w:val="18"/>
              </w:rPr>
              <w:t xml:space="preserve">3</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tcPr>
          <w:p>
            <w:pPr>
              <w:jc w:val="center"/>
            </w:pPr>
            <w:r>
              <w:rPr>
                <w:rFonts w:ascii="DM Sans" w:cs="DM Sans" w:eastAsia="DM Sans" w:hAnsi="DM Sans"/>
                <w:color w:val="1E1E2E"/>
                <w:sz w:val="18"/>
                <w:szCs w:val="18"/>
              </w:rPr>
              <w:t xml:space="preserve">Version ultérieure</w:t>
            </w:r>
          </w:p>
        </w:tc>
      </w:tr>
      <w:tr>
        <w:tc>
          <w:tcPr>
            <w:tcW w:type="dxa" w:w="2000"/>
            <w:tcBorders>
              <w:top w:val="single" w:color="E5E7EB" w:sz="1"/>
              <w:left w:val="single" w:color="E5E7EB" w:sz="1"/>
              <w:bottom w:val="single" w:color="E5E7EB" w:sz="1"/>
              <w:right w:val="single" w:color="E5E7EB" w:sz="1"/>
            </w:tcBorders>
            <w:shd w:fill="1E1E2E" w:val="clear"/>
            <w:tcMar>
              <w:top w:type="dxa" w:w="100"/>
              <w:left w:type="dxa" w:w="150"/>
              <w:bottom w:type="dxa" w:w="100"/>
              <w:right w:type="dxa" w:w="150"/>
            </w:tcMar>
          </w:tcPr>
          <w:p>
            <w:pPr>
              <w:jc w:val="center"/>
            </w:pPr>
            <w:r>
              <w:rPr>
                <w:rFonts w:ascii="DM Sans" w:cs="DM Sans" w:eastAsia="DM Sans" w:hAnsi="DM Sans"/>
                <w:b/>
                <w:bCs/>
                <w:color w:val="FFFFFF"/>
                <w:sz w:val="18"/>
                <w:szCs w:val="18"/>
              </w:rPr>
              <w:t xml:space="preserve">TOTAL</w:t>
            </w:r>
          </w:p>
        </w:tc>
        <w:tc>
          <w:tcPr>
            <w:tcW w:type="dxa" w:w="2000"/>
            <w:tcBorders>
              <w:top w:val="single" w:color="E5E7EB" w:sz="1"/>
              <w:left w:val="single" w:color="E5E7EB" w:sz="1"/>
              <w:bottom w:val="single" w:color="E5E7EB" w:sz="1"/>
              <w:right w:val="single" w:color="E5E7EB" w:sz="1"/>
            </w:tcBorders>
            <w:shd w:fill="1E1E2E" w:val="clear"/>
            <w:tcMar>
              <w:top w:type="dxa" w:w="100"/>
              <w:left w:type="dxa" w:w="150"/>
              <w:bottom w:type="dxa" w:w="100"/>
              <w:right w:type="dxa" w:w="150"/>
            </w:tcMar>
          </w:tcPr>
          <w:p>
            <w:pPr>
              <w:jc w:val="center"/>
            </w:pPr>
            <w:r>
              <w:rPr>
                <w:rFonts w:ascii="DM Sans" w:cs="DM Sans" w:eastAsia="DM Sans" w:hAnsi="DM Sans"/>
                <w:b/>
                <w:bCs/>
                <w:color w:val="FFFFFF"/>
                <w:sz w:val="18"/>
                <w:szCs w:val="18"/>
              </w:rPr>
              <w:t xml:space="preserve">41</w:t>
            </w:r>
          </w:p>
        </w:tc>
        <w:tc>
          <w:tcPr>
            <w:tcW w:type="dxa" w:w="2000"/>
            <w:tcBorders>
              <w:top w:val="single" w:color="E5E7EB" w:sz="1"/>
              <w:left w:val="single" w:color="E5E7EB" w:sz="1"/>
              <w:bottom w:val="single" w:color="E5E7EB" w:sz="1"/>
              <w:right w:val="single" w:color="E5E7EB" w:sz="1"/>
            </w:tcBorders>
            <w:shd w:fill="1E1E2E" w:val="clear"/>
            <w:tcMar>
              <w:top w:type="dxa" w:w="100"/>
              <w:left w:type="dxa" w:w="150"/>
              <w:bottom w:type="dxa" w:w="100"/>
              <w:right w:type="dxa" w:w="150"/>
            </w:tcMar>
          </w:tcPr>
          <w:p>
            <w:pPr>
              <w:jc w:val="center"/>
            </w:pPr>
            <w:r>
              <w:rPr>
                <w:rFonts w:ascii="DM Sans" w:cs="DM Sans" w:eastAsia="DM Sans" w:hAnsi="DM Sans"/>
                <w:color w:val="FFFFFF"/>
                <w:sz w:val="18"/>
                <w:szCs w:val="18"/>
              </w:rPr>
              <w:t xml:space="preserve"/>
            </w:r>
          </w:p>
        </w:tc>
      </w:tr>
    </w:tbl>
    <w:p>
      <w:pPr>
        <w:spacing w:before="300" w:after="0"/>
      </w:pPr>
    </w:p>
    <w:p>
      <w:pPr>
        <w:pStyle w:val="Heading1"/>
      </w:pPr>
      <w:r>
        <w:rPr>
          <w:rFonts w:ascii="DM Sans" w:cs="DM Sans" w:eastAsia="DM Sans" w:hAnsi="DM Sans"/>
        </w:rPr>
        <w:t xml:space="preserve">14. Principes directeurs</w:t>
      </w:r>
    </w:p>
    <w:p>
      <w:pPr>
        <w:spacing w:before="80" w:after="80"/>
      </w:pPr>
      <w:r>
        <w:rPr>
          <w:rFonts w:ascii="DM Sans" w:cs="DM Sans" w:eastAsia="DM Sans" w:hAnsi="DM Sans"/>
          <w:b w:val="false"/>
          <w:bCs w:val="false"/>
          <w:i w:val="false"/>
          <w:iCs w:val="false"/>
          <w:color w:val="374151"/>
          <w:sz w:val="20"/>
          <w:szCs w:val="20"/>
        </w:rPr>
        <w:t xml:space="preserve">L’ensemble des développements doit respecter les quatre principes fondamentaux suivants :</w:t>
      </w:r>
    </w:p>
    <w:p>
      <w:pPr>
        <w:spacing w:before="100" w:after="0"/>
      </w:pPr>
    </w:p>
    <w:p>
      <w:pPr>
        <w:pStyle w:val="ListParagraph"/>
        <w:numPr>
          <w:ilvl w:val="0"/>
          <w:numId w:val="3"/>
        </w:numPr>
        <w:spacing w:after="100"/>
      </w:pPr>
      <w:r>
        <w:rPr>
          <w:rFonts w:ascii="DM Sans" w:cs="DM Sans" w:eastAsia="DM Sans" w:hAnsi="DM Sans"/>
          <w:b/>
          <w:bCs/>
          <w:color w:val="4338CA"/>
          <w:sz w:val="20"/>
          <w:szCs w:val="20"/>
        </w:rPr>
        <w:t xml:space="preserve">Simplicité</w:t>
      </w:r>
      <w:r>
        <w:rPr>
          <w:rFonts w:ascii="DM Sans" w:cs="DM Sans" w:eastAsia="DM Sans" w:hAnsi="DM Sans"/>
          <w:sz w:val="20"/>
          <w:szCs w:val="20"/>
        </w:rPr>
        <w:t xml:space="preserve"> — Chaque fonctionnalité doit être intuitive et accessible en un minimum de clics.</w:t>
      </w:r>
    </w:p>
    <w:p>
      <w:pPr>
        <w:pStyle w:val="ListParagraph"/>
        <w:numPr>
          <w:ilvl w:val="0"/>
          <w:numId w:val="3"/>
        </w:numPr>
        <w:spacing w:after="100"/>
      </w:pPr>
      <w:r>
        <w:rPr>
          <w:rFonts w:ascii="DM Sans" w:cs="DM Sans" w:eastAsia="DM Sans" w:hAnsi="DM Sans"/>
          <w:b/>
          <w:bCs/>
          <w:color w:val="4338CA"/>
          <w:sz w:val="20"/>
          <w:szCs w:val="20"/>
        </w:rPr>
        <w:t xml:space="preserve">Adaptation intelligente</w:t>
      </w:r>
      <w:r>
        <w:rPr>
          <w:rFonts w:ascii="DM Sans" w:cs="DM Sans" w:eastAsia="DM Sans" w:hAnsi="DM Sans"/>
          <w:sz w:val="20"/>
          <w:szCs w:val="20"/>
        </w:rPr>
        <w:t xml:space="preserve"> — Le moteur ADAPT doit influencer chaque aspect de l’expérience (intensité, volume, récupération).</w:t>
      </w:r>
    </w:p>
    <w:p>
      <w:pPr>
        <w:pStyle w:val="ListParagraph"/>
        <w:numPr>
          <w:ilvl w:val="0"/>
          <w:numId w:val="3"/>
        </w:numPr>
        <w:spacing w:after="100"/>
      </w:pPr>
      <w:r>
        <w:rPr>
          <w:rFonts w:ascii="DM Sans" w:cs="DM Sans" w:eastAsia="DM Sans" w:hAnsi="DM Sans"/>
          <w:b/>
          <w:bCs/>
          <w:color w:val="4338CA"/>
          <w:sz w:val="20"/>
          <w:szCs w:val="20"/>
        </w:rPr>
        <w:t xml:space="preserve">Autonomie athlète</w:t>
      </w:r>
      <w:r>
        <w:rPr>
          <w:rFonts w:ascii="DM Sans" w:cs="DM Sans" w:eastAsia="DM Sans" w:hAnsi="DM Sans"/>
          <w:sz w:val="20"/>
          <w:szCs w:val="20"/>
        </w:rPr>
        <w:t xml:space="preserve"> — L’athlète doit pouvoir suivre ses séances, logger ses résultats et consulter ses progrès sans l’intervention du coach.</w:t>
      </w:r>
    </w:p>
    <w:p>
      <w:pPr>
        <w:pStyle w:val="ListParagraph"/>
        <w:numPr>
          <w:ilvl w:val="0"/>
          <w:numId w:val="3"/>
        </w:numPr>
        <w:spacing w:after="100"/>
      </w:pPr>
      <w:r>
        <w:rPr>
          <w:rFonts w:ascii="DM Sans" w:cs="DM Sans" w:eastAsia="DM Sans" w:hAnsi="DM Sans"/>
          <w:b/>
          <w:bCs/>
          <w:color w:val="4338CA"/>
          <w:sz w:val="20"/>
          <w:szCs w:val="20"/>
        </w:rPr>
        <w:t xml:space="preserve">Feedback et engagement</w:t>
      </w:r>
      <w:r>
        <w:rPr>
          <w:rFonts w:ascii="DM Sans" w:cs="DM Sans" w:eastAsia="DM Sans" w:hAnsi="DM Sans"/>
          <w:sz w:val="20"/>
          <w:szCs w:val="20"/>
        </w:rPr>
        <w:t xml:space="preserve"> — L’app doit maintenir l’engagement via des alertes pertinentes, du suivi visuel et une communication coach-athlète fluide.</w:t>
      </w:r>
    </w:p>
    <w:p>
      <w:pPr>
        <w:spacing w:before="600" w:after="0"/>
      </w:pPr>
    </w:p>
    <w:p>
      <w:pPr>
        <w:pBdr>
          <w:top w:val="single" w:color="4338CA" w:sz="2" w:space="12"/>
        </w:pBdr>
        <w:spacing w:before="400" w:after="100"/>
      </w:pPr>
      <w:r>
        <w:rPr>
          <w:rFonts w:ascii="DM Sans" w:cs="DM Sans" w:eastAsia="DM Sans" w:hAnsi="DM Sans"/>
          <w:b/>
          <w:bCs/>
          <w:color w:val="1E1E2E"/>
          <w:sz w:val="20"/>
          <w:szCs w:val="20"/>
        </w:rPr>
        <w:t xml:space="preserve">Ce document fait office de référence contractuelle.</w:t>
      </w:r>
    </w:p>
    <w:p>
      <w:pPr>
        <w:spacing w:before="80" w:after="80"/>
      </w:pPr>
      <w:r>
        <w:rPr>
          <w:rFonts w:ascii="DM Sans" w:cs="DM Sans" w:eastAsia="DM Sans" w:hAnsi="DM Sans"/>
          <w:b w:val="false"/>
          <w:bCs w:val="false"/>
          <w:i w:val="false"/>
          <w:iCs w:val="false"/>
          <w:color w:val="374151"/>
          <w:sz w:val="20"/>
          <w:szCs w:val="20"/>
        </w:rPr>
        <w:t xml:space="preserve">Tout point listé dans ce cahier des charges doit être implémenté conformément aux spécifications décrites. Toute déviation ou omission devra être justifiée par écrit et validée par le client.</w:t>
      </w:r>
    </w:p>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100"/>
              <w:left w:type="dxa" w:w="150"/>
              <w:bottom w:type="dxa" w:w="100"/>
              <w:right w:type="dxa" w:w="150"/>
            </w:tcMar>
          </w:tcPr>
          <w:p>
            <w:r>
              <w:rPr>
                <w:rFonts w:ascii="DM Sans" w:cs="DM Sans" w:eastAsia="DM Sans" w:hAnsi="DM Sans"/>
                <w:b/>
                <w:bCs/>
                <w:color w:val="4338CA"/>
                <w:sz w:val="20"/>
                <w:szCs w:val="20"/>
              </w:rPr>
              <w:t xml:space="preserve">Pour le client :</w:t>
            </w:r>
          </w:p>
          <w:p>
            <w:pPr>
              <w:spacing w:before="80" w:after="0"/>
            </w:pPr>
          </w:p>
          <w:p>
            <w:pPr>
              <w:spacing w:before="80" w:after="80"/>
            </w:pPr>
            <w:r>
              <w:rPr>
                <w:rFonts w:ascii="DM Sans" w:cs="DM Sans" w:eastAsia="DM Sans" w:hAnsi="DM Sans"/>
                <w:b w:val="false"/>
                <w:bCs w:val="false"/>
                <w:i w:val="false"/>
                <w:iCs w:val="false"/>
                <w:color w:val="374151"/>
                <w:sz w:val="20"/>
                <w:szCs w:val="20"/>
              </w:rPr>
              <w:t xml:space="preserve">Nom : _________________________</w:t>
            </w:r>
          </w:p>
          <w:p>
            <w:pPr>
              <w:spacing w:before="80" w:after="80"/>
            </w:pPr>
            <w:r>
              <w:rPr>
                <w:rFonts w:ascii="DM Sans" w:cs="DM Sans" w:eastAsia="DM Sans" w:hAnsi="DM Sans"/>
                <w:b w:val="false"/>
                <w:bCs w:val="false"/>
                <w:i w:val="false"/>
                <w:iCs w:val="false"/>
                <w:color w:val="374151"/>
                <w:sz w:val="20"/>
                <w:szCs w:val="20"/>
              </w:rPr>
              <w:t xml:space="preserve">Date : _________________________</w:t>
            </w:r>
          </w:p>
          <w:p>
            <w:pPr>
              <w:spacing w:before="80" w:after="80"/>
            </w:pPr>
            <w:r>
              <w:rPr>
                <w:rFonts w:ascii="DM Sans" w:cs="DM Sans" w:eastAsia="DM Sans" w:hAnsi="DM Sans"/>
                <w:b w:val="false"/>
                <w:bCs w:val="false"/>
                <w:i w:val="false"/>
                <w:iCs w:val="false"/>
                <w:color w:val="374151"/>
                <w:sz w:val="20"/>
                <w:szCs w:val="20"/>
              </w:rPr>
              <w:t xml:space="preserve">Signature :</w:t>
            </w:r>
          </w:p>
        </w:tc>
        <w:tc>
          <w:tcPr>
            <w:tcW w:type="dxa" w:w="4513"/>
            <w:tcBorders>
              <w:top w:val="none" w:sz="0"/>
              <w:left w:val="none" w:sz="0"/>
              <w:bottom w:val="none" w:sz="0"/>
              <w:right w:val="none" w:sz="0"/>
            </w:tcBorders>
            <w:tcMar>
              <w:top w:type="dxa" w:w="100"/>
              <w:left w:type="dxa" w:w="150"/>
              <w:bottom w:type="dxa" w:w="100"/>
              <w:right w:type="dxa" w:w="150"/>
            </w:tcMar>
          </w:tcPr>
          <w:p>
            <w:r>
              <w:rPr>
                <w:rFonts w:ascii="DM Sans" w:cs="DM Sans" w:eastAsia="DM Sans" w:hAnsi="DM Sans"/>
                <w:b/>
                <w:bCs/>
                <w:color w:val="4338CA"/>
                <w:sz w:val="20"/>
                <w:szCs w:val="20"/>
              </w:rPr>
              <w:t xml:space="preserve">Pour done. :</w:t>
            </w:r>
          </w:p>
          <w:p>
            <w:pPr>
              <w:spacing w:before="80" w:after="0"/>
            </w:pPr>
          </w:p>
          <w:p>
            <w:pPr>
              <w:spacing w:before="80" w:after="80"/>
            </w:pPr>
            <w:r>
              <w:rPr>
                <w:rFonts w:ascii="DM Sans" w:cs="DM Sans" w:eastAsia="DM Sans" w:hAnsi="DM Sans"/>
                <w:b w:val="false"/>
                <w:bCs w:val="false"/>
                <w:i w:val="false"/>
                <w:iCs w:val="false"/>
                <w:color w:val="374151"/>
                <w:sz w:val="20"/>
                <w:szCs w:val="20"/>
              </w:rPr>
              <w:t xml:space="preserve">Nom : _________________________</w:t>
            </w:r>
          </w:p>
          <w:p>
            <w:pPr>
              <w:spacing w:before="80" w:after="80"/>
            </w:pPr>
            <w:r>
              <w:rPr>
                <w:rFonts w:ascii="DM Sans" w:cs="DM Sans" w:eastAsia="DM Sans" w:hAnsi="DM Sans"/>
                <w:b w:val="false"/>
                <w:bCs w:val="false"/>
                <w:i w:val="false"/>
                <w:iCs w:val="false"/>
                <w:color w:val="374151"/>
                <w:sz w:val="20"/>
                <w:szCs w:val="20"/>
              </w:rPr>
              <w:t xml:space="preserve">Date : _________________________</w:t>
            </w:r>
          </w:p>
          <w:p>
            <w:pPr>
              <w:spacing w:before="80" w:after="80"/>
            </w:pPr>
            <w:r>
              <w:rPr>
                <w:rFonts w:ascii="DM Sans" w:cs="DM Sans" w:eastAsia="DM Sans" w:hAnsi="DM Sans"/>
                <w:b w:val="false"/>
                <w:bCs w:val="false"/>
                <w:i w:val="false"/>
                <w:iCs w:val="false"/>
                <w:color w:val="374151"/>
                <w:sz w:val="20"/>
                <w:szCs w:val="20"/>
              </w:rPr>
              <w:t xml:space="preserve">Signature :</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DM Sans" w:cs="DM Sans" w:eastAsia="DM Sans" w:hAnsi="DM Sans"/>
        <w:color w:val="6B7280"/>
        <w:sz w:val="16"/>
        <w:szCs w:val="16"/>
      </w:rPr>
      <w:t xml:space="preserve">done. — madebydone.be</w:t>
    </w:r>
    <w:r>
      <w:rPr>
        <w:rFonts w:ascii="DM Sans" w:cs="DM Sans" w:eastAsia="DM Sans" w:hAnsi="DM Sans"/>
        <w:color w:val="6B7280"/>
        <w:sz w:val="16"/>
        <w:szCs w:val="16"/>
      </w:rPr>
      <w:t xml:space="preserve">	Page </w:t>
    </w:r>
    <w:r>
      <w:rPr>
        <w:rFonts w:ascii="DM Sans" w:cs="DM Sans" w:eastAsia="DM Sans" w:hAnsi="DM San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2" w:space="4"/>
      </w:pBdr>
      <w:tabs>
        <w:tab w:val="right" w:pos="9026"/>
      </w:tabs>
    </w:pPr>
    <w:r>
      <w:rPr>
        <w:rFonts w:ascii="DM Sans" w:cs="DM Sans" w:eastAsia="DM Sans" w:hAnsi="DM Sans"/>
        <w:b/>
        <w:bCs/>
        <w:color w:val="4338CA"/>
        <w:sz w:val="16"/>
        <w:szCs w:val="16"/>
      </w:rPr>
      <w:t xml:space="preserve">ADAPT by LMJ</w:t>
    </w:r>
    <w:r>
      <w:rPr>
        <w:rFonts w:ascii="DM Sans" w:cs="DM Sans" w:eastAsia="DM Sans" w:hAnsi="DM Sans"/>
        <w:color w:val="6B7280"/>
        <w:sz w:val="16"/>
        <w:szCs w:val="16"/>
      </w:rPr>
      <w:t xml:space="preserve">	Cahier des charges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DM Sans" w:cs="DM Sans" w:eastAsia="DM Sans" w:hAnsi="DM Sans"/>
      <w:b/>
      <w:bCs/>
      <w:color w:val="1E1E2E"/>
      <w:sz w:val="36"/>
      <w:szCs w:val="36"/>
    </w:rPr>
  </w:style>
  <w:style w:type="paragraph" w:styleId="Heading2">
    <w:name w:val="Heading 2"/>
    <w:basedOn w:val="Normal"/>
    <w:next w:val="Normal"/>
    <w:qFormat/>
    <w:pPr>
      <w:spacing w:before="280" w:after="160"/>
      <w:outlineLvl w:val="1"/>
    </w:pPr>
    <w:rPr>
      <w:rFonts w:ascii="DM Sans" w:cs="DM Sans" w:eastAsia="DM Sans" w:hAnsi="DM Sans"/>
      <w:b/>
      <w:bCs/>
      <w:color w:val="4338CA"/>
      <w:sz w:val="28"/>
      <w:szCs w:val="28"/>
    </w:rPr>
  </w:style>
  <w:style w:type="paragraph" w:styleId="Heading3">
    <w:name w:val="Heading 3"/>
    <w:basedOn w:val="Normal"/>
    <w:next w:val="Normal"/>
    <w:qFormat/>
    <w:pPr>
      <w:spacing w:before="200" w:after="120"/>
      <w:outlineLvl w:val="2"/>
    </w:pPr>
    <w:rPr>
      <w:rFonts w:ascii="DM Sans" w:cs="DM Sans" w:eastAsia="DM Sans" w:hAnsi="DM Sans"/>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2026-03-23T19:10:53.082Z</dcterms:created>
  <dcterms:modified xsi:type="dcterms:W3CDTF">2026-03-23T19:10:53.083Z</dcterms:modified>
</cp:coreProperties>
</file>

<file path=docProps/custom.xml><?xml version="1.0" encoding="utf-8"?>
<Properties xmlns="http://schemas.openxmlformats.org/officeDocument/2006/custom-properties" xmlns:vt="http://schemas.openxmlformats.org/officeDocument/2006/docPropsVTypes"/>
</file>