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Integrated Prostate-Cancer Alternative-Splicing Report</w:t>
      </w:r>
    </w:p>
    <w:p>
      <w:pPr>
        <w:jc w:val="center"/>
      </w:pPr>
      <w:r>
        <w:rPr>
          <w:i/>
        </w:rPr>
        <w:t>UniProt + TCGA + literature + ASCancerAtlas + GTEx — 2026-06-21</w:t>
      </w:r>
    </w:p>
    <w:p>
      <w:pPr>
        <w:pStyle w:val="Heading1"/>
      </w:pPr>
      <w:r>
        <w:t>Sources</w:t>
      </w:r>
    </w:p>
    <w:p>
      <w:pPr>
        <w:pStyle w:val="ListBullet"/>
      </w:pPr>
      <w:r>
        <w:t>UniProt: 632 variant rows</w:t>
      </w:r>
    </w:p>
    <w:p>
      <w:pPr>
        <w:pStyle w:val="ListBullet"/>
      </w:pPr>
      <w:r>
        <w:t>TCGA: 371 variant rows</w:t>
      </w:r>
    </w:p>
    <w:p>
      <w:pPr>
        <w:pStyle w:val="ListBullet"/>
      </w:pPr>
      <w:r>
        <w:t>ASCancerAtlas: 76 variant rows</w:t>
      </w:r>
    </w:p>
    <w:p>
      <w:pPr>
        <w:pStyle w:val="ListBullet"/>
      </w:pPr>
      <w:r>
        <w:t>Literature: 8 variant rows</w:t>
      </w:r>
    </w:p>
    <w:p>
      <w:r>
        <w:t>Total 1087 variant rows across 600 genes.</w:t>
      </w:r>
    </w:p>
    <w:p>
      <w:pPr>
        <w:pStyle w:val="Heading1"/>
      </w:pPr>
      <w:r>
        <w:t>Part 1 — Cross-source corroboration</w:t>
      </w:r>
    </w:p>
    <w:p>
      <w:r>
        <w:t>Genes supported by &gt;=2 independent sources (highest-confidence leads).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Gene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PCa evidence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ADAM15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0.348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ASCancerAtlas,Literature,UniProt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Prostate cancer, hereditary, X-linked 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CD164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 PRAD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CD44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2.361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CTNND1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0.45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DNM1L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DFI HR 2.855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DOCK7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0.29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DFI HR 3.135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EXOC7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DFI HR 5.456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TCGA,UniProt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3.589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ITGA6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2.474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KLF6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Literature,UniProt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Prostate cancer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MAP3K7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 PRAD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MBNL1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2.511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OSBPL3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DFI HR 3.355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PRICKLE4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TCGA,UniProt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4.348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PRUNE2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TCGA,UniProt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0.544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SMN1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TCGA,UniProt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1.691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STEAP3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TCGA,UniProt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0.458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TCF12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DFI HR 0.327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TCIRG1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4.328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TPM1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ASCancerAtlas,TCGA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cohort PFI HR 0.416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VEGFA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ASCancerAtlas,UniProt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ASCancerAtlas PRAD</w:t>
            </w:r>
          </w:p>
        </w:tc>
      </w:tr>
    </w:tbl>
    <w:p>
      <w:pPr>
        <w:pStyle w:val="Heading1"/>
      </w:pPr>
      <w:r>
        <w:t>Part 2 — Predicted functional impact</w:t>
      </w:r>
    </w:p>
    <w:p>
      <w:r>
        <w:t>Domain disruption, NMD candidacy, and localization changes (UniProt-feature-driven; predictions).</w:t>
      </w:r>
    </w:p>
    <w:p>
      <w:pPr>
        <w:pStyle w:val="ListBullet"/>
      </w:pPr>
      <w:r>
        <w:rPr>
          <w:b/>
        </w:rPr>
        <w:t xml:space="preserve">AR </w:t>
      </w:r>
      <w:r>
        <w:rPr>
          <w:sz w:val="18"/>
        </w:rPr>
        <w:t>(UniProt, P10275-2 (AR-A/Variant AR45)): substituted segment; domains: Interaction with ZNF318; Modulating; Disordered; Disordered; Low complexity; Low complexity; Polar residues;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O60716-27):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O60716-25): internal deletion (in-frame); domains: Necessary and sufficient for interaction with CCDC85B; Coiled coil;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O60716-24):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O60716-23):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O60716-22): substituted segment; domains: ARM 1; ARM 2; ARM 3; ARM 4; ARM 5; ARM 6; ARM 7; ARM 8; ARM 9; ARM 10; Necessary and sufficient for interaction with CCDC85B; Disordered; Coiled coil; Basic and acidic residues; Polar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O60716-21):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O60716-20): substituted segment; domains: ARM 1; ARM 2; ARM 3; ARM 4; ARM 5; ARM 6; ARM 7; ARM 8; ARM 9; ARM 10; Necessary and sufficient for interaction with CCDC85B; Disordered; Coiled coil; Basic and acidic residues; Polar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O60716-2 (p120-1AB)): internal deletion (in-frame); domains: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O60716-19):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O60716-18): substituted segment; domains: ARM 1; ARM 2; ARM 3; ARM 4; ARM 5; ARM 6; Necessary and sufficient for interaction with CCDC85B; Coiled coil;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O60716-17): internal deletion (in-frame); domains: Necessary and sufficient for interaction with CCDC85B; Coiled coil;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O60716-16):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O60716-15):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O60716-14): substituted segment; domains: ARM 1; ARM 2; ARM 3; ARM 4; ARM 5; ARM 6; ARM 7; ARM 8; ARM 9; ARM 10; Necessary and sufficient for interaction with CCDC85B; Disordered; Coiled coil; Basic and acidic residues; Polar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O60716-13):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O60716-12): substituted segment; domains: ARM 1; ARM 2; ARM 3; ARM 4; ARM 5; ARM 6; ARM 7; ARM 8; ARM 9; ARM 10; Necessary and sufficient for interaction with CCDC85B; Disordered; Coiled coil; Basic and acidic residues; Polar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O60716-26): substituted segment; domains: ARM 1; ARM 2; ARM 3; ARM 4; ARM 5; ARM 6; Necessary and sufficient for interaction with CCDC85B; Coiled coil;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O60716-28): substituted segment; domains: ARM 1; ARM 2; ARM 3; ARM 4; ARM 5; ARM 6; ARM 7; ARM 8; ARM 9; ARM 10; Necessary and sufficient for interaction with CCDC85B; Disordered; Coiled coil; Basic and acidic residues; Polar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O60716-10): substituted segment; domains: ARM 1; ARM 2; ARM 3; ARM 4; ARM 5; ARM 6; Necessary and sufficient for interaction with CCDC85B; Coiled coil;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O60716-29):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ITGA6 </w:t>
      </w:r>
      <w:r>
        <w:rPr>
          <w:sz w:val="18"/>
        </w:rPr>
        <w:t>(UniProt, P23229-9): substituted segment; domains: Interaction with HPS5; GFFKR motif; NMD: no; loc: Topological domain:Extracellular; Transmembrane:Helical; Topological domain:Cytoplasmic</w:t>
      </w:r>
    </w:p>
    <w:p>
      <w:pPr>
        <w:pStyle w:val="ListBullet"/>
      </w:pPr>
      <w:r>
        <w:rPr>
          <w:b/>
        </w:rPr>
        <w:t xml:space="preserve">ITGA6 </w:t>
      </w:r>
      <w:r>
        <w:rPr>
          <w:sz w:val="18"/>
        </w:rPr>
        <w:t>(UniProt, P23229-7): substituted segment; domains: FG-GAP 1; FG-GAP 2; FG-GAP 3; FG-GAP 4; FG-GAP 5; FG-GAP 6; FG-GAP 7; Interaction with HPS5; GFFKR motif; NMD: NMD-candidate; loc: Signal; Topological domain:Extracellular; Transmembrane:Helical; Topological domain:Cytoplasmic</w:t>
      </w:r>
    </w:p>
    <w:p>
      <w:pPr>
        <w:pStyle w:val="ListBullet"/>
      </w:pPr>
      <w:r>
        <w:rPr>
          <w:b/>
        </w:rPr>
        <w:t xml:space="preserve">ITGA6 </w:t>
      </w:r>
      <w:r>
        <w:rPr>
          <w:sz w:val="18"/>
        </w:rPr>
        <w:t>(UniProt, P23229-5): internal deletion (in-frame); domains: FG-GAP 3; NMD: no; loc: Topological domain:Extracellular</w:t>
      </w:r>
    </w:p>
    <w:p>
      <w:pPr>
        <w:pStyle w:val="ListBullet"/>
      </w:pPr>
      <w:r>
        <w:rPr>
          <w:b/>
        </w:rPr>
        <w:t xml:space="preserve">ITGA6 </w:t>
      </w:r>
      <w:r>
        <w:rPr>
          <w:sz w:val="18"/>
        </w:rPr>
        <w:t>(UniProt, P23229-4): substituted segment; domains: FG-GAP 3; FG-GAP 4; FG-GAP 5; FG-GAP 6; FG-GAP 7; Interaction with HPS5; GFFKR motif; NMD: NMD-candidate; loc: Topological domain:Extracellular; Transmembrane:Helical; Topological domain:Cytoplasmic</w:t>
      </w:r>
    </w:p>
    <w:p>
      <w:pPr>
        <w:pStyle w:val="ListBullet"/>
      </w:pPr>
      <w:r>
        <w:rPr>
          <w:b/>
        </w:rPr>
        <w:t xml:space="preserve">ITGA6 </w:t>
      </w:r>
      <w:r>
        <w:rPr>
          <w:sz w:val="18"/>
        </w:rPr>
        <w:t>(UniProt, P23229-3): internal deletion (in-frame); domains: FG-GAP 4; NMD: no; loc: Topological domain:Extracellular</w:t>
      </w:r>
    </w:p>
    <w:p>
      <w:pPr>
        <w:pStyle w:val="ListBullet"/>
      </w:pPr>
      <w:r>
        <w:rPr>
          <w:b/>
        </w:rPr>
        <w:t xml:space="preserve">ITGA6 </w:t>
      </w:r>
      <w:r>
        <w:rPr>
          <w:sz w:val="18"/>
        </w:rPr>
        <w:t>(UniProt, P23229-2): substituted segment; domains: FG-GAP 4; FG-GAP 5; FG-GAP 6; FG-GAP 7; Interaction with HPS5; GFFKR motif; NMD: NMD-candidate; loc: Topological domain:Extracellular; Transmembrane:Helical; Topological domain:Cytoplasmic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O60716-9): internal deletion (in-frame); domains: Necessary and sufficient for interaction with CCDC85B; Coiled coil;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O60716-8): substituted segment; domains: ARM 7; ARM 8; ARM 9; ARM 10; Disordered;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O60716-7): substituted segment; domains: Disordered; Basic and acidic residues; Polar residues; Basic and acidic residues;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O60716-6): substituted segment; domains: ARM 7; ARM 8; ARM 9; ARM 10; Disordered; Basic and acidic residues; Polar residues;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O60716-5): substituted segment; domains: ARM 7; ARM 8; ARM 9; ARM 10; Disordered;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O60716-4 (p120-1A)): internal deletion (in-frame); domains: Disordered; Basic and acidic residues; Polar residues;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O60716-32):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O60716-31):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O60716-30): substituted segment; domains: ARM 1; ARM 2; ARM 3; ARM 4; ARM 5; ARM 6; ARM 7; ARM 8; ARM 9; ARM 10; Necessary and sufficient for interaction with CCDC85B; Disordered; Coiled coil; Basic and acidic residues; Polar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O60716-11): substituted segment; domains: ARM 1; ARM 2; ARM 3; ARM 4; ARM 5; ARM 6; ARM 7; ARM 8; ARM 9; ARM 10; Necessary and sufficient for interaction with CCDC85B; Disordered; Coiled coil; Basic and acidic residues; Polar residues; Basic and acidic residues;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Nuclear localization signal (NLS); NMD: no; loc: n.a.</w:t>
      </w:r>
    </w:p>
    <w:p>
      <w:pPr>
        <w:pStyle w:val="ListBullet"/>
      </w:pPr>
      <w:r>
        <w:rPr>
          <w:b/>
        </w:rPr>
        <w:t xml:space="preserve">CTNND1 </w:t>
      </w:r>
      <w:r>
        <w:rPr>
          <w:sz w:val="18"/>
        </w:rPr>
        <w:t>(UniProt, O60716-3): internal deletion (in-frame); domains: Disordered; NMD: no; loc: n.a.</w:t>
      </w:r>
    </w:p>
    <w:p>
      <w:pPr>
        <w:pStyle w:val="ListBullet"/>
      </w:pPr>
      <w:r>
        <w:rPr>
          <w:b/>
        </w:rPr>
        <w:t xml:space="preserve">AR </w:t>
      </w:r>
      <w:r>
        <w:rPr>
          <w:sz w:val="18"/>
        </w:rPr>
        <w:t>(UniProt, P10275-4 (AR4)): substituted segment; domains: NR LBD; Nuclear receptor; Interaction with LPXN; Interaction with HIPK3; Interaction with CCAR1; Interaction with KAT7; NMD: NMD-candidate; loc: n.a.</w:t>
      </w:r>
    </w:p>
    <w:p>
      <w:pPr>
        <w:pStyle w:val="ListBullet"/>
      </w:pPr>
      <w:r>
        <w:rPr>
          <w:b/>
        </w:rPr>
        <w:t xml:space="preserve">AR </w:t>
      </w:r>
      <w:r>
        <w:rPr>
          <w:sz w:val="18"/>
        </w:rPr>
        <w:t>(UniProt, P10275-3 (AR3/AR-V7)): substituted segment; domains: NR LBD; Nuclear receptor; Interaction with LPXN; Interaction with HIPK3; Interaction with CCAR1; Interaction with KAT7; NMD: NMD-candidate; loc: n.a.</w:t>
      </w:r>
    </w:p>
    <w:p>
      <w:pPr>
        <w:pStyle w:val="Heading1"/>
      </w:pPr>
      <w:r>
        <w:t>Part 3 — Implications for PCa &amp; therapeutic resistance</w:t>
      </w:r>
    </w:p>
    <w:p>
      <w:r>
        <w:t>AR-V7 (LBD-truncated, constitutively active) is the headline resistance variant; PTEN/AR-axis and the adhesion/invasion genes corroborated across sources are the priority leads. All links are hypotheses.</w:t>
      </w:r>
    </w:p>
    <w:p>
      <w:pPr>
        <w:pStyle w:val="Heading1"/>
      </w:pPr>
      <w:r>
        <w:t>Limitations</w:t>
      </w:r>
    </w:p>
    <w:p>
      <w:pPr>
        <w:pStyle w:val="ListBullet"/>
      </w:pPr>
      <w:r>
        <w:t>Predictions (NMD, domain disruption, disease links), not measurements.</w:t>
      </w:r>
    </w:p>
    <w:p>
      <w:pPr>
        <w:pStyle w:val="ListBullet"/>
      </w:pPr>
      <w:r>
        <w:t>Corroboration is gene-level; exon-level matching is future work.</w:t>
      </w:r>
    </w:p>
    <w:p>
      <w:pPr>
        <w:pStyle w:val="ListBullet"/>
      </w:pPr>
      <w:r>
        <w:t>GTEx is normal context; cohort HRs are univariate single-cohort.</w:t>
      </w:r>
    </w:p>
    <w:p>
      <w:pPr>
        <w:pStyle w:val="ListBullet"/>
      </w:pPr>
      <w:r>
        <w:t>CancerSplicingQTL omitted (HTTP 403).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