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B8AE8">
      <w:pPr>
        <w:jc w:val="center"/>
      </w:pPr>
      <w:r>
        <w:rPr>
          <w:rFonts w:ascii="Calibri" w:hAnsi="Calibri" w:eastAsia="微软雅黑"/>
          <w:b/>
          <w:color w:val="0B2545"/>
          <w:sz w:val="44"/>
        </w:rPr>
        <w:t>Online Boutique 微服务电商系统项目文档</w:t>
      </w:r>
    </w:p>
    <w:p w14:paraId="2C450984">
      <w:pPr>
        <w:jc w:val="center"/>
      </w:pPr>
      <w:r>
        <w:rPr>
          <w:rFonts w:ascii="Calibri" w:hAnsi="Calibri" w:eastAsia="微软雅黑"/>
          <w:b w:val="0"/>
          <w:color w:val="1F4D78"/>
          <w:sz w:val="26"/>
        </w:rPr>
        <w:t>奖励中心、视频广告激励与 Locust 性能测试说明</w:t>
      </w:r>
    </w:p>
    <w:p w14:paraId="2823B606"/>
    <w:tbl>
      <w:tblPr>
        <w:tblStyle w:val="33"/>
        <w:tblW w:w="9420" w:type="dxa"/>
        <w:tblInd w:w="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"/>
        <w:gridCol w:w="4680"/>
        <w:gridCol w:w="4620"/>
        <w:gridCol w:w="60"/>
      </w:tblGrid>
      <w:tr w14:paraId="5F908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Before w:val="1"/>
          <w:wBefore w:w="60" w:type="dxa"/>
        </w:trPr>
        <w:tc>
          <w:tcPr>
            <w:tcW w:w="4680" w:type="dxa"/>
            <w:shd w:val="clear" w:color="auto" w:fill="F2F4F7"/>
            <w:vAlign w:val="center"/>
          </w:tcPr>
          <w:p w14:paraId="7EC47CF7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项目</w:t>
            </w:r>
          </w:p>
        </w:tc>
        <w:tc>
          <w:tcPr>
            <w:tcW w:w="4680" w:type="dxa"/>
            <w:gridSpan w:val="2"/>
            <w:shd w:val="clear" w:color="auto" w:fill="F2F4F7"/>
            <w:vAlign w:val="center"/>
          </w:tcPr>
          <w:p w14:paraId="137C53E7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填写内容</w:t>
            </w:r>
          </w:p>
        </w:tc>
      </w:tr>
      <w:tr w14:paraId="75F83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Before w:val="1"/>
          <w:wBefore w:w="60" w:type="dxa"/>
        </w:trPr>
        <w:tc>
          <w:tcPr>
            <w:tcW w:w="4680" w:type="dxa"/>
            <w:vAlign w:val="center"/>
          </w:tcPr>
          <w:p w14:paraId="18B58B5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课程/作业</w:t>
            </w:r>
          </w:p>
        </w:tc>
        <w:tc>
          <w:tcPr>
            <w:tcW w:w="4680" w:type="dxa"/>
            <w:gridSpan w:val="2"/>
            <w:vAlign w:val="center"/>
          </w:tcPr>
          <w:p w14:paraId="76185880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微服务电商系统实践项目</w:t>
            </w:r>
          </w:p>
        </w:tc>
      </w:tr>
      <w:tr w14:paraId="6A50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Before w:val="1"/>
          <w:wBefore w:w="60" w:type="dxa"/>
        </w:trPr>
        <w:tc>
          <w:tcPr>
            <w:tcW w:w="4680" w:type="dxa"/>
            <w:vAlign w:val="center"/>
          </w:tcPr>
          <w:p w14:paraId="3FB70763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姓名</w:t>
            </w:r>
          </w:p>
        </w:tc>
        <w:tc>
          <w:tcPr>
            <w:tcW w:w="4680" w:type="dxa"/>
            <w:gridSpan w:val="2"/>
            <w:vAlign w:val="center"/>
          </w:tcPr>
          <w:p w14:paraId="28950D6B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0"/>
                <w:lang w:val="en-US" w:eastAsia="zh-CN"/>
              </w:rPr>
              <w:t>蒋晟源，罗子涵</w:t>
            </w:r>
          </w:p>
        </w:tc>
      </w:tr>
      <w:tr w14:paraId="28C6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Before w:val="1"/>
          <w:wBefore w:w="60" w:type="dxa"/>
        </w:trPr>
        <w:tc>
          <w:tcPr>
            <w:tcW w:w="4680" w:type="dxa"/>
            <w:vAlign w:val="center"/>
          </w:tcPr>
          <w:p w14:paraId="6D5E55A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学号</w:t>
            </w:r>
          </w:p>
        </w:tc>
        <w:tc>
          <w:tcPr>
            <w:tcW w:w="4680" w:type="dxa"/>
            <w:gridSpan w:val="2"/>
            <w:vAlign w:val="center"/>
          </w:tcPr>
          <w:p w14:paraId="6849A1A4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2310917,2310919</w:t>
            </w:r>
          </w:p>
        </w:tc>
      </w:tr>
      <w:tr w14:paraId="1EEF2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Before w:val="1"/>
          <w:wBefore w:w="60" w:type="dxa"/>
        </w:trPr>
        <w:tc>
          <w:tcPr>
            <w:tcW w:w="4680" w:type="dxa"/>
            <w:vAlign w:val="center"/>
          </w:tcPr>
          <w:p w14:paraId="6AFB039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运行环境</w:t>
            </w:r>
          </w:p>
        </w:tc>
        <w:tc>
          <w:tcPr>
            <w:tcW w:w="4680" w:type="dxa"/>
            <w:gridSpan w:val="2"/>
            <w:vAlign w:val="center"/>
          </w:tcPr>
          <w:p w14:paraId="76EDE273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Minikube + Kubernetes + Docker + Locust</w:t>
            </w:r>
          </w:p>
        </w:tc>
      </w:tr>
      <w:tr w14:paraId="21674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80" w:type="dxa"/>
            <w:bottom w:w="120" w:type="dxa"/>
            <w:right w:w="180" w:type="dxa"/>
          </w:tblCellMar>
        </w:tblPrEx>
        <w:trPr>
          <w:gridAfter w:val="1"/>
          <w:wAfter w:w="60" w:type="dxa"/>
        </w:trPr>
        <w:tc>
          <w:tcPr>
            <w:tcW w:w="9360" w:type="dxa"/>
            <w:gridSpan w:val="3"/>
            <w:shd w:val="clear" w:color="auto" w:fill="F4F6F9"/>
          </w:tcPr>
          <w:p w14:paraId="6E2BB5F6">
            <w:r>
              <w:rPr>
                <w:rFonts w:ascii="Calibri" w:hAnsi="Calibri" w:eastAsia="微软雅黑"/>
                <w:b/>
                <w:color w:val="1F4D78"/>
                <w:sz w:val="22"/>
              </w:rPr>
              <w:t>文档摘要</w:t>
            </w:r>
          </w:p>
          <w:p w14:paraId="27D354B0"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本项目基于 Google Online Boutique 微服务示例进行扩展，新增奖励服务、视频广告激励、签到、优惠券、秒杀/整点活动、补贴商品标记与 Locust 压测可视化。系统以 Kubernetes 部署，前端通过奖励服务完成金币与优惠券业务闭环，并使用 Locust 原生界面验证在并发流量下的稳定性。</w:t>
            </w:r>
          </w:p>
        </w:tc>
      </w:tr>
    </w:tbl>
    <w:p w14:paraId="66A75239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1. 项目概述</w:t>
      </w:r>
    </w:p>
    <w:p w14:paraId="41B047F1">
      <w:r>
        <w:rPr>
          <w:rFonts w:ascii="Calibri" w:hAnsi="Calibri" w:eastAsia="微软雅黑"/>
          <w:b w:val="0"/>
          <w:color w:val="000000"/>
          <w:sz w:val="22"/>
        </w:rPr>
        <w:t>Online Boutique 是一个典型的云原生微服务电商系统，原始系统包含商品浏览、购物车、结算、支付、配送、邮件通知、广告推荐等服务。本次项目在此基础上围绕“用户激励与营销活动”进行扩展，使系统从基础购物流程升级为带有会员金币、广告收益、优惠券兑换和营销活动的完整电商体验。</w:t>
      </w:r>
    </w:p>
    <w:p w14:paraId="2089F20B">
      <w:r>
        <w:rPr>
          <w:rFonts w:ascii="Calibri" w:hAnsi="Calibri" w:eastAsia="微软雅黑"/>
          <w:b w:val="0"/>
          <w:color w:val="000000"/>
          <w:sz w:val="22"/>
        </w:rPr>
        <w:t>项目目标包括：完成奖励服务的后端实现；将金币、优惠券与结算流程打通；将广告展示优化为视频观看后自动发放金币；通过 Kubernetes 本地集群运行全部服务；最后使用项目自带的 Locust 对购物流程和广告奖励接口进行性能测试。</w:t>
      </w:r>
    </w:p>
    <w:p w14:paraId="5F514BF1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2. 系统架构与技术选型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74C4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00" w:type="dxa"/>
            <w:shd w:val="clear" w:color="auto" w:fill="F2F4F7"/>
            <w:vAlign w:val="center"/>
          </w:tcPr>
          <w:p w14:paraId="19196044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层次</w:t>
            </w:r>
          </w:p>
        </w:tc>
        <w:tc>
          <w:tcPr>
            <w:tcW w:w="2700" w:type="dxa"/>
            <w:shd w:val="clear" w:color="auto" w:fill="F2F4F7"/>
            <w:vAlign w:val="center"/>
          </w:tcPr>
          <w:p w14:paraId="1B5F01CA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主要组件</w:t>
            </w:r>
          </w:p>
        </w:tc>
        <w:tc>
          <w:tcPr>
            <w:tcW w:w="5160" w:type="dxa"/>
            <w:shd w:val="clear" w:color="auto" w:fill="F2F4F7"/>
            <w:vAlign w:val="center"/>
          </w:tcPr>
          <w:p w14:paraId="2B18C55A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说明</w:t>
            </w:r>
          </w:p>
        </w:tc>
      </w:tr>
      <w:tr w14:paraId="31C4C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00" w:type="dxa"/>
            <w:vAlign w:val="center"/>
          </w:tcPr>
          <w:p w14:paraId="728E48B5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前端层</w:t>
            </w:r>
          </w:p>
        </w:tc>
        <w:tc>
          <w:tcPr>
            <w:tcW w:w="2700" w:type="dxa"/>
            <w:vAlign w:val="center"/>
          </w:tcPr>
          <w:p w14:paraId="603A5925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frontend</w:t>
            </w:r>
          </w:p>
        </w:tc>
        <w:tc>
          <w:tcPr>
            <w:tcW w:w="5160" w:type="dxa"/>
            <w:vAlign w:val="center"/>
          </w:tcPr>
          <w:p w14:paraId="1A44D0C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Go Web 前端，负责首页、商品页、购物车、奖励中心与广告弹窗。</w:t>
            </w:r>
          </w:p>
        </w:tc>
      </w:tr>
      <w:tr w14:paraId="500F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00" w:type="dxa"/>
            <w:vAlign w:val="center"/>
          </w:tcPr>
          <w:p w14:paraId="3B90509E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业务服务层</w:t>
            </w:r>
          </w:p>
        </w:tc>
        <w:tc>
          <w:tcPr>
            <w:tcW w:w="2700" w:type="dxa"/>
            <w:vAlign w:val="center"/>
          </w:tcPr>
          <w:p w14:paraId="6054D176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checkoutservice、rewardservice</w:t>
            </w:r>
          </w:p>
        </w:tc>
        <w:tc>
          <w:tcPr>
            <w:tcW w:w="5160" w:type="dxa"/>
            <w:vAlign w:val="center"/>
          </w:tcPr>
          <w:p w14:paraId="046BFFA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结算服务负责订单，奖励服务负责金币、签到、优惠券、活动和监控指标。</w:t>
            </w:r>
          </w:p>
        </w:tc>
      </w:tr>
      <w:tr w14:paraId="59A08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00" w:type="dxa"/>
            <w:vAlign w:val="center"/>
          </w:tcPr>
          <w:p w14:paraId="729EB60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基础服务层</w:t>
            </w:r>
          </w:p>
        </w:tc>
        <w:tc>
          <w:tcPr>
            <w:tcW w:w="2700" w:type="dxa"/>
            <w:vAlign w:val="center"/>
          </w:tcPr>
          <w:p w14:paraId="1F9B03C0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cart、product、currency、payment、shipping、email、ad</w:t>
            </w:r>
          </w:p>
        </w:tc>
        <w:tc>
          <w:tcPr>
            <w:tcW w:w="5160" w:type="dxa"/>
            <w:vAlign w:val="center"/>
          </w:tcPr>
          <w:p w14:paraId="27525579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保留 Online Boutique 原有购物链路与推荐广告能力。</w:t>
            </w:r>
          </w:p>
        </w:tc>
      </w:tr>
      <w:tr w14:paraId="7CFE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00" w:type="dxa"/>
            <w:vAlign w:val="center"/>
          </w:tcPr>
          <w:p w14:paraId="4292DD8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数据层</w:t>
            </w:r>
          </w:p>
        </w:tc>
        <w:tc>
          <w:tcPr>
            <w:tcW w:w="2700" w:type="dxa"/>
            <w:vAlign w:val="center"/>
          </w:tcPr>
          <w:p w14:paraId="58B0A0DE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Redis</w:t>
            </w:r>
          </w:p>
        </w:tc>
        <w:tc>
          <w:tcPr>
            <w:tcW w:w="5160" w:type="dxa"/>
            <w:vAlign w:val="center"/>
          </w:tcPr>
          <w:p w14:paraId="029A979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存储金币余额、优惠券、签到状态、活动领取状态和交易流水。</w:t>
            </w:r>
          </w:p>
        </w:tc>
      </w:tr>
      <w:tr w14:paraId="4E91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00" w:type="dxa"/>
            <w:vAlign w:val="center"/>
          </w:tcPr>
          <w:p w14:paraId="465A014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部署层</w:t>
            </w:r>
          </w:p>
        </w:tc>
        <w:tc>
          <w:tcPr>
            <w:tcW w:w="2700" w:type="dxa"/>
            <w:vAlign w:val="center"/>
          </w:tcPr>
          <w:p w14:paraId="6994DD52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Kubernetes/Minikube</w:t>
            </w:r>
          </w:p>
        </w:tc>
        <w:tc>
          <w:tcPr>
            <w:tcW w:w="5160" w:type="dxa"/>
            <w:vAlign w:val="center"/>
          </w:tcPr>
          <w:p w14:paraId="7C07877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使用 Deployment、Service、HPA 等资源进行本地云原生部署。</w:t>
            </w:r>
          </w:p>
        </w:tc>
      </w:tr>
      <w:tr w14:paraId="205DC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00" w:type="dxa"/>
            <w:vAlign w:val="center"/>
          </w:tcPr>
          <w:p w14:paraId="78B1BBE2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测试层</w:t>
            </w:r>
          </w:p>
        </w:tc>
        <w:tc>
          <w:tcPr>
            <w:tcW w:w="2700" w:type="dxa"/>
            <w:vAlign w:val="center"/>
          </w:tcPr>
          <w:p w14:paraId="55612D42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Locust</w:t>
            </w:r>
          </w:p>
        </w:tc>
        <w:tc>
          <w:tcPr>
            <w:tcW w:w="5160" w:type="dxa"/>
            <w:vAlign w:val="center"/>
          </w:tcPr>
          <w:p w14:paraId="7A7437D9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项目自带压测工具，模拟用户浏览、加购、结算和观看视频广告。</w:t>
            </w:r>
          </w:p>
        </w:tc>
      </w:tr>
    </w:tbl>
    <w:p w14:paraId="586B8AF8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3. 新增功能说明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0594F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shd w:val="clear" w:color="auto" w:fill="F2F4F7"/>
            <w:vAlign w:val="center"/>
          </w:tcPr>
          <w:p w14:paraId="2657D2DF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功能</w:t>
            </w:r>
          </w:p>
        </w:tc>
        <w:tc>
          <w:tcPr>
            <w:tcW w:w="2800" w:type="dxa"/>
            <w:shd w:val="clear" w:color="auto" w:fill="F2F4F7"/>
            <w:vAlign w:val="center"/>
          </w:tcPr>
          <w:p w14:paraId="21A9EDB0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实现位置</w:t>
            </w:r>
          </w:p>
        </w:tc>
        <w:tc>
          <w:tcPr>
            <w:tcW w:w="4860" w:type="dxa"/>
            <w:shd w:val="clear" w:color="auto" w:fill="F2F4F7"/>
            <w:vAlign w:val="center"/>
          </w:tcPr>
          <w:p w14:paraId="289FEAAF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功能说明</w:t>
            </w:r>
          </w:p>
        </w:tc>
      </w:tr>
      <w:tr w14:paraId="3FB1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0FC14D47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金币奖励</w:t>
            </w:r>
          </w:p>
        </w:tc>
        <w:tc>
          <w:tcPr>
            <w:tcW w:w="2800" w:type="dxa"/>
            <w:vAlign w:val="center"/>
          </w:tcPr>
          <w:p w14:paraId="3A888B9F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src/rewardservice</w:t>
            </w:r>
          </w:p>
        </w:tc>
        <w:tc>
          <w:tcPr>
            <w:tcW w:w="4860" w:type="dxa"/>
            <w:vAlign w:val="center"/>
          </w:tcPr>
          <w:p w14:paraId="1E215FF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用户通过完整观看视频广告、签到、整点活动等方式获得金币。</w:t>
            </w:r>
          </w:p>
        </w:tc>
      </w:tr>
      <w:tr w14:paraId="3E4D9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6A40F15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视频广告激励</w:t>
            </w:r>
          </w:p>
        </w:tc>
        <w:tc>
          <w:tcPr>
            <w:tcW w:w="2800" w:type="dxa"/>
            <w:vAlign w:val="center"/>
          </w:tcPr>
          <w:p w14:paraId="28065CC0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src/frontend/templates/ad.html</w:t>
            </w:r>
          </w:p>
        </w:tc>
        <w:tc>
          <w:tcPr>
            <w:tcW w:w="4860" w:type="dxa"/>
            <w:vAlign w:val="center"/>
          </w:tcPr>
          <w:p w14:paraId="6398BF6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广告改为视频播放，视频结束后自动调用 /ads/watch 发放金币。</w:t>
            </w:r>
          </w:p>
        </w:tc>
      </w:tr>
      <w:tr w14:paraId="6C10B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26DAE7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连看叠加奖励</w:t>
            </w:r>
          </w:p>
        </w:tc>
        <w:tc>
          <w:tcPr>
            <w:tcW w:w="2800" w:type="dxa"/>
            <w:vAlign w:val="center"/>
          </w:tcPr>
          <w:p w14:paraId="181F69C4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src/rewardservice/rewardservice.py</w:t>
            </w:r>
          </w:p>
        </w:tc>
        <w:tc>
          <w:tcPr>
            <w:tcW w:w="4860" w:type="dxa"/>
            <w:vAlign w:val="center"/>
          </w:tcPr>
          <w:p w14:paraId="5CAFE250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连续完整观看视频可获得额外 bonus_coins，第二次开始叠加奖励。</w:t>
            </w:r>
          </w:p>
        </w:tc>
      </w:tr>
      <w:tr w14:paraId="48867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151100F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签到系统</w:t>
            </w:r>
          </w:p>
        </w:tc>
        <w:tc>
          <w:tcPr>
            <w:tcW w:w="2800" w:type="dxa"/>
            <w:vAlign w:val="center"/>
          </w:tcPr>
          <w:p w14:paraId="705EF1AB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rewardservice + rewards 页面</w:t>
            </w:r>
          </w:p>
        </w:tc>
        <w:tc>
          <w:tcPr>
            <w:tcW w:w="4860" w:type="dxa"/>
            <w:vAlign w:val="center"/>
          </w:tcPr>
          <w:p w14:paraId="307F1F35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支持每日签到、连续签到、周奖励和签到日历展示。</w:t>
            </w:r>
          </w:p>
        </w:tc>
      </w:tr>
      <w:tr w14:paraId="08AC1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4013A73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优惠券兑换</w:t>
            </w:r>
          </w:p>
        </w:tc>
        <w:tc>
          <w:tcPr>
            <w:tcW w:w="2800" w:type="dxa"/>
            <w:vAlign w:val="center"/>
          </w:tcPr>
          <w:p w14:paraId="7683A3E4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rewardservice + checkoutservice</w:t>
            </w:r>
          </w:p>
        </w:tc>
        <w:tc>
          <w:tcPr>
            <w:tcW w:w="4860" w:type="dxa"/>
            <w:vAlign w:val="center"/>
          </w:tcPr>
          <w:p w14:paraId="51CE402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金币可兑换优惠券；结算时校验、锁定、核销，失败时回滚。</w:t>
            </w:r>
          </w:p>
        </w:tc>
      </w:tr>
      <w:tr w14:paraId="6410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A0E28F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营销活动</w:t>
            </w:r>
          </w:p>
        </w:tc>
        <w:tc>
          <w:tcPr>
            <w:tcW w:w="2800" w:type="dxa"/>
            <w:vAlign w:val="center"/>
          </w:tcPr>
          <w:p w14:paraId="4DE801E5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flash/rush/subsidy</w:t>
            </w:r>
          </w:p>
        </w:tc>
        <w:tc>
          <w:tcPr>
            <w:tcW w:w="4860" w:type="dxa"/>
            <w:vAlign w:val="center"/>
          </w:tcPr>
          <w:p w14:paraId="5C96EC1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支持秒杀券、整点抢金币和百亿补贴商品标签。</w:t>
            </w:r>
          </w:p>
        </w:tc>
      </w:tr>
      <w:tr w14:paraId="4733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8B36D61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监控指标</w:t>
            </w:r>
          </w:p>
        </w:tc>
        <w:tc>
          <w:tcPr>
            <w:tcW w:w="2800" w:type="dxa"/>
            <w:vAlign w:val="center"/>
          </w:tcPr>
          <w:p w14:paraId="139EB4AA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/metrics</w:t>
            </w:r>
          </w:p>
        </w:tc>
        <w:tc>
          <w:tcPr>
            <w:tcW w:w="4860" w:type="dxa"/>
            <w:vAlign w:val="center"/>
          </w:tcPr>
          <w:p w14:paraId="01279AE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前端与奖励服务暴露 Prometheus 风格指标，用于观察请求量和业务事件。</w:t>
            </w:r>
          </w:p>
        </w:tc>
      </w:tr>
      <w:tr w14:paraId="4A52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23F793CE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压测可视化</w:t>
            </w:r>
          </w:p>
        </w:tc>
        <w:tc>
          <w:tcPr>
            <w:tcW w:w="2800" w:type="dxa"/>
            <w:vAlign w:val="center"/>
          </w:tcPr>
          <w:p w14:paraId="0AE23408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src/loadgenerator</w:t>
            </w:r>
          </w:p>
        </w:tc>
        <w:tc>
          <w:tcPr>
            <w:tcW w:w="4860" w:type="dxa"/>
            <w:vAlign w:val="center"/>
          </w:tcPr>
          <w:p w14:paraId="518164A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使用 Locust Web UI 展示 RPS、失败率、响应时间和任务比例。</w:t>
            </w:r>
          </w:p>
        </w:tc>
      </w:tr>
    </w:tbl>
    <w:p w14:paraId="27E6EB13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4. 核心业务流程</w:t>
      </w:r>
    </w:p>
    <w:p w14:paraId="0D254697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4.1 视频广告奖励流程</w:t>
      </w:r>
    </w:p>
    <w:p w14:paraId="03B04043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用户点击广告位按钮后，前端打开固定画幅的视频弹窗并禁用其他广告按钮。</w:t>
      </w:r>
    </w:p>
    <w:p w14:paraId="28245423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视频播放过程中限制快进，未播放完成时不会发放奖励，也不能切换到下一条广告。</w:t>
      </w:r>
    </w:p>
    <w:p w14:paraId="2B89F390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视频 ended 事件触发后，前端向 /ads/watch 提交广告位、播放阶段和展示位置。</w:t>
      </w:r>
    </w:p>
    <w:p w14:paraId="07BDDB80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rewardservice 根据 stage=3 写入金币余额，并计算连续观看奖励 bonus_coins。</w:t>
      </w:r>
    </w:p>
    <w:p w14:paraId="29EC54A0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前端更新页面金币余额，并展示本次获得金币与连看奖励。</w:t>
      </w:r>
    </w:p>
    <w:p w14:paraId="5DCEFA5E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4.2 优惠券闭环流程</w:t>
      </w:r>
    </w:p>
    <w:p w14:paraId="02085C28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用户在奖励中心使用金币兑换优惠券。</w:t>
      </w:r>
    </w:p>
    <w:p w14:paraId="0D42061F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结算页输入 coupon_code 后，checkoutservice 调用 rewardservice 校验并锁定优惠券。</w:t>
      </w:r>
    </w:p>
    <w:p w14:paraId="091EC903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订单成功后调用 coupon/commit 完成核销；订单失败则调用 coupon/cancel 回滚优惠券状态和金币。</w:t>
      </w:r>
    </w:p>
    <w:p w14:paraId="3023D1FE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该设计避免了优惠券重复使用，也保证了结算失败时用户权益可恢复。</w:t>
      </w:r>
    </w:p>
    <w:p w14:paraId="30991D2C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5. 部署与运行说明</w:t>
      </w:r>
    </w:p>
    <w:p w14:paraId="03E78FF5">
      <w:r>
        <w:rPr>
          <w:rFonts w:ascii="Calibri" w:hAnsi="Calibri" w:eastAsia="微软雅黑"/>
          <w:b w:val="0"/>
          <w:color w:val="000000"/>
          <w:sz w:val="22"/>
        </w:rPr>
        <w:t>本项目使用 Minikube 在本地启动 Kubernetes 集群，并将 frontend、checkoutservice、rewardservice、loadgenerator 等镜像构建到 Minikube 环境中。服务通过 Kubernetes Service 互相访问，前端通过 frontend-external 暴露到本机 localhost:8080，Locust Web UI 通过 locust-ui 暴露到 localhost:8081。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6830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000" w:type="dxa"/>
            <w:shd w:val="clear" w:color="auto" w:fill="F2F4F7"/>
            <w:vAlign w:val="center"/>
          </w:tcPr>
          <w:p w14:paraId="113CE1B2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访问地址</w:t>
            </w:r>
          </w:p>
        </w:tc>
        <w:tc>
          <w:tcPr>
            <w:tcW w:w="6360" w:type="dxa"/>
            <w:shd w:val="clear" w:color="auto" w:fill="F2F4F7"/>
            <w:vAlign w:val="center"/>
          </w:tcPr>
          <w:p w14:paraId="223DC3B2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用途</w:t>
            </w:r>
          </w:p>
        </w:tc>
      </w:tr>
      <w:tr w14:paraId="12E8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000" w:type="dxa"/>
            <w:vAlign w:val="center"/>
          </w:tcPr>
          <w:p w14:paraId="35FEE44F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http://localhost:8080</w:t>
            </w:r>
          </w:p>
        </w:tc>
        <w:tc>
          <w:tcPr>
            <w:tcW w:w="6360" w:type="dxa"/>
            <w:vAlign w:val="center"/>
          </w:tcPr>
          <w:p w14:paraId="17C1ED6A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Online Boutique 前端页面，可测试商品浏览、购物车、奖励中心和视频广告。</w:t>
            </w:r>
          </w:p>
        </w:tc>
      </w:tr>
      <w:tr w14:paraId="7EAB0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000" w:type="dxa"/>
            <w:vAlign w:val="center"/>
          </w:tcPr>
          <w:p w14:paraId="27B85AA5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http://localhost:8081</w:t>
            </w:r>
          </w:p>
        </w:tc>
        <w:tc>
          <w:tcPr>
            <w:tcW w:w="6360" w:type="dxa"/>
            <w:vAlign w:val="center"/>
          </w:tcPr>
          <w:p w14:paraId="4DD69EC0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Locust 原生可视化压测界面，可查看 Statistics、Charts、Failures、Current Ratio 等页签。</w:t>
            </w:r>
          </w:p>
        </w:tc>
      </w:tr>
    </w:tbl>
    <w:p w14:paraId="7482379F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6. 性能测试与结果分析</w:t>
      </w:r>
    </w:p>
    <w:p w14:paraId="4243299A">
      <w:r>
        <w:rPr>
          <w:rFonts w:ascii="Calibri" w:hAnsi="Calibri" w:eastAsia="微软雅黑"/>
          <w:b w:val="0"/>
          <w:color w:val="000000"/>
          <w:sz w:val="22"/>
        </w:rPr>
        <w:t>压测使用项目自带 loadgenerator，即 src/loadgenerator/locustfile.py。压测脚本模拟真实用户行为，包括首页访问、商品浏览、切换货币、查看购物车、加入购物车、提交结算以及观看视频广告。Locust UI 中配置 50 个并发用户，测试过程中系统状态为 RUNNING，RPS 稳定在约 10.7，当前失败率显示为 0%。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3AFF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shd w:val="clear" w:color="auto" w:fill="F2F4F7"/>
            <w:vAlign w:val="center"/>
          </w:tcPr>
          <w:p w14:paraId="32191BFC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指标/接口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1C9EDAE7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请求数</w:t>
            </w:r>
          </w:p>
        </w:tc>
        <w:tc>
          <w:tcPr>
            <w:tcW w:w="800" w:type="dxa"/>
            <w:shd w:val="clear" w:color="auto" w:fill="F2F4F7"/>
            <w:vAlign w:val="center"/>
          </w:tcPr>
          <w:p w14:paraId="1138AEB1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失败数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03B25C75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中位数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3A8AE319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95 分位</w:t>
            </w:r>
          </w:p>
        </w:tc>
        <w:tc>
          <w:tcPr>
            <w:tcW w:w="1000" w:type="dxa"/>
            <w:shd w:val="clear" w:color="auto" w:fill="F2F4F7"/>
            <w:vAlign w:val="center"/>
          </w:tcPr>
          <w:p w14:paraId="0033C92C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平均响应</w:t>
            </w:r>
          </w:p>
        </w:tc>
        <w:tc>
          <w:tcPr>
            <w:tcW w:w="3160" w:type="dxa"/>
            <w:shd w:val="clear" w:color="auto" w:fill="F2F4F7"/>
            <w:vAlign w:val="center"/>
          </w:tcPr>
          <w:p w14:paraId="2D6D1307">
            <w:pPr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2"/>
              </w:rPr>
              <w:t>说明</w:t>
            </w:r>
          </w:p>
        </w:tc>
      </w:tr>
      <w:tr w14:paraId="43BA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203B9C4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POST /ads/watch</w:t>
            </w:r>
          </w:p>
        </w:tc>
        <w:tc>
          <w:tcPr>
            <w:tcW w:w="900" w:type="dxa"/>
            <w:vAlign w:val="center"/>
          </w:tcPr>
          <w:p w14:paraId="4AB6F514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924</w:t>
            </w:r>
          </w:p>
        </w:tc>
        <w:tc>
          <w:tcPr>
            <w:tcW w:w="800" w:type="dxa"/>
            <w:vAlign w:val="center"/>
          </w:tcPr>
          <w:p w14:paraId="68142434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6437012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9 ms</w:t>
            </w:r>
          </w:p>
        </w:tc>
        <w:tc>
          <w:tcPr>
            <w:tcW w:w="900" w:type="dxa"/>
            <w:vAlign w:val="center"/>
          </w:tcPr>
          <w:p w14:paraId="786EAD72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130 ms</w:t>
            </w:r>
          </w:p>
        </w:tc>
        <w:tc>
          <w:tcPr>
            <w:tcW w:w="1000" w:type="dxa"/>
            <w:vAlign w:val="center"/>
          </w:tcPr>
          <w:p w14:paraId="2116A4C7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36.74 ms</w:t>
            </w:r>
          </w:p>
        </w:tc>
        <w:tc>
          <w:tcPr>
            <w:tcW w:w="3160" w:type="dxa"/>
            <w:vAlign w:val="center"/>
          </w:tcPr>
          <w:p w14:paraId="7D16239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视频广告奖励接口表现稳定，是本次新增功能的重点接口。</w:t>
            </w:r>
          </w:p>
        </w:tc>
      </w:tr>
      <w:tr w14:paraId="176F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2F313C7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GET /</w:t>
            </w:r>
          </w:p>
        </w:tc>
        <w:tc>
          <w:tcPr>
            <w:tcW w:w="900" w:type="dxa"/>
            <w:vAlign w:val="center"/>
          </w:tcPr>
          <w:p w14:paraId="4232FCB9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483</w:t>
            </w:r>
          </w:p>
        </w:tc>
        <w:tc>
          <w:tcPr>
            <w:tcW w:w="800" w:type="dxa"/>
            <w:vAlign w:val="center"/>
          </w:tcPr>
          <w:p w14:paraId="7DD19511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6A6B3215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120 ms</w:t>
            </w:r>
          </w:p>
        </w:tc>
        <w:tc>
          <w:tcPr>
            <w:tcW w:w="900" w:type="dxa"/>
            <w:vAlign w:val="center"/>
          </w:tcPr>
          <w:p w14:paraId="4EDF265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1400 ms</w:t>
            </w:r>
          </w:p>
        </w:tc>
        <w:tc>
          <w:tcPr>
            <w:tcW w:w="1000" w:type="dxa"/>
            <w:vAlign w:val="center"/>
          </w:tcPr>
          <w:p w14:paraId="6E4A1BA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275.64 ms</w:t>
            </w:r>
          </w:p>
        </w:tc>
        <w:tc>
          <w:tcPr>
            <w:tcW w:w="3160" w:type="dxa"/>
            <w:vAlign w:val="center"/>
          </w:tcPr>
          <w:p w14:paraId="7F31261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首页包含商品和广告内容，偶发高延迟但无失败。</w:t>
            </w:r>
          </w:p>
        </w:tc>
      </w:tr>
      <w:tr w14:paraId="074D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18308E11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GET /cart</w:t>
            </w:r>
          </w:p>
        </w:tc>
        <w:tc>
          <w:tcPr>
            <w:tcW w:w="900" w:type="dxa"/>
            <w:vAlign w:val="center"/>
          </w:tcPr>
          <w:p w14:paraId="2276C5C5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1363</w:t>
            </w:r>
          </w:p>
        </w:tc>
        <w:tc>
          <w:tcPr>
            <w:tcW w:w="800" w:type="dxa"/>
            <w:vAlign w:val="center"/>
          </w:tcPr>
          <w:p w14:paraId="198325E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73868617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66 ms</w:t>
            </w:r>
          </w:p>
        </w:tc>
        <w:tc>
          <w:tcPr>
            <w:tcW w:w="900" w:type="dxa"/>
            <w:vAlign w:val="center"/>
          </w:tcPr>
          <w:p w14:paraId="1942F27F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490 ms</w:t>
            </w:r>
          </w:p>
        </w:tc>
        <w:tc>
          <w:tcPr>
            <w:tcW w:w="1000" w:type="dxa"/>
            <w:vAlign w:val="center"/>
          </w:tcPr>
          <w:p w14:paraId="42B4DBF2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134.17 ms</w:t>
            </w:r>
          </w:p>
        </w:tc>
        <w:tc>
          <w:tcPr>
            <w:tcW w:w="3160" w:type="dxa"/>
            <w:vAlign w:val="center"/>
          </w:tcPr>
          <w:p w14:paraId="0701944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购物车访问量较高，整体响应可接受。</w:t>
            </w:r>
          </w:p>
        </w:tc>
      </w:tr>
      <w:tr w14:paraId="0701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5BC5FDC7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POST /cart</w:t>
            </w:r>
          </w:p>
        </w:tc>
        <w:tc>
          <w:tcPr>
            <w:tcW w:w="900" w:type="dxa"/>
            <w:vAlign w:val="center"/>
          </w:tcPr>
          <w:p w14:paraId="4792A962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1336</w:t>
            </w:r>
          </w:p>
        </w:tc>
        <w:tc>
          <w:tcPr>
            <w:tcW w:w="800" w:type="dxa"/>
            <w:vAlign w:val="center"/>
          </w:tcPr>
          <w:p w14:paraId="27C1854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3DFA7A63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100 ms</w:t>
            </w:r>
          </w:p>
        </w:tc>
        <w:tc>
          <w:tcPr>
            <w:tcW w:w="900" w:type="dxa"/>
            <w:vAlign w:val="center"/>
          </w:tcPr>
          <w:p w14:paraId="2B897EE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490 ms</w:t>
            </w:r>
          </w:p>
        </w:tc>
        <w:tc>
          <w:tcPr>
            <w:tcW w:w="1000" w:type="dxa"/>
            <w:vAlign w:val="center"/>
          </w:tcPr>
          <w:p w14:paraId="0BCA9A9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166.37 ms</w:t>
            </w:r>
          </w:p>
        </w:tc>
        <w:tc>
          <w:tcPr>
            <w:tcW w:w="3160" w:type="dxa"/>
            <w:vAlign w:val="center"/>
          </w:tcPr>
          <w:p w14:paraId="3464EF5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加购请求稳定，无失败。</w:t>
            </w:r>
          </w:p>
        </w:tc>
      </w:tr>
      <w:tr w14:paraId="12BE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1136344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POST /cart/checkout</w:t>
            </w:r>
          </w:p>
        </w:tc>
        <w:tc>
          <w:tcPr>
            <w:tcW w:w="900" w:type="dxa"/>
            <w:vAlign w:val="center"/>
          </w:tcPr>
          <w:p w14:paraId="6CE53728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456</w:t>
            </w:r>
          </w:p>
        </w:tc>
        <w:tc>
          <w:tcPr>
            <w:tcW w:w="800" w:type="dxa"/>
            <w:vAlign w:val="center"/>
          </w:tcPr>
          <w:p w14:paraId="7D62C392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0E2398D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98 ms</w:t>
            </w:r>
          </w:p>
        </w:tc>
        <w:tc>
          <w:tcPr>
            <w:tcW w:w="900" w:type="dxa"/>
            <w:vAlign w:val="center"/>
          </w:tcPr>
          <w:p w14:paraId="22D813D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480 ms</w:t>
            </w:r>
          </w:p>
        </w:tc>
        <w:tc>
          <w:tcPr>
            <w:tcW w:w="1000" w:type="dxa"/>
            <w:vAlign w:val="center"/>
          </w:tcPr>
          <w:p w14:paraId="7E481697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142.88 ms</w:t>
            </w:r>
          </w:p>
        </w:tc>
        <w:tc>
          <w:tcPr>
            <w:tcW w:w="3160" w:type="dxa"/>
            <w:vAlign w:val="center"/>
          </w:tcPr>
          <w:p w14:paraId="7251ADB1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0"/>
              </w:rPr>
              <w:t>结算链路涉及多个服务，出现少量历史失败，需后续重点观察。</w:t>
            </w:r>
          </w:p>
        </w:tc>
      </w:tr>
    </w:tbl>
    <w:p w14:paraId="25599DBD">
      <w:r>
        <w:rPr>
          <w:rFonts w:ascii="Calibri" w:hAnsi="Calibri" w:eastAsia="微软雅黑"/>
          <w:b w:val="0"/>
          <w:color w:val="000000"/>
          <w:sz w:val="22"/>
        </w:rPr>
        <w:t>从 Current Ratio 页签可见，压测任务中 browseProduct 占 47.6%，viewCart 占 14.3%，addToCart、setCurrency、watchVideoAd 各占 9.5%，checkout 与 index 各占 4.8%。该比例更接近真实电商用户的浏览型流量，同时保留了广告奖励与下单链路测试。</w:t>
      </w:r>
    </w:p>
    <w:p w14:paraId="4B7ED687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图 1：Locust Charts 压测曲线</w:t>
      </w:r>
    </w:p>
    <w:p w14:paraId="6F517444">
      <w:r>
        <w:drawing>
          <wp:inline distT="0" distB="0" distL="114300" distR="114300">
            <wp:extent cx="5760720" cy="275145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FBEC42">
      <w:pPr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RPS 基本稳定在 9 至 12 之间，Failures/s 接近 0；响应时间存在少量峰值，但整体持续运行。</w:t>
      </w:r>
    </w:p>
    <w:p w14:paraId="0811CD44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图 2：Locust Statistics 接口统计</w:t>
      </w:r>
    </w:p>
    <w:p w14:paraId="2D59BEDC">
      <w:r>
        <w:drawing>
          <wp:inline distT="0" distB="0" distL="114300" distR="114300">
            <wp:extent cx="5760720" cy="276733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8547">
      <w:pPr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新增接口 POST /ads/watch 请求数为 924，失败数为 0，平均响应时间约 36.74 ms。</w:t>
      </w:r>
    </w:p>
    <w:p w14:paraId="3971F16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图 3：Locust Current Ratio 任务比例</w:t>
      </w:r>
    </w:p>
    <w:p w14:paraId="30E07CA3">
      <w:r>
        <w:drawing>
          <wp:inline distT="0" distB="0" distL="114300" distR="114300">
            <wp:extent cx="5760720" cy="482727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444F">
      <w:pPr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任务配比以商品浏览为主，同时覆盖加购、结算、切换货币和视频广告奖励。</w:t>
      </w:r>
    </w:p>
    <w:p w14:paraId="1FBBB2DF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7. 项目特点与改进价值</w:t>
      </w:r>
    </w:p>
    <w:p w14:paraId="598720B8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在原有微服务电商系统上扩展了完整的会员激励业务，业务主题更贴近真实电商平台。</w:t>
      </w:r>
    </w:p>
    <w:p w14:paraId="216A05ED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奖励服务独立部署，前端和结算服务只通过接口调用，保持了微服务职责边界。</w:t>
      </w:r>
    </w:p>
    <w:p w14:paraId="2588ADE4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金币、优惠券、签到、秒杀、整点活动等状态统一放在 Redis 中，适合高频读写的营销场景。</w:t>
      </w:r>
    </w:p>
    <w:p w14:paraId="64694303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视频广告奖励由前端播放完成事件触发，避免用户未看完广告就领取金币。</w:t>
      </w:r>
    </w:p>
    <w:p w14:paraId="167C9B69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使用 Locust 原生界面进行可视化压测，能直观看到吞吐量、失败率、响应时间和任务分布。</w:t>
      </w:r>
    </w:p>
    <w:p w14:paraId="2B30C326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8. 总结</w:t>
      </w:r>
    </w:p>
    <w:p w14:paraId="2BBF37F2">
      <w:r>
        <w:rPr>
          <w:rFonts w:ascii="Calibri" w:hAnsi="Calibri" w:eastAsia="微软雅黑"/>
          <w:b w:val="0"/>
          <w:color w:val="000000"/>
          <w:sz w:val="22"/>
        </w:rPr>
        <w:t>本项目完成了从基础微服务商城到带营销激励能力电商系统的扩展。实现上，rewardservice 承担金币与优惠券核心状态管理，frontend 提供奖励中心和视频广告交互，checkoutservice 负责结算时的优惠券校验与核销。测试上，系统通过 Kubernetes 本地集群运行，并使用 Locust 对典型购物路径和新增广告奖励接口进行并发验证。压测结果表明，在 50 个并发用户下，系统整体 RPS 稳定，广告奖励接口无失败且延迟较低，说明新增功能能够在当前测试规模下正常支撑业务访问。</w:t>
      </w:r>
    </w:p>
    <w:p w14:paraId="2AD7E326">
      <w:r>
        <w:rPr>
          <w:rFonts w:ascii="Calibri" w:hAnsi="Calibri" w:eastAsia="微软雅黑"/>
          <w:b w:val="0"/>
          <w:color w:val="000000"/>
          <w:sz w:val="22"/>
        </w:rPr>
        <w:t>后续可以继续优化结算链路的偶发失败问题，并接入 Prometheus/Grafana 对 rewardservice 的金币、优惠券、签到和活动指标进行长期监控。</w:t>
      </w:r>
    </w:p>
    <w:p w14:paraId="15C0149D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参考文件</w:t>
      </w:r>
    </w:p>
    <w:p w14:paraId="06642E9C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src/rewardservice/rewardservice.py：奖励服务主逻辑。</w:t>
      </w:r>
    </w:p>
    <w:p w14:paraId="7D32C150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src/frontend/templates/ad.html：视频广告弹窗与播放完成发奖逻辑。</w:t>
      </w:r>
    </w:p>
    <w:p w14:paraId="3529BA20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src/frontend/handlers.go：前端奖励、签到、活动和广告接口处理。</w:t>
      </w:r>
    </w:p>
    <w:p w14:paraId="0C88F263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src/checkoutservice/main.go：结算时优惠券校验、核销与回滚。</w:t>
      </w:r>
    </w:p>
    <w:p w14:paraId="1A78004D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src/loadgenerator/locustfile.py：Locust 压测脚本。</w:t>
      </w:r>
    </w:p>
    <w:p w14:paraId="6619A842">
      <w:pPr>
        <w:pStyle w:val="16"/>
      </w:pPr>
      <w:r>
        <w:rPr>
          <w:rFonts w:ascii="Calibri" w:hAnsi="Calibri" w:eastAsia="微软雅黑"/>
          <w:b w:val="0"/>
          <w:color w:val="000000"/>
          <w:sz w:val="22"/>
        </w:rPr>
        <w:t>kubernetes-manifests/*.yaml：Kubernetes 部署资源。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E448C">
    <w:pPr>
      <w:pStyle w:val="24"/>
      <w:jc w:val="center"/>
    </w:pPr>
    <w:r>
      <w:rPr>
        <w:rFonts w:ascii="Calibri" w:hAnsi="Calibri" w:eastAsia="微软雅黑"/>
        <w:b w:val="0"/>
        <w:color w:val="555555"/>
        <w:sz w:val="18"/>
      </w:rPr>
      <w:t>Online Boutique 微服务电商系统项目文档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7B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1772</Words>
  <Characters>2902</Characters>
  <Lines>0</Lines>
  <Paragraphs>0</Paragraphs>
  <TotalTime>2</TotalTime>
  <ScaleCrop>false</ScaleCrop>
  <LinksUpToDate>false</LinksUpToDate>
  <CharactersWithSpaces>3069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WPS_1694658118</cp:lastModifiedBy>
  <dcterms:modified xsi:type="dcterms:W3CDTF">2026-06-07T05:00:21Z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eyJoZGlkIjoiZGE4ZDNkOTJjNjJkZTAwMWUzNjVjMTVmMzI0MGM3MjciLCJ1c2VySWQiOiIxNTMzMDc2MjI2In0=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1CAE9AE04286477C95A9A779F93E36FE_12</vt:lpwstr>
  </property>
</Properties>
</file>