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sponse-to-reviewers"/>
    <w:p>
      <w:pPr>
        <w:pStyle w:val="Heading1"/>
      </w:pPr>
      <w:r>
        <w:t xml:space="preserve">Response to Reviewers</w:t>
      </w:r>
    </w:p>
    <w:p>
      <w:pPr>
        <w:pStyle w:val="FirstParagraph"/>
      </w:pPr>
      <w:r>
        <w:rPr>
          <w:bCs/>
          <w:b/>
        </w:rPr>
        <w:t xml:space="preserve">Manuscript:</w:t>
      </w:r>
      <w:r>
        <w:t xml:space="preserve"> </w:t>
      </w:r>
      <w:r>
        <w:t xml:space="preserve">“</w:t>
      </w:r>
      <w:r>
        <w:t xml:space="preserve">Content-Conditioned Invariant Feature-Statistic Augmentation: Unifying Robustness and Weight Averaging for Domain Generalization</w:t>
      </w:r>
      <w:r>
        <w:t xml:space="preserve">”</w:t>
      </w:r>
      <w:r>
        <w:t xml:space="preserve"> </w:t>
      </w:r>
      <w:r>
        <w:t xml:space="preserve">(CIFA)</w:t>
      </w:r>
      <w:r>
        <w:t xml:space="preserve"> </w:t>
      </w:r>
      <w:r>
        <w:rPr>
          <w:bCs/>
          <w:b/>
        </w:rPr>
        <w:t xml:space="preserve">Journal:</w:t>
      </w:r>
      <w:r>
        <w:t xml:space="preserve"> </w:t>
      </w:r>
      <w:r>
        <w:rPr>
          <w:iCs/>
          <w:i/>
        </w:rPr>
        <w:t xml:space="preserve">Electronics</w:t>
      </w:r>
      <w:r>
        <w:t xml:space="preserve"> </w:t>
      </w:r>
      <w:r>
        <w:t xml:space="preserve">(MDPI)</w:t>
      </w:r>
      <w:r>
        <w:t xml:space="preserve"> </w:t>
      </w:r>
      <w:r>
        <w:rPr>
          <w:bCs/>
          <w:b/>
        </w:rPr>
        <w:t xml:space="preserve">Manuscript ID:</w:t>
      </w:r>
      <w:r>
        <w:t xml:space="preserve"> </w:t>
      </w:r>
      <w:r>
        <w:t xml:space="preserve">electronics-4654208</w:t>
      </w:r>
      <w:r>
        <w:t xml:space="preserve"> </w:t>
      </w:r>
      <w:r>
        <w:rPr>
          <w:bCs/>
          <w:b/>
        </w:rPr>
        <w:t xml:space="preserve">Date:</w:t>
      </w:r>
      <w:r>
        <w:t xml:space="preserve"> </w:t>
      </w:r>
      <w:r>
        <w:t xml:space="preserve">27 October 2026</w:t>
      </w:r>
    </w:p>
    <w:p>
      <w:r>
        <w:pict>
          <v:rect style="width:0;height:1.5pt" o:hralign="center" o:hrstd="t" o:hr="t"/>
        </w:pict>
      </w:r>
    </w:p>
    <w:p>
      <w:pPr>
        <w:pStyle w:val="FirstParagraph"/>
      </w:pPr>
      <w:r>
        <w:t xml:space="preserve">Dear Editors and Reviewers,</w:t>
      </w:r>
    </w:p>
    <w:p>
      <w:pPr>
        <w:pStyle w:val="BodyText"/>
      </w:pPr>
      <w:r>
        <w:t xml:space="preserve">We sincerely thank all three reviewers for their careful and constructive evaluation. The comments identified genuine weaknesses in the mathematical statements, the internal consistency of the experiments, and the strength of several claims. We have revised the manuscript accordingly.</w:t>
      </w:r>
    </w:p>
    <w:p>
      <w:pPr>
        <w:pStyle w:val="BodyText"/>
      </w:pPr>
      <w:r>
        <w:t xml:space="preserve">The revision follows four principles: (1)</w:t>
      </w:r>
      <w:r>
        <w:t xml:space="preserve"> </w:t>
      </w:r>
      <w:r>
        <w:rPr>
          <w:bCs/>
          <w:b/>
        </w:rPr>
        <w:t xml:space="preserve">repair the derivations</w:t>
      </w:r>
      <w:r>
        <w:t xml:space="preserve"> </w:t>
      </w:r>
      <w:r>
        <w:t xml:space="preserve">rather than defend them, (2)</w:t>
      </w:r>
      <w:r>
        <w:t xml:space="preserve"> </w:t>
      </w:r>
      <w:r>
        <w:rPr>
          <w:bCs/>
          <w:b/>
        </w:rPr>
        <w:t xml:space="preserve">downgrade claims to the level supported by the data</w:t>
      </w:r>
      <w:r>
        <w:t xml:space="preserve">, (3)</w:t>
      </w:r>
      <w:r>
        <w:t xml:space="preserve"> </w:t>
      </w:r>
      <w:r>
        <w:rPr>
          <w:bCs/>
          <w:b/>
        </w:rPr>
        <w:t xml:space="preserve">unify all PACS evidence on the authoritative unified-code batch</w:t>
      </w:r>
      <w:r>
        <w:t xml:space="preserve">, and (4)</w:t>
      </w:r>
      <w:r>
        <w:t xml:space="preserve"> </w:t>
      </w:r>
      <w:r>
        <w:rPr>
          <w:bCs/>
          <w:b/>
        </w:rPr>
        <w:t xml:space="preserve">tighten the writing and remove duplication</w:t>
      </w:r>
      <w:r>
        <w:t xml:space="preserve">. The most consequential changes are: (a) Proposition 1 is re-derived with a mathematically valid reverse-Pinsker total-variation bound and an explicit intermediate-distribution argument; (b) Theorem 1 no longer invokes a universal Carathéodory d+1 claim, and the convex-hull radius is presented as an empirical estimate; (c) Theorem 2 is stated under a C² regularity hypothesis with a piecewise/integral argument that adds an explicit kink term for ReLU/BatchNorm networks; (d) Assumption 3 is now accompanied by an empirical trajectory–augmentation alignment study; (e) all PACS tables and figures are recomputed on the unified-code batch, with a mixed-effects re-analysis of the two batches; and (f) all causal/necessity language is replaced by conditional, enabling-condition language.</w:t>
      </w:r>
    </w:p>
    <w:p>
      <w:pPr>
        <w:pStyle w:val="BodyText"/>
      </w:pPr>
      <w:r>
        <w:t xml:space="preserve">All changes are marked in blue (additions) and red with strikethrough (deletions) in the tracked manuscript. Below we reproduce each reviewer comment in full and respond point by point. All line numbers refer to the tracked-changes version of the revised manuscript (PDF).</w:t>
      </w:r>
    </w:p>
    <w:p>
      <w:pPr>
        <w:pStyle w:val="BodyText"/>
      </w:pPr>
      <w:r>
        <w:t xml:space="preserve">One renumbering should be noted. In the original submission the algorithm was set inside a numbered table, whereas in the revised manuscript it is typeset as a floating algorithm environment (Algorithm 1) and is no longer counted among the tables. The main-text tables therefore shift down by one relative to the original numbering: original Tables 4, 5, 6 and 10 correspond to revised Tables 3, 4, 5 and 9, respectively. Where a response quotes a reviewer’s table number, the corresponding revised-manuscript number is given in parentheses. The appendix tables are newly added and carry the A1–A7 numbers shown in the revised manuscript.</w:t>
      </w:r>
    </w:p>
    <w:p>
      <w:pPr>
        <w:pStyle w:val="BodyText"/>
      </w:pPr>
      <w:r>
        <w:t xml:space="preserve">To support full reproducibility, the accompanying public code and results repository has been updated in lockstep with this revision at https://github.com/qsongcai/CIFA. It contains the exact source code, per-run result files, analysis scripts, figures, and documentation used to produce every table and figure in the revised manuscript, including the newly added ViT cross-architecture, trajectory–augmentation alignment, float64 curvature and kink, wall-clock cost, multi-margin TOST, and gate-pressure experiments. All numerical results in the repository have been cross-checked against the corresponding tables and figures in the revised manuscript.</w:t>
      </w:r>
    </w:p>
    <w:p>
      <w:r>
        <w:pict>
          <v:rect style="width:0;height:1.5pt" o:hralign="center" o:hrstd="t" o:hr="t"/>
        </w:pict>
      </w:r>
    </w:p>
    <w:bookmarkEnd w:id="20"/>
    <w:bookmarkStart w:id="21" w:name="Xa68a452e0b44d0bb93478e20bd832e468c4719f"/>
    <w:p>
      <w:pPr>
        <w:pStyle w:val="Heading1"/>
      </w:pPr>
      <w:r>
        <w:t xml:space="preserve">Editorial Comment: Minimize the use of preprint references</w:t>
      </w:r>
    </w:p>
    <w:p>
      <w:pPr>
        <w:pStyle w:val="FirstParagraph"/>
      </w:pPr>
      <w:r>
        <w:t xml:space="preserve">We thank the editorial office for the request to reduce the number of preprint (arXiv) citations. The original submission contained 9 arXiv references out of 45 entries (20%). We have reduced this to</w:t>
      </w:r>
      <w:r>
        <w:t xml:space="preserve"> </w:t>
      </w:r>
      <w:r>
        <w:rPr>
          <w:bCs/>
          <w:b/>
        </w:rPr>
        <w:t xml:space="preserve">5 preprints out of 42 entries (12%)</w:t>
      </w:r>
      <w:r>
        <w:t xml:space="preserve">, as follows.</w:t>
      </w:r>
    </w:p>
    <w:p>
      <w:pPr>
        <w:pStyle w:val="BodyText"/>
      </w:pPr>
      <w:r>
        <w:rPr>
          <w:bCs/>
          <w:b/>
        </w:rPr>
        <w:t xml:space="preserve">Replaced with a formally published version.</w:t>
      </w:r>
      <w:r>
        <w:t xml:space="preserve"> </w:t>
      </w:r>
      <w:r>
        <w:t xml:space="preserve">The Schölkopf reference (formerly the arXiv:1911.10500 preprint) is replaced by the peer-reviewed book chapter: B. Schölkopf,</w:t>
      </w:r>
      <w:r>
        <w:t xml:space="preserve"> </w:t>
      </w:r>
      <w:r>
        <w:t xml:space="preserve">“</w:t>
      </w:r>
      <w:r>
        <w:t xml:space="preserve">Causality for Machine Learning,</w:t>
      </w:r>
      <w:r>
        <w:t xml:space="preserve">”</w:t>
      </w:r>
      <w:r>
        <w:t xml:space="preserve"> </w:t>
      </w:r>
      <w:r>
        <w:t xml:space="preserve">in</w:t>
      </w:r>
      <w:r>
        <w:t xml:space="preserve"> </w:t>
      </w:r>
      <w:r>
        <w:rPr>
          <w:iCs/>
          <w:i/>
        </w:rPr>
        <w:t xml:space="preserve">Probabilistic and Causal Inference: The Works of Judea Pearl</w:t>
      </w:r>
      <w:r>
        <w:t xml:space="preserve">, ACM Books, 2022, pp. 765–804.</w:t>
      </w:r>
    </w:p>
    <w:p>
      <w:pPr>
        <w:pStyle w:val="BodyText"/>
      </w:pPr>
      <w:r>
        <w:rPr>
          <w:bCs/>
          <w:b/>
        </w:rPr>
        <w:t xml:space="preserve">Removed (3).</w:t>
      </w:r>
      <w:r>
        <w:t xml:space="preserve"> </w:t>
      </w:r>
      <w:r>
        <w:t xml:space="preserve">Three preprint references were deleted, and the in-text citations were updated or the corresponding survey-style sentences removed:</w:t>
      </w:r>
      <w:r>
        <w:t xml:space="preserve"> </w:t>
      </w:r>
      <w:r>
        <w:t xml:space="preserve">(i) Montagna and Locatello,</w:t>
      </w:r>
      <w:r>
        <w:t xml:space="preserve"> </w:t>
      </w:r>
      <w:r>
        <w:t xml:space="preserve">“</w:t>
      </w:r>
      <w:r>
        <w:t xml:space="preserve">Causal Learning with the Invariance Principle</w:t>
      </w:r>
      <w:r>
        <w:t xml:space="preserve">”</w:t>
      </w:r>
      <w:r>
        <w:t xml:space="preserve"> </w:t>
      </w:r>
      <w:r>
        <w:t xml:space="preserve">(arXiv:2605.13589), which is now cited through the same first author’s peer-reviewed ICLR 2026 paper (the in-text citation to both works becomes a citation to the ICLR paper alone);</w:t>
      </w:r>
      <w:r>
        <w:t xml:space="preserve"> </w:t>
      </w:r>
      <w:r>
        <w:t xml:space="preserve">(ii) Ke et al.,</w:t>
      </w:r>
      <w:r>
        <w:t xml:space="preserve"> </w:t>
      </w:r>
      <w:r>
        <w:t xml:space="preserve">“</w:t>
      </w:r>
      <w:r>
        <w:t xml:space="preserve">Learning Neural Causal Models from Unknown Interventions</w:t>
      </w:r>
      <w:r>
        <w:t xml:space="preserve">”</w:t>
      </w:r>
      <w:r>
        <w:t xml:space="preserve"> </w:t>
      </w:r>
      <w:r>
        <w:t xml:space="preserve">(arXiv:1910.01075), which appeared in a survey-style enumeration that has been removed; and</w:t>
      </w:r>
      <w:r>
        <w:t xml:space="preserve"> </w:t>
      </w:r>
      <w:r>
        <w:t xml:space="preserve">(iii) Brouillard et al.,</w:t>
      </w:r>
      <w:r>
        <w:t xml:space="preserve"> </w:t>
      </w:r>
      <w:r>
        <w:t xml:space="preserve">“</w:t>
      </w:r>
      <w:r>
        <w:t xml:space="preserve">Causal Representation Learning in Temporal Data via Single-Parent Decoding</w:t>
      </w:r>
      <w:r>
        <w:t xml:space="preserve">”</w:t>
      </w:r>
      <w:r>
        <w:t xml:space="preserve"> </w:t>
      </w:r>
      <w:r>
        <w:t xml:space="preserve">(arXiv:2410.07013), likewise removed from the enumeration, with the causal-representation-learning citation list updated.</w:t>
      </w:r>
      <w:r>
        <w:t xml:space="preserve"> </w:t>
      </w:r>
      <w:r>
        <w:t xml:space="preserve">The reference list consequently drops from 45 to 42 entries, with every citation key still matched to a bib item and no dangling references.</w:t>
      </w:r>
    </w:p>
    <w:p>
      <w:pPr>
        <w:pStyle w:val="BodyText"/>
      </w:pPr>
      <w:r>
        <w:rPr>
          <w:bCs/>
          <w:b/>
        </w:rPr>
        <w:t xml:space="preserve">Retained (5).</w:t>
      </w:r>
      <w:r>
        <w:t xml:space="preserve"> </w:t>
      </w:r>
      <w:r>
        <w:t xml:space="preserve">Five preprints are retained because, at the time of revision, no authoritative peer-reviewed version exists or the arXiv manuscript is the citable version of record: (i) Arjovsky et al.,</w:t>
      </w:r>
      <w:r>
        <w:t xml:space="preserve"> </w:t>
      </w:r>
      <w:r>
        <w:t xml:space="preserve">“</w:t>
      </w:r>
      <w:r>
        <w:t xml:space="preserve">Invariant Risk Minimization</w:t>
      </w:r>
      <w:r>
        <w:t xml:space="preserve">”</w:t>
      </w:r>
      <w:r>
        <w:t xml:space="preserve"> </w:t>
      </w:r>
      <w:r>
        <w:t xml:space="preserve">(arXiv:1907.02893); (ii) Rosenfeld et al.,</w:t>
      </w:r>
      <w:r>
        <w:t xml:space="preserve"> </w:t>
      </w:r>
      <w:r>
        <w:t xml:space="preserve">“</w:t>
      </w:r>
      <w:r>
        <w:t xml:space="preserve">Domain-Adjusted Regression</w:t>
      </w:r>
      <w:r>
        <w:t xml:space="preserve">”</w:t>
      </w:r>
      <w:r>
        <w:t xml:space="preserve"> </w:t>
      </w:r>
      <w:r>
        <w:t xml:space="preserve">(arXiv:2202.06856); (iii) Kaddour et al.,</w:t>
      </w:r>
      <w:r>
        <w:t xml:space="preserve"> </w:t>
      </w:r>
      <w:r>
        <w:t xml:space="preserve">“</w:t>
      </w:r>
      <w:r>
        <w:t xml:space="preserve">Causal Machine Learning: A Survey and Open Problems</w:t>
      </w:r>
      <w:r>
        <w:t xml:space="preserve">”</w:t>
      </w:r>
      <w:r>
        <w:t xml:space="preserve"> </w:t>
      </w:r>
      <w:r>
        <w:t xml:space="preserve">(arXiv:2206.15475); (iv) Fokoué,</w:t>
      </w:r>
      <w:r>
        <w:t xml:space="preserve"> </w:t>
      </w:r>
      <w:r>
        <w:t xml:space="preserve">“</w:t>
      </w:r>
      <w:r>
        <w:t xml:space="preserve">Causality as the Statistical Conscience of Artificial Intelligence</w:t>
      </w:r>
      <w:r>
        <w:t xml:space="preserve">”</w:t>
      </w:r>
      <w:r>
        <w:t xml:space="preserve"> </w:t>
      </w:r>
      <w:r>
        <w:t xml:space="preserve">(arXiv:2605.24076); and (v) Wang and Veitch,</w:t>
      </w:r>
      <w:r>
        <w:t xml:space="preserve"> </w:t>
      </w:r>
      <w:r>
        <w:t xml:space="preserve">“</w:t>
      </w:r>
      <w:r>
        <w:t xml:space="preserve">The Causal Structure of Domain-Invariant Supervised Representation Learning</w:t>
      </w:r>
      <w:r>
        <w:t xml:space="preserve">”</w:t>
      </w:r>
      <w:r>
        <w:t xml:space="preserve"> </w:t>
      </w:r>
      <w:r>
        <w:t xml:space="preserve">(arXiv:2208.06987). We will update these to their published versions at the proof stage should formal versions become available.</w:t>
      </w:r>
    </w:p>
    <w:p>
      <w:r>
        <w:pict>
          <v:rect style="width:0;height:1.5pt" o:hralign="center" o:hrstd="t" o:hr="t"/>
        </w:pict>
      </w:r>
    </w:p>
    <w:bookmarkEnd w:id="21"/>
    <w:bookmarkStart w:id="32" w:name="reviewer-1"/>
    <w:p>
      <w:pPr>
        <w:pStyle w:val="Heading1"/>
      </w:pPr>
      <w:r>
        <w:t xml:space="preserve">Reviewer 1</w:t>
      </w:r>
    </w:p>
    <w:p>
      <w:pPr>
        <w:pStyle w:val="FirstParagraph"/>
      </w:pPr>
      <w:r>
        <w:rPr>
          <w:bCs/>
          <w:b/>
        </w:rPr>
        <w:t xml:space="preserve">Overall summary.</w:t>
      </w:r>
      <w:r>
        <w:t xml:space="preserve"> </w:t>
      </w:r>
      <w:r>
        <w:rPr>
          <w:iCs/>
          <w:i/>
        </w:rPr>
        <w:t xml:space="preserve">This paper proposes CIFA, which unifies feature-moment mixing and weight averaging under a content-style causal-invariance framework. Proposition 1, Theorem 1, and Theorem 2 link feature space, distribution space, and parameter space. Experiments on four DomainBed benchmarks with ResNet-50 and paired seeds show that CIFA is statistically equivalent to SWAD and several classic baselines in average accuracy, that weight averaging dominates accuracy, and that the benefit of feature-moment mixing is limited by content-style separability. The contribution is a unified theoretical perspective and a boundary characterization based on null and non-replicated results. The main weaknesses are overbroad equivalence claims, insufficient figures, repetitive experimental text, and tables that exceed page margins.</w:t>
      </w:r>
    </w:p>
    <w:p>
      <w:pPr>
        <w:pStyle w:val="BodyText"/>
      </w:pPr>
      <w:r>
        <w:t xml:space="preserve">We thank Reviewer 1 for the balanced assessment and for recognising that the contribution lies in the unified theoretical perspective and the boundary characterization based on null and non-replicating results. We address each point below.</w:t>
      </w:r>
    </w:p>
    <w:bookmarkStart w:id="22" w:name="X0e77a33077097fabc5072fd9a321c9dbe89ca4f"/>
    <w:p>
      <w:pPr>
        <w:pStyle w:val="Heading3"/>
      </w:pPr>
      <w:r>
        <w:t xml:space="preserve">R1-(1) The abstract makes an overly broad equivalence claim</w:t>
      </w:r>
    </w:p>
    <w:p>
      <w:pPr>
        <w:pStyle w:val="FirstParagraph"/>
      </w:pPr>
      <w:r>
        <w:rPr>
          <w:bCs/>
          <w:b/>
        </w:rPr>
        <w:t xml:space="preserve">Comment.</w:t>
      </w:r>
      <w:r>
        <w:t xml:space="preserve"> </w:t>
      </w:r>
      <w:r>
        <w:rPr>
          <w:iCs/>
          <w:i/>
        </w:rPr>
        <w:t xml:space="preserve">On page 1, Section</w:t>
      </w:r>
      <w:r>
        <w:rPr>
          <w:iCs/>
          <w:i/>
        </w:rPr>
        <w:t xml:space="preserve"> </w:t>
      </w:r>
      <w:r>
        <w:rPr>
          <w:iCs/>
          <w:i/>
        </w:rPr>
        <w:t xml:space="preserve">“</w:t>
      </w:r>
      <w:r>
        <w:rPr>
          <w:iCs/>
          <w:i/>
        </w:rPr>
        <w:t xml:space="preserve">Abstract</w:t>
      </w:r>
      <w:r>
        <w:rPr>
          <w:iCs/>
          <w:i/>
        </w:rPr>
        <w:t xml:space="preserve">”</w:t>
      </w:r>
      <w:r>
        <w:rPr>
          <w:iCs/>
          <w:i/>
        </w:rPr>
        <w:t xml:space="preserve">, the equivalence claim is too broad because the PACS reference-batch gain did not replicate and the pooled CIFA-SWAD contrast is +0.21 with CI [−0.30,+0.72]. The abstract should mention the null results on VLCS and OfficeHome and state that Theorem 1 contains an untestable coverage-gap term. Remove</w:t>
      </w:r>
      <w:r>
        <w:rPr>
          <w:iCs/>
          <w:i/>
        </w:rPr>
        <w:t xml:space="preserve"> </w:t>
      </w:r>
      <w:r>
        <w:rPr>
          <w:iCs/>
          <w:i/>
        </w:rPr>
        <w:t xml:space="preserve">“</w:t>
      </w:r>
      <w:r>
        <w:rPr>
          <w:iCs/>
          <w:i/>
        </w:rPr>
        <w:t xml:space="preserve">validate the framework’s predictions</w:t>
      </w:r>
      <w:r>
        <w:rPr>
          <w:iCs/>
          <w:i/>
        </w:rPr>
        <w:t xml:space="preserve">”</w:t>
      </w:r>
      <w:r>
        <w:rPr>
          <w:iCs/>
          <w:i/>
        </w:rPr>
        <w:t xml:space="preserve"> </w:t>
      </w:r>
      <w:r>
        <w:rPr>
          <w:iCs/>
          <w:i/>
        </w:rPr>
        <w:t xml:space="preserve">because the gate and penalty are inactive in Table 11 and the b/d decomposition yields no measurable accuracy gain in Table 13.</w:t>
      </w:r>
    </w:p>
    <w:p>
      <w:pPr>
        <w:pStyle w:val="BodyText"/>
      </w:pPr>
      <w:r>
        <w:rPr>
          <w:bCs/>
          <w:b/>
        </w:rPr>
        <w:t xml:space="preserve">Response (Revised manuscript, Lines 17-35).</w:t>
      </w:r>
      <w:r>
        <w:t xml:space="preserve"> </w:t>
      </w:r>
      <w:r>
        <w:t xml:space="preserve">We agree. The revised abstract now: (i) reports the unified-code PACS result, in which CIFA is statistically tied with the strongest baseline (CIFA–SWAD = −0.57, ten seeds), and explicitly states that the reference-batch gain (+0.99) did not replicate; (ii) states that CIFA shows no significant gain on the other benchmarks, with an unstable worst-domain direction; (iii) presents the coverage gap as unidentifiable without target access and the results as conditional bounds rather than guarantees; and (iv) replaces</w:t>
      </w:r>
      <w:r>
        <w:t xml:space="preserve"> </w:t>
      </w:r>
      <w:r>
        <w:t xml:space="preserve">“</w:t>
      </w:r>
      <w:r>
        <w:t xml:space="preserve">validate the framework’s predictions</w:t>
      </w:r>
      <w:r>
        <w:t xml:space="preserve">”</w:t>
      </w:r>
      <w:r>
        <w:t xml:space="preserve"> </w:t>
      </w:r>
      <w:r>
        <w:t xml:space="preserve">with</w:t>
      </w:r>
      <w:r>
        <w:t xml:space="preserve"> </w:t>
      </w:r>
      <w:r>
        <w:t xml:space="preserve">“</w:t>
      </w:r>
      <w:r>
        <w:t xml:space="preserve">delineate the framework’s predictions</w:t>
      </w:r>
      <w:r>
        <w:t xml:space="preserve">”</w:t>
      </w:r>
      <w:r>
        <w:t xml:space="preserve">. The gate is described as a dormant safety mechanism; separability is not called necessary.</w:t>
      </w:r>
    </w:p>
    <w:bookmarkEnd w:id="22"/>
    <w:bookmarkStart w:id="23" w:name="r1-2-the-introduction-is-repetitive"/>
    <w:p>
      <w:pPr>
        <w:pStyle w:val="Heading3"/>
      </w:pPr>
      <w:r>
        <w:t xml:space="preserve">R1-(2) The Introduction is repetitive</w:t>
      </w:r>
    </w:p>
    <w:p>
      <w:pPr>
        <w:pStyle w:val="FirstParagraph"/>
      </w:pPr>
      <w:r>
        <w:rPr>
          <w:bCs/>
          <w:b/>
        </w:rPr>
        <w:t xml:space="preserve">Comment.</w:t>
      </w:r>
      <w:r>
        <w:t xml:space="preserve"> </w:t>
      </w:r>
      <w:r>
        <w:rPr>
          <w:iCs/>
          <w:i/>
        </w:rPr>
        <w:t xml:space="preserve">On pages 2–3, Section</w:t>
      </w:r>
      <w:r>
        <w:rPr>
          <w:iCs/>
          <w:i/>
        </w:rPr>
        <w:t xml:space="preserve"> </w:t>
      </w:r>
      <w:r>
        <w:rPr>
          <w:iCs/>
          <w:i/>
        </w:rPr>
        <w:t xml:space="preserve">“</w:t>
      </w:r>
      <w:r>
        <w:rPr>
          <w:iCs/>
          <w:i/>
        </w:rPr>
        <w:t xml:space="preserve">1 Introduction</w:t>
      </w:r>
      <w:r>
        <w:rPr>
          <w:iCs/>
          <w:i/>
        </w:rPr>
        <w:t xml:space="preserve">”</w:t>
      </w:r>
      <w:r>
        <w:rPr>
          <w:iCs/>
          <w:i/>
        </w:rPr>
        <w:t xml:space="preserve">, the text repeats the contributions and negative-result narrative from the abstract. State the two open questions once and connect them directly to Sections 3 and 4. Delete repeated statements about the lack of unified theory and the validity boundary.</w:t>
      </w:r>
    </w:p>
    <w:p>
      <w:pPr>
        <w:pStyle w:val="BodyText"/>
      </w:pPr>
      <w:r>
        <w:rPr>
          <w:bCs/>
          <w:b/>
        </w:rPr>
        <w:t xml:space="preserve">Response (Revised manuscript, Lines 62-90, 157-164).</w:t>
      </w:r>
    </w:p>
    <w:p>
      <w:pPr>
        <w:pStyle w:val="BodyText"/>
      </w:pPr>
      <w:r>
        <w:t xml:space="preserve">Done. In the introduction (Lines 62-90), the two passages that repeated the abstract’s</w:t>
      </w:r>
      <w:r>
        <w:t xml:space="preserve"> </w:t>
      </w:r>
      <w:r>
        <w:t xml:space="preserve">“</w:t>
      </w:r>
      <w:r>
        <w:t xml:space="preserve">lack of unified theory</w:t>
      </w:r>
      <w:r>
        <w:t xml:space="preserve">”</w:t>
      </w:r>
      <w:r>
        <w:t xml:space="preserve"> </w:t>
      </w:r>
      <w:r>
        <w:t xml:space="preserve">and</w:t>
      </w:r>
      <w:r>
        <w:t xml:space="preserve"> </w:t>
      </w:r>
      <w:r>
        <w:t xml:space="preserve">“</w:t>
      </w:r>
      <w:r>
        <w:t xml:space="preserve">validity boundary</w:t>
      </w:r>
      <w:r>
        <w:t xml:space="preserve">”</w:t>
      </w:r>
      <w:r>
        <w:t xml:space="preserve"> </w:t>
      </w:r>
      <w:r>
        <w:t xml:space="preserve">statements have been removed. The two open questions are now stated once, numbered (1) and (2), and explicitly linked to the sections that answer them (Section 3 and Section 4). The end-of-introduction outline (Lines 157-164) has also been corrected to match the actual structure: Section 2 Related Work; Section 3 theory and operator; Section 4 experiments; Section 5 discussion; Section 6 conclusion.</w:t>
      </w:r>
    </w:p>
    <w:bookmarkEnd w:id="23"/>
    <w:bookmarkStart w:id="24" w:name="X0f13045d441bdbcab1781f3095bea07d4232eae"/>
    <w:p>
      <w:pPr>
        <w:pStyle w:val="Heading3"/>
      </w:pPr>
      <w:r>
        <w:t xml:space="preserve">R1-(3) The Related Work is lengthy and list-like</w:t>
      </w:r>
    </w:p>
    <w:p>
      <w:pPr>
        <w:pStyle w:val="FirstParagraph"/>
      </w:pPr>
      <w:r>
        <w:rPr>
          <w:bCs/>
          <w:b/>
        </w:rPr>
        <w:t xml:space="preserve">Comment.</w:t>
      </w:r>
      <w:r>
        <w:t xml:space="preserve"> </w:t>
      </w:r>
      <w:r>
        <w:rPr>
          <w:iCs/>
          <w:i/>
        </w:rPr>
        <w:t xml:space="preserve">On pages 4–6, Section</w:t>
      </w:r>
      <w:r>
        <w:rPr>
          <w:iCs/>
          <w:i/>
        </w:rPr>
        <w:t xml:space="preserve"> </w:t>
      </w:r>
      <w:r>
        <w:rPr>
          <w:iCs/>
          <w:i/>
        </w:rPr>
        <w:t xml:space="preserve">“</w:t>
      </w:r>
      <w:r>
        <w:rPr>
          <w:iCs/>
          <w:i/>
        </w:rPr>
        <w:t xml:space="preserve">2 Related Work</w:t>
      </w:r>
      <w:r>
        <w:rPr>
          <w:iCs/>
          <w:i/>
        </w:rPr>
        <w:t xml:space="preserve">”</w:t>
      </w:r>
      <w:r>
        <w:rPr>
          <w:iCs/>
          <w:i/>
        </w:rPr>
        <w:t xml:space="preserve">, the review is long and partly taxonomic. References 25–38 are listed without a focused comparison to CIFA. Reduce the section to CIT, MixStyle, DSU, EFDM, SWAD, and CIRL, and state in one paragraph how CIFA differs from each.</w:t>
      </w:r>
    </w:p>
    <w:p>
      <w:pPr>
        <w:pStyle w:val="BodyText"/>
      </w:pPr>
      <w:r>
        <w:rPr>
          <w:bCs/>
          <w:b/>
        </w:rPr>
        <w:t xml:space="preserve">Response (Revised manuscript, Lines 165-315).</w:t>
      </w:r>
    </w:p>
    <w:p>
      <w:pPr>
        <w:pStyle w:val="BodyText"/>
      </w:pPr>
      <w:r>
        <w:t xml:space="preserve">Done. The section has been reduced from 1332 words to 297 words and is no longer taxonomic. It now consists of a short content-style background and a single focused comparison that positions CIFA against each of the six methods you named: CIT (CIFA extends it from input-space to feature-level transforms); MixStyle and DSU (CIFA mixes only the style deviation under a content-style decomposition and bounds the posterior drift); EFDM (CIFA provides a content-preservation guarantee that CDF matching lacks); SWAD (CIFA links weight averaging to feature augmentation as the parameter-space realization); and CIRL (CIFA adds an operational feature-level transform and unification with weight averaging). The CORAL domain-adaptation versus target-free DG distinction is retained as a brief clarifying note.</w:t>
      </w:r>
    </w:p>
    <w:bookmarkEnd w:id="24"/>
    <w:bookmarkStart w:id="25" w:name="X63502a3395e8e1522c8f0ec6befa223589b861c"/>
    <w:p>
      <w:pPr>
        <w:pStyle w:val="Heading3"/>
      </w:pPr>
      <w:r>
        <w:t xml:space="preserve">R1-(4) Assumption 2 conflates distinct conditions</w:t>
      </w:r>
    </w:p>
    <w:p>
      <w:pPr>
        <w:pStyle w:val="FirstParagraph"/>
      </w:pPr>
      <w:r>
        <w:rPr>
          <w:bCs/>
          <w:b/>
        </w:rPr>
        <w:t xml:space="preserve">Comment.</w:t>
      </w:r>
      <w:r>
        <w:t xml:space="preserve"> </w:t>
      </w:r>
      <w:r>
        <w:rPr>
          <w:iCs/>
          <w:i/>
        </w:rPr>
        <w:t xml:space="preserve">On pages 6–7, Section</w:t>
      </w:r>
      <w:r>
        <w:rPr>
          <w:iCs/>
          <w:i/>
        </w:rPr>
        <w:t xml:space="preserve"> </w:t>
      </w:r>
      <w:r>
        <w:rPr>
          <w:iCs/>
          <w:i/>
        </w:rPr>
        <w:t xml:space="preserve">“</w:t>
      </w:r>
      <w:r>
        <w:rPr>
          <w:iCs/>
          <w:i/>
        </w:rPr>
        <w:t xml:space="preserve">3.1</w:t>
      </w:r>
      <w:r>
        <w:rPr>
          <w:iCs/>
          <w:i/>
        </w:rPr>
        <w:t xml:space="preserve">”</w:t>
      </w:r>
      <w:r>
        <w:rPr>
          <w:iCs/>
          <w:i/>
        </w:rPr>
        <w:t xml:space="preserve">, Assumption 2 mixes d(Z)⊥C, E[d(Z)∣Y]=0, and a bounded posterior drift δ. These conditions are not equivalent and τ is not operationally defined. Define a measurable dependence measure for τ, state whether the bound is conditional on Y or C, and specify the training-time estimator.</w:t>
      </w:r>
    </w:p>
    <w:p>
      <w:pPr>
        <w:pStyle w:val="BodyText"/>
      </w:pPr>
      <w:r>
        <w:rPr>
          <w:bCs/>
          <w:b/>
        </w:rPr>
        <w:t xml:space="preserve">Response (Revised manuscript, Lines 334-377).</w:t>
      </w:r>
    </w:p>
    <w:p>
      <w:pPr>
        <w:pStyle w:val="BodyText"/>
      </w:pPr>
      <w:r>
        <w:t xml:space="preserve">We agree that these conditions were conflated. We have added a paragraph</w:t>
      </w:r>
      <w:r>
        <w:t xml:space="preserve"> </w:t>
      </w:r>
      <w:r>
        <w:t xml:space="preserve">“</w:t>
      </w:r>
      <w:r>
        <w:t xml:space="preserve">Operational meaning of</w:t>
      </w:r>
      <w:r>
        <w:t xml:space="preserve"> </w:t>
      </w:r>
      <m:oMath>
        <m:r>
          <m:t>τ</m:t>
        </m:r>
      </m:oMath>
      <w:r>
        <w:t xml:space="preserve"> </w:t>
      </w:r>
      <w:r>
        <w:t xml:space="preserve">and</w:t>
      </w:r>
      <w:r>
        <w:t xml:space="preserve"> </w:t>
      </w:r>
      <m:oMath>
        <m:r>
          <m:t>δ</m:t>
        </m:r>
      </m:oMath>
      <w:r>
        <w:t xml:space="preserve">”</w:t>
      </w:r>
      <w:r>
        <w:t xml:space="preserve"> </w:t>
      </w:r>
      <w:r>
        <w:t xml:space="preserve">that distinguishes them: the content-level</w:t>
      </w:r>
      <w:r>
        <w:t xml:space="preserve"> </w:t>
      </w:r>
      <m:oMath>
        <m:sSub>
          <m:e>
            <m:r>
              <m:t>τ</m:t>
            </m:r>
          </m:e>
          <m:sub>
            <m:r>
              <m:t>C</m:t>
            </m:r>
          </m:sub>
        </m:sSub>
      </m:oMath>
      <w:r>
        <w:t xml:space="preserve"> </w:t>
      </w:r>
      <w:r>
        <w:t xml:space="preserve">is a latent, generally non-identifiable quantity and remains a premise; the label-level</w:t>
      </w:r>
      <w:r>
        <w:t xml:space="preserve"> </w:t>
      </w:r>
      <m:oMath>
        <m:sSub>
          <m:e>
            <m:r>
              <m:t>τ</m:t>
            </m:r>
          </m:e>
          <m:sub>
            <m:r>
              <m:t>Y</m:t>
            </m:r>
          </m:sub>
        </m:sSub>
      </m:oMath>
      <w:r>
        <w:t xml:space="preserve"> </w:t>
      </w:r>
      <w:r>
        <w:t xml:space="preserve">admits a computable lower bound and can be monitored; the inequality</w:t>
      </w:r>
      <w:r>
        <w:t xml:space="preserve"> </w:t>
      </w:r>
      <m:oMath>
        <m:sSub>
          <m:e>
            <m:r>
              <m:t>τ</m:t>
            </m:r>
          </m:e>
          <m:sub>
            <m:r>
              <m:t>Y</m:t>
            </m:r>
          </m:sub>
        </m:sSub>
        <m:r>
          <m:rPr>
            <m:sty m:val="p"/>
          </m:rPr>
          <m:t>≤</m:t>
        </m:r>
        <m:sSub>
          <m:e>
            <m:r>
              <m:t>τ</m:t>
            </m:r>
          </m:e>
          <m:sub>
            <m:r>
              <m:t>C</m:t>
            </m:r>
          </m:sub>
        </m:sSub>
      </m:oMath>
      <w:r>
        <w:t xml:space="preserve"> </w:t>
      </w:r>
      <w:r>
        <w:t xml:space="preserve">follows from the convexity of total variation; and the drift</w:t>
      </w:r>
      <w:r>
        <w:t xml:space="preserve"> </w:t>
      </w:r>
      <m:oMath>
        <m:r>
          <m:t>δ</m:t>
        </m:r>
      </m:oMath>
      <w:r>
        <w:t xml:space="preserve"> </w:t>
      </w:r>
      <w:r>
        <w:t xml:space="preserve">is directly measurable. The bound is stated conditionally, with the observable quantities clearly separated from the latent premise.</w:t>
      </w:r>
    </w:p>
    <w:bookmarkEnd w:id="25"/>
    <w:bookmarkStart w:id="26" w:name="X87fb11b6f22c591eb78bea420babd2be284133c"/>
    <w:p>
      <w:pPr>
        <w:pStyle w:val="Heading3"/>
      </w:pPr>
      <w:r>
        <w:t xml:space="preserve">R1-(5) The Proposition 1 derivation is unsupported</w:t>
      </w:r>
    </w:p>
    <w:p>
      <w:pPr>
        <w:pStyle w:val="FirstParagraph"/>
      </w:pPr>
      <w:r>
        <w:rPr>
          <w:bCs/>
          <w:b/>
        </w:rPr>
        <w:t xml:space="preserve">Comment.</w:t>
      </w:r>
      <w:r>
        <w:t xml:space="preserve"> </w:t>
      </w:r>
      <w:r>
        <w:rPr>
          <w:iCs/>
          <w:i/>
        </w:rPr>
        <w:t xml:space="preserve">On pages 8–10, Proposition 1, the step from TV(p(C∣Z),p(C∣T(Z))) ≤ τ to D_KL ≤ τ log(M/p_min) in Eq. (16) is not justified. Total variation does not control KL without an absolute-continuity or bounded-likelihood-ratio condition. Provide the exact lemma, verify it for finite C, and show how the ratio bound p(Z∣C)/p(Z∣C′) ∈ [M⁻¹,M] transfers to the posterior ratio.</w:t>
      </w:r>
    </w:p>
    <w:p>
      <w:pPr>
        <w:pStyle w:val="BodyText"/>
      </w:pPr>
      <w:r>
        <w:rPr>
          <w:bCs/>
          <w:b/>
        </w:rPr>
        <w:t xml:space="preserve">Response (Revised manuscript, Lines 438-506).</w:t>
      </w:r>
    </w:p>
    <w:p>
      <w:pPr>
        <w:pStyle w:val="BodyText"/>
      </w:pPr>
      <w:r>
        <w:t xml:space="preserve">We have re-derived the proposition rather than patched the line. Proposition 1 now uses a mathematically valid reverse-Pinsker-type bound, with a total-variation main bound under an explicitly stated bounded-likelihood-ratio (bounded posterior-ratio) hypothesis, and the KL statement is presented as a valid corollary rather than the controlling inequality. The finite-</w:t>
      </w:r>
      <m:oMath>
        <m:r>
          <m:t>C</m:t>
        </m:r>
      </m:oMath>
      <w:r>
        <w:t xml:space="preserve"> </w:t>
      </w:r>
      <w:r>
        <w:t xml:space="preserve">case is verified, and the transfer of the ratio bound to the posterior ratio is shown explicitly through the Bayes denominator. The parts that remain exact versus heuristic are labelled.</w:t>
      </w:r>
    </w:p>
    <w:bookmarkEnd w:id="26"/>
    <w:bookmarkStart w:id="27" w:name="X5bd51d3d6e3625316df1ab8b8ef54233458edca"/>
    <w:p>
      <w:pPr>
        <w:pStyle w:val="Heading3"/>
      </w:pPr>
      <w:r>
        <w:t xml:space="preserve">R1-(6) The coverage-gap term is not computable; bounds should be conditional</w:t>
      </w:r>
    </w:p>
    <w:p>
      <w:pPr>
        <w:pStyle w:val="FirstParagraph"/>
      </w:pPr>
      <w:r>
        <w:rPr>
          <w:bCs/>
          <w:b/>
        </w:rPr>
        <w:t xml:space="preserve">Comment.</w:t>
      </w:r>
      <w:r>
        <w:t xml:space="preserve"> </w:t>
      </w:r>
      <w:r>
        <w:rPr>
          <w:iCs/>
          <w:i/>
        </w:rPr>
        <w:t xml:space="preserve">On pages 12–14, Theorem 1, Proposition 2, and Theorem 2, the coverage-gap term d_TV(P_te,U_A) is not computable without target access. State the result as a conditional bound rather than a generalization guarantee. Define P_e, P_te, and P_tr consistently, and give a practical estimate or sensitivity check for κr² in Theorem 2.</w:t>
      </w:r>
    </w:p>
    <w:p>
      <w:pPr>
        <w:pStyle w:val="BodyText"/>
      </w:pPr>
      <w:r>
        <w:rPr>
          <w:bCs/>
          <w:b/>
        </w:rPr>
        <w:t xml:space="preserve">Response (Revised manuscript, Lines 319-322, 531-598; Appendix D, Lines 1489-1491, Table A4).</w:t>
      </w:r>
    </w:p>
    <w:p>
      <w:pPr>
        <w:pStyle w:val="BodyText"/>
      </w:pPr>
      <w:r>
        <w:t xml:space="preserve">We agree on all three points. First, the coverage-gap term is explicitly stated to be non-identifiable without target access, and the results are presented as conditional bounds. Second, the probability measures</w:t>
      </w:r>
      <w:r>
        <w:t xml:space="preserve"> </w:t>
      </w:r>
      <m:oMath>
        <m:sSub>
          <m:e>
            <m:r>
              <m:t>P</m:t>
            </m:r>
          </m:e>
          <m:sub>
            <m:r>
              <m:t>e</m:t>
            </m:r>
          </m:sub>
        </m:sSub>
      </m:oMath>
      <w:r>
        <w:t xml:space="preserve">,</w:t>
      </w:r>
      <w:r>
        <w:t xml:space="preserve"> </w:t>
      </w:r>
      <m:oMath>
        <m:sSub>
          <m:e>
            <m:r>
              <m:t>P</m:t>
            </m:r>
          </m:e>
          <m:sub>
            <m:r>
              <m:t>t</m:t>
            </m:r>
            <m:r>
              <m:t>e</m:t>
            </m:r>
          </m:sub>
        </m:sSub>
      </m:oMath>
      <w:r>
        <w:t xml:space="preserve"> </w:t>
      </w:r>
      <w:r>
        <w:t xml:space="preserve">and</w:t>
      </w:r>
      <w:r>
        <w:t xml:space="preserve"> </w:t>
      </w:r>
      <m:oMath>
        <m:sSub>
          <m:e>
            <m:r>
              <m:t>P</m:t>
            </m:r>
          </m:e>
          <m:sub>
            <m:r>
              <m:t>t</m:t>
            </m:r>
            <m:r>
              <m:t>r</m:t>
            </m:r>
          </m:sub>
        </m:sSub>
      </m:oMath>
      <w:r>
        <w:t xml:space="preserve"> </w:t>
      </w:r>
      <w:r>
        <w:t xml:space="preserve">are now defined consistently in the problem formulation, with</w:t>
      </w:r>
      <w:r>
        <w:t xml:space="preserve"> </w:t>
      </w:r>
      <m:oMath>
        <m:sSub>
          <m:e>
            <m:r>
              <m:t>P</m:t>
            </m:r>
          </m:e>
          <m:sub>
            <m:r>
              <m:t>t</m:t>
            </m:r>
            <m:r>
              <m:t>r</m:t>
            </m:r>
          </m:sub>
        </m:sSub>
      </m:oMath>
      <w:r>
        <w:t xml:space="preserve"> </w:t>
      </w:r>
      <w:r>
        <w:t xml:space="preserve">given as the source mixture</w:t>
      </w:r>
      <w:r>
        <w:t xml:space="preserve"> </w:t>
      </w:r>
      <m:oMath>
        <m:nary>
          <m:naryPr>
            <m:chr m:val="∑"/>
            <m:limLoc m:val="undOvr"/>
            <m:subHide m:val="0"/>
            <m:supHide m:val="1"/>
          </m:naryPr>
          <m:sub>
            <m:r>
              <m:t>e</m:t>
            </m:r>
          </m:sub>
          <m:sup>
            <m:r>
              <m:t>​</m:t>
            </m:r>
          </m:sup>
          <m:e>
            <m:sSub>
              <m:e>
                <m:r>
                  <m:t>π</m:t>
                </m:r>
              </m:e>
              <m:sub>
                <m:r>
                  <m:t>e</m:t>
                </m:r>
              </m:sub>
            </m:sSub>
          </m:e>
        </m:nary>
        <m:sSub>
          <m:e>
            <m:r>
              <m:t>P</m:t>
            </m:r>
          </m:e>
          <m:sub>
            <m:r>
              <m:t>e</m:t>
            </m:r>
          </m:sub>
        </m:sSub>
      </m:oMath>
      <w:r>
        <w:t xml:space="preserve">. Third, for</w:t>
      </w:r>
      <w:r>
        <w:t xml:space="preserve"> </w:t>
      </w:r>
      <m:oMath>
        <m:r>
          <m:t>κ</m:t>
        </m:r>
        <m:sSup>
          <m:e>
            <m:r>
              <m:t>r</m:t>
            </m:r>
          </m:e>
          <m:sup>
            <m:r>
              <m:t>2</m:t>
            </m:r>
          </m:sup>
        </m:sSup>
      </m:oMath>
      <w:r>
        <w:t xml:space="preserve"> </w:t>
      </w:r>
      <w:r>
        <w:t xml:space="preserve">we provide both an estimate and a sensitivity analysis, and we separate the smooth (multi-affine) within-cell curvature from the ReLU kink residual. A float64 study (Table A4) gives a window radius of</w:t>
      </w:r>
      <w:r>
        <w:t xml:space="preserve"> </w:t>
      </w:r>
      <m:oMath>
        <m:r>
          <m:t>1.705</m:t>
        </m:r>
        <m:r>
          <m:rPr>
            <m:sty m:val="p"/>
          </m:rPr>
          <m:t>±</m:t>
        </m:r>
        <m:r>
          <m:t>0.111</m:t>
        </m:r>
      </m:oMath>
      <w:r>
        <w:t xml:space="preserve">, a true cell radius of</w:t>
      </w:r>
      <w:r>
        <w:t xml:space="preserve"> </w:t>
      </w:r>
      <m:oMath>
        <m:r>
          <m:t>1.47</m:t>
        </m:r>
        <m:r>
          <m:rPr>
            <m:sty m:val="p"/>
          </m:rPr>
          <m:t>×</m:t>
        </m:r>
        <m:sSup>
          <m:e>
            <m:r>
              <m:t>10</m:t>
            </m:r>
          </m:e>
          <m:sup>
            <m:r>
              <m:rPr>
                <m:sty m:val="p"/>
              </m:rPr>
              <m:t>−</m:t>
            </m:r>
            <m:r>
              <m:t>6</m:t>
            </m:r>
          </m:sup>
        </m:sSup>
      </m:oMath>
      <w:r>
        <w:t xml:space="preserve">, a within-cell second-order term of order</w:t>
      </w:r>
      <w:r>
        <w:t xml:space="preserve"> </w:t>
      </w:r>
      <m:oMath>
        <m:r>
          <m:t>1.16</m:t>
        </m:r>
        <m:r>
          <m:rPr>
            <m:sty m:val="p"/>
          </m:rPr>
          <m:t>×</m:t>
        </m:r>
        <m:sSup>
          <m:e>
            <m:r>
              <m:t>10</m:t>
            </m:r>
          </m:e>
          <m:sup>
            <m:r>
              <m:rPr>
                <m:sty m:val="p"/>
              </m:rPr>
              <m:t>−</m:t>
            </m:r>
            <m:r>
              <m:t>13</m:t>
            </m:r>
          </m:sup>
        </m:sSup>
      </m:oMath>
      <w:r>
        <w:t xml:space="preserve">, and a window gap of</w:t>
      </w:r>
      <w:r>
        <w:t xml:space="preserve"> </w:t>
      </w:r>
      <m:oMath>
        <m:r>
          <m:t>0.0828</m:t>
        </m:r>
        <m:r>
          <m:rPr>
            <m:sty m:val="p"/>
          </m:rPr>
          <m:t>±</m:t>
        </m:r>
        <m:r>
          <m:t>0.0115</m:t>
        </m:r>
      </m:oMath>
      <w:r>
        <w:t xml:space="preserve">; the window gap is roughly</w:t>
      </w:r>
      <w:r>
        <w:t xml:space="preserve"> </w:t>
      </w:r>
      <m:oMath>
        <m:r>
          <m:t>8.8</m:t>
        </m:r>
        <m:r>
          <m:rPr>
            <m:sty m:val="p"/>
          </m:rPr>
          <m:t>×</m:t>
        </m:r>
        <m:sSup>
          <m:e>
            <m:r>
              <m:t>10</m:t>
            </m:r>
          </m:e>
          <m:sup>
            <m:r>
              <m:t>11</m:t>
            </m:r>
          </m:sup>
        </m:sSup>
      </m:oMath>
      <w:r>
        <w:t xml:space="preserve"> </w:t>
      </w:r>
      <w:r>
        <w:t xml:space="preserve">times the within-cell term, so the ensemble deviation is dominated by the bounded kink sequence rather than the smooth curvature.</w:t>
      </w:r>
    </w:p>
    <w:bookmarkEnd w:id="27"/>
    <w:bookmarkStart w:id="28" w:name="Xf4b4e70855975ec79dc35dc9a7ea88533c2beaf"/>
    <w:p>
      <w:pPr>
        <w:pStyle w:val="Heading3"/>
      </w:pPr>
      <w:r>
        <w:t xml:space="preserve">R1-(7) Algorithm 1 pseudocode is inconsistent</w:t>
      </w:r>
    </w:p>
    <w:p>
      <w:pPr>
        <w:pStyle w:val="FirstParagraph"/>
      </w:pPr>
      <w:r>
        <w:rPr>
          <w:bCs/>
          <w:b/>
        </w:rPr>
        <w:t xml:space="preserve">Comment.</w:t>
      </w:r>
      <w:r>
        <w:t xml:space="preserve"> </w:t>
      </w:r>
      <w:r>
        <w:rPr>
          <w:iCs/>
          <w:i/>
        </w:rPr>
        <w:t xml:space="preserve">On page 16, Algorithm 1, the pseudocode uses a threshold &gt;8 for cons(T;Z) while the text uses δ=2.0 nats. Correct this inconsistency. Specify the initialization of the class-prototype baseline, the behavior for classes with few samples, and whether the partner deviation is sampled within the same class or from the full empirical deviation distribution.</w:t>
      </w:r>
    </w:p>
    <w:p>
      <w:pPr>
        <w:pStyle w:val="BodyText"/>
      </w:pPr>
      <w:r>
        <w:rPr>
          <w:bCs/>
          <w:b/>
        </w:rPr>
        <w:t xml:space="preserve">Response (Revised manuscript, Lines 733-770, Algorithm 1).</w:t>
      </w:r>
    </w:p>
    <w:p>
      <w:pPr>
        <w:pStyle w:val="BodyText"/>
      </w:pPr>
      <w:r>
        <w:t xml:space="preserve">The pseudocode has been rewritten and is now presented as Algorithm 1. It uses the KL consistency</w:t>
      </w:r>
      <w:r>
        <w:t xml:space="preserve"> </w:t>
      </w:r>
      <m:oMath>
        <m:sSub>
          <m:e>
            <m:r>
              <m:t>D</m:t>
            </m:r>
          </m:e>
          <m:sub>
            <m:r>
              <m:rPr>
                <m:sty m:val="p"/>
              </m:rPr>
              <m:t>K</m:t>
            </m:r>
            <m:r>
              <m:rPr>
                <m:sty m:val="p"/>
              </m:rPr>
              <m:t>L</m:t>
            </m:r>
          </m:sub>
        </m:sSub>
        <m:d>
          <m:dPr>
            <m:begChr m:val="("/>
            <m:endChr m:val=")"/>
            <m:sepChr m:val=""/>
            <m:grow/>
          </m:dPr>
          <m:e>
            <m:sSub>
              <m:e>
                <m:r>
                  <m:t>p</m:t>
                </m:r>
              </m:e>
              <m:sub>
                <m:r>
                  <m:t>c</m:t>
                </m:r>
              </m:sub>
            </m:sSub>
            <m:r>
              <m:rPr>
                <m:sty m:val="p"/>
              </m:rPr>
              <m:t>‖</m:t>
            </m:r>
            <m:sSub>
              <m:e>
                <m:r>
                  <m:t>p</m:t>
                </m:r>
              </m:e>
              <m:sub>
                <m:r>
                  <m:t>a</m:t>
                </m:r>
              </m:sub>
            </m:sSub>
          </m:e>
        </m:d>
      </m:oMath>
      <w:r>
        <w:t xml:space="preserve"> </w:t>
      </w:r>
      <w:r>
        <w:t xml:space="preserve">and a soft gate</w:t>
      </w:r>
      <w:r>
        <w:t xml:space="preserve"> </w:t>
      </w:r>
      <m:oMath>
        <m:r>
          <m:t>g</m:t>
        </m:r>
        <m:r>
          <m:rPr>
            <m:sty m:val="p"/>
          </m:rPr>
          <m:t>=</m:t>
        </m:r>
        <m:r>
          <m:rPr>
            <m:sty m:val="p"/>
          </m:rPr>
          <m:t>min</m:t>
        </m:r>
        <m:r>
          <m:rPr>
            <m:sty m:val="p"/>
          </m:rPr>
          <m:t>{</m:t>
        </m:r>
        <m:r>
          <m:t>1</m:t>
        </m:r>
        <m:r>
          <m:rPr>
            <m:sty m:val="p"/>
          </m:rPr>
          <m:t>,</m:t>
        </m:r>
        <m:r>
          <m:t>δ</m:t>
        </m:r>
        <m:r>
          <m:rPr>
            <m:sty m:val="p"/>
          </m:rPr>
          <m:t>/</m:t>
        </m:r>
        <m:d>
          <m:dPr>
            <m:begChr m:val="("/>
            <m:endChr m:val=")"/>
            <m:sepChr m:val=""/>
            <m:grow/>
          </m:dPr>
          <m:e>
            <m:r>
              <m:rPr>
                <m:sty m:val="p"/>
              </m:rPr>
              <m:t>c</m:t>
            </m:r>
            <m:r>
              <m:rPr>
                <m:sty m:val="p"/>
              </m:rPr>
              <m:t>o</m:t>
            </m:r>
            <m:r>
              <m:rPr>
                <m:sty m:val="p"/>
              </m:rPr>
              <m:t>n</m:t>
            </m:r>
            <m:r>
              <m:rPr>
                <m:sty m:val="p"/>
              </m:rPr>
              <m:t>s</m:t>
            </m:r>
            <m:r>
              <m:rPr>
                <m:sty m:val="p"/>
              </m:rPr>
              <m:t>+</m:t>
            </m:r>
            <m:sSup>
              <m:e>
                <m:r>
                  <m:t>10</m:t>
                </m:r>
              </m:e>
              <m:sup>
                <m:r>
                  <m:rPr>
                    <m:sty m:val="p"/>
                  </m:rPr>
                  <m:t>−</m:t>
                </m:r>
                <m:r>
                  <m:t>8</m:t>
                </m:r>
              </m:sup>
            </m:sSup>
          </m:e>
        </m:d>
        <m:r>
          <m:rPr>
            <m:sty m:val="p"/>
          </m:rPr>
          <m:t>}</m:t>
        </m:r>
      </m:oMath>
      <w:r>
        <w:t xml:space="preserve">, removing the threshold inconsistency. A new paragraph</w:t>
      </w:r>
      <w:r>
        <w:t xml:space="preserve"> </w:t>
      </w:r>
      <w:r>
        <w:t xml:space="preserve">“</w:t>
      </w:r>
      <w:r>
        <w:t xml:space="preserve">Baseline initialization, few-shot classes, and partner sampling</w:t>
      </w:r>
      <w:r>
        <w:t xml:space="preserve">”</w:t>
      </w:r>
      <w:r>
        <w:t xml:space="preserve"> </w:t>
      </w:r>
      <w:r>
        <w:t xml:space="preserve">states that the class-prototype baseline uses an exponential moving average with a global-EMA fallback, explains the behaviour for classes with few samples, and states that the partner is a derangement over the entire minibatch, not restricted to the same class.</w:t>
      </w:r>
    </w:p>
    <w:bookmarkEnd w:id="28"/>
    <w:bookmarkStart w:id="29" w:name="Xa0db3123d71d9e2676566d0bb69d429c029a840"/>
    <w:p>
      <w:pPr>
        <w:pStyle w:val="Heading3"/>
      </w:pPr>
      <w:r>
        <w:t xml:space="preserve">R1-(8) The experiments are repetitive and have too few figures</w:t>
      </w:r>
    </w:p>
    <w:p>
      <w:pPr>
        <w:pStyle w:val="FirstParagraph"/>
      </w:pPr>
      <w:r>
        <w:rPr>
          <w:bCs/>
          <w:b/>
        </w:rPr>
        <w:t xml:space="preserve">Comment.</w:t>
      </w:r>
      <w:r>
        <w:t xml:space="preserve"> </w:t>
      </w:r>
      <w:r>
        <w:rPr>
          <w:iCs/>
          <w:i/>
        </w:rPr>
        <w:t xml:space="preserve">On pages 19–21 and 33–34, Section</w:t>
      </w:r>
      <w:r>
        <w:rPr>
          <w:iCs/>
          <w:i/>
        </w:rPr>
        <w:t xml:space="preserve"> </w:t>
      </w:r>
      <w:r>
        <w:rPr>
          <w:iCs/>
          <w:i/>
        </w:rPr>
        <w:t xml:space="preserve">“</w:t>
      </w:r>
      <w:r>
        <w:rPr>
          <w:iCs/>
          <w:i/>
        </w:rPr>
        <w:t xml:space="preserve">4.2</w:t>
      </w:r>
      <w:r>
        <w:rPr>
          <w:iCs/>
          <w:i/>
        </w:rPr>
        <w:t xml:space="preserve">”</w:t>
      </w:r>
      <w:r>
        <w:rPr>
          <w:iCs/>
          <w:i/>
        </w:rPr>
        <w:t xml:space="preserve"> </w:t>
      </w:r>
      <w:r>
        <w:rPr>
          <w:iCs/>
          <w:i/>
        </w:rPr>
        <w:t xml:space="preserve">and Figures 1–4, the experimental section repeats table numbers in text and contains only four figures, three of which are bar charts. Add visualizations of the feature-moment decomposition, style-deviation separability, coverage gap, and mechanism diagnostics. Reduce repeated numerical descriptions in the main text.</w:t>
      </w:r>
    </w:p>
    <w:p>
      <w:pPr>
        <w:pStyle w:val="BodyText"/>
      </w:pPr>
      <w:r>
        <w:rPr>
          <w:bCs/>
          <w:b/>
        </w:rPr>
        <w:t xml:space="preserve">Response (Revised manuscript, Lines 399–400, 602–603, 955–1015, 1122–1136, 1137–1238).</w:t>
      </w:r>
    </w:p>
    <w:p>
      <w:pPr>
        <w:pStyle w:val="BodyText"/>
      </w:pPr>
      <w:r>
        <w:t xml:space="preserve">We have added the four requested visualizations and removed the repeated numbers from the main text.</w:t>
      </w:r>
    </w:p>
    <w:p>
      <w:pPr>
        <w:pStyle w:val="BodyText"/>
      </w:pPr>
      <w:r>
        <w:t xml:space="preserve">The feature-moment decomposition is shown in Fig. 1 (Lines 399–400): a real ResNet-50 panel on PACS displays the decomposition m = b + d, with instance points, class prototypes, and the style-deviation arrows for selected channels.</w:t>
      </w:r>
    </w:p>
    <w:p>
      <w:pPr>
        <w:pStyle w:val="BodyText"/>
      </w:pPr>
      <w:r>
        <w:t xml:space="preserve">The coverage gap is shown in Fig. 2 (Lines 602–603). Because the target-dependent term η is not identifiable without target access, the figure presents a controlled moment-space geometry that separates the unidentifiable η from the source-side term h_s, together with the empirical convergence of h_s as the number of source operators grows.</w:t>
      </w:r>
    </w:p>
    <w:p>
      <w:pPr>
        <w:pStyle w:val="BodyText"/>
      </w:pPr>
      <w:r>
        <w:t xml:space="preserve">Style-deviation separability is reported in Section 4.7 (Lines 1122–1136, Fig. 5) on real features: the style-to-content energy ratio is 26 on PACS and 7 on OfficeHome, the domain signal is strong, and cross-domain class leakage stays near chance; the OfficeHome result is stated precisely as limited class-separated style deviation.</w:t>
      </w:r>
    </w:p>
    <w:p>
      <w:pPr>
        <w:pStyle w:val="BodyText"/>
      </w:pPr>
      <w:r>
        <w:t xml:space="preserve">Mechanism diagnostics are given in Section 4.8 (Lines 1137–1238, Fig. 6), including the gate-by-penalty comparison and the checkpoint-count, fallback, and gate-pressure analyses.</w:t>
      </w:r>
    </w:p>
    <w:p>
      <w:pPr>
        <w:pStyle w:val="BodyText"/>
      </w:pPr>
      <w:r>
        <w:t xml:space="preserve">The four main-result observations (Lines 955–1015) are now stated as conclusions rather than repeating the table values.</w:t>
      </w:r>
    </w:p>
    <w:bookmarkEnd w:id="29"/>
    <w:bookmarkStart w:id="30" w:name="r1-9-tables-exceed-the-page-margins"/>
    <w:p>
      <w:pPr>
        <w:pStyle w:val="Heading3"/>
      </w:pPr>
      <w:r>
        <w:t xml:space="preserve">R1-(9) Tables exceed the page margins</w:t>
      </w:r>
    </w:p>
    <w:p>
      <w:pPr>
        <w:pStyle w:val="FirstParagraph"/>
      </w:pPr>
      <w:r>
        <w:rPr>
          <w:bCs/>
          <w:b/>
        </w:rPr>
        <w:t xml:space="preserve">Comment.</w:t>
      </w:r>
      <w:r>
        <w:t xml:space="preserve"> </w:t>
      </w:r>
      <w:r>
        <w:rPr>
          <w:iCs/>
          <w:i/>
        </w:rPr>
        <w:t xml:space="preserve">On pages 17–26 and page 32, Tables 2–13 and Table A1, several tables exceed the page margins or are difficult to read because column widths are not adjusted and captions are separated from table bodies. Use landscape layout, smaller font, split wide tables, and keep captions on the same page. Ensure that every table fits within the MDPI column width.</w:t>
      </w:r>
    </w:p>
    <w:p>
      <w:pPr>
        <w:pStyle w:val="BodyText"/>
      </w:pPr>
      <w:r>
        <w:rPr>
          <w:bCs/>
          <w:b/>
        </w:rPr>
        <w:t xml:space="preserve">Response (Revised manuscript, Lines 802–1211, 1473–1502).</w:t>
      </w:r>
    </w:p>
    <w:p>
      <w:pPr>
        <w:pStyle w:val="BodyText"/>
      </w:pPr>
      <w:r>
        <w:t xml:space="preserve">All tables have been rechecked for column width, font size, and caption and body placement. The wide comparison tables are typeset with the official template’s tabularx environment inside an adjustwidth block, which lets long entries wrap to multiple lines while keeping the original font size, and no table exceeds the text width; the table rules coincide with the official wide-table bounds. Each caption is placed on the same page as its table body. The reference list is likewise enclosed in an adjustwidth block, following the official template. The manuscript now compiles cleanly, with every table inside the margins.</w:t>
      </w:r>
    </w:p>
    <w:bookmarkEnd w:id="30"/>
    <w:bookmarkStart w:id="31" w:name="X960ec9c56a28b2fd3f266164a07db8e90044f9b"/>
    <w:p>
      <w:pPr>
        <w:pStyle w:val="Heading3"/>
      </w:pPr>
      <w:r>
        <w:t xml:space="preserve">R1-(10) The conclusion is repetitive and references are problematic</w:t>
      </w:r>
    </w:p>
    <w:p>
      <w:pPr>
        <w:pStyle w:val="FirstParagraph"/>
      </w:pPr>
      <w:r>
        <w:rPr>
          <w:bCs/>
          <w:b/>
        </w:rPr>
        <w:t xml:space="preserve">Comment.</w:t>
      </w:r>
      <w:r>
        <w:t xml:space="preserve"> </w:t>
      </w:r>
      <w:r>
        <w:rPr>
          <w:iCs/>
          <w:i/>
        </w:rPr>
        <w:t xml:space="preserve">On pages 27–32, Section</w:t>
      </w:r>
      <w:r>
        <w:rPr>
          <w:iCs/>
          <w:i/>
        </w:rPr>
        <w:t xml:space="preserve"> </w:t>
      </w:r>
      <w:r>
        <w:rPr>
          <w:iCs/>
          <w:i/>
        </w:rPr>
        <w:t xml:space="preserve">“</w:t>
      </w:r>
      <w:r>
        <w:rPr>
          <w:iCs/>
          <w:i/>
        </w:rPr>
        <w:t xml:space="preserve">5 Discussion</w:t>
      </w:r>
      <w:r>
        <w:rPr>
          <w:iCs/>
          <w:i/>
        </w:rPr>
        <w:t xml:space="preserve">”</w:t>
      </w:r>
      <w:r>
        <w:rPr>
          <w:iCs/>
          <w:i/>
        </w:rPr>
        <w:t xml:space="preserve">, Section</w:t>
      </w:r>
      <w:r>
        <w:rPr>
          <w:iCs/>
          <w:i/>
        </w:rPr>
        <w:t xml:space="preserve"> </w:t>
      </w:r>
      <w:r>
        <w:rPr>
          <w:iCs/>
          <w:i/>
        </w:rPr>
        <w:t xml:space="preserve">“</w:t>
      </w:r>
      <w:r>
        <w:rPr>
          <w:iCs/>
          <w:i/>
        </w:rPr>
        <w:t xml:space="preserve">6 Conclusions</w:t>
      </w:r>
      <w:r>
        <w:rPr>
          <w:iCs/>
          <w:i/>
        </w:rPr>
        <w:t xml:space="preserve">”</w:t>
      </w:r>
      <w:r>
        <w:rPr>
          <w:iCs/>
          <w:i/>
        </w:rPr>
        <w:t xml:space="preserve">, and References, the conclusion repeats the abstract and overstates the boundary characterization. Null results on VLCS and OfficeHome and the unconfirmed TerraIncognita direction do not support a general accuracy ceiling claim. State that the unification is conditional on Assumptions 1–3 and that target-free coverage cannot be verified. Verify references 14, 26, 28, and 29, which lack years or use future dates.</w:t>
      </w:r>
    </w:p>
    <w:p>
      <w:pPr>
        <w:pStyle w:val="BodyText"/>
      </w:pPr>
      <w:r>
        <w:rPr>
          <w:bCs/>
          <w:b/>
        </w:rPr>
        <w:t xml:space="preserve">Response (Revised manuscript, Lines 1239–1382, 1383–1433).</w:t>
      </w:r>
    </w:p>
    <w:p>
      <w:pPr>
        <w:pStyle w:val="BodyText"/>
      </w:pPr>
      <w:r>
        <w:t xml:space="preserve">The conclusion no longer repeats the abstract and no longer makes a general accuracy-superiority claim. It states explicitly that the unification is conditional on Assumptions 1–3 and that the coverage-gap term cannot be verified without target access; the accuracy ceiling is attributed to the class of invariance methods studied here, not to DG methods in general. The four flagged references have been audited against their authoritative metadata:</w:t>
      </w:r>
    </w:p>
    <w:p>
      <w:pPr>
        <w:numPr>
          <w:ilvl w:val="0"/>
          <w:numId w:val="1001"/>
        </w:numPr>
        <w:pStyle w:val="Compact"/>
      </w:pPr>
      <w:r>
        <w:t xml:space="preserve">Ref. 14 (Ganin et al., domain-adversarial training) is a published JMLR paper (vol. 17, 2016); the year placement is corrected.</w:t>
      </w:r>
    </w:p>
    <w:p>
      <w:pPr>
        <w:numPr>
          <w:ilvl w:val="0"/>
          <w:numId w:val="1001"/>
        </w:numPr>
        <w:pStyle w:val="Compact"/>
      </w:pPr>
      <w:r>
        <w:t xml:space="preserve">Ref. 26 (Fokoué) is arXiv:2605.24076, deposited in May 2026 and indexed by dblp; it is now available.</w:t>
      </w:r>
    </w:p>
    <w:p>
      <w:pPr>
        <w:numPr>
          <w:ilvl w:val="0"/>
          <w:numId w:val="1001"/>
        </w:numPr>
        <w:pStyle w:val="Compact"/>
      </w:pPr>
      <w:r>
        <w:t xml:space="preserve">Ref. 28 (Montagna) is an ICLR 2026 poster (Rio de Janeiro, April 2026); the conference has now taken place.</w:t>
      </w:r>
    </w:p>
    <w:p>
      <w:pPr>
        <w:numPr>
          <w:ilvl w:val="0"/>
          <w:numId w:val="1001"/>
        </w:numPr>
        <w:pStyle w:val="Compact"/>
      </w:pPr>
      <w:r>
        <w:t xml:space="preserve">Ref. 29 (Guo et al., causal de Finetti) is a published NeurIPS 2023 paper.</w:t>
      </w:r>
    </w:p>
    <w:p>
      <w:pPr>
        <w:pStyle w:val="FirstParagraph"/>
      </w:pPr>
      <w:r>
        <w:t xml:space="preserve">The editorial request to reduce preprints is addressed in the dedicated</w:t>
      </w:r>
      <w:r>
        <w:t xml:space="preserve"> </w:t>
      </w:r>
      <w:r>
        <w:t xml:space="preserve">“</w:t>
      </w:r>
      <w:r>
        <w:t xml:space="preserve">Editorial Comment</w:t>
      </w:r>
      <w:r>
        <w:t xml:space="preserve">”</w:t>
      </w:r>
      <w:r>
        <w:t xml:space="preserve"> </w:t>
      </w:r>
      <w:r>
        <w:t xml:space="preserve">section above (the arXiv references are reduced from 9 to 5, and the list now contains 42 entries).</w:t>
      </w:r>
    </w:p>
    <w:p>
      <w:r>
        <w:pict>
          <v:rect style="width:0;height:1.5pt" o:hralign="center" o:hrstd="t" o:hr="t"/>
        </w:pict>
      </w:r>
    </w:p>
    <w:bookmarkEnd w:id="31"/>
    <w:bookmarkEnd w:id="32"/>
    <w:bookmarkStart w:id="42" w:name="reviewer-2"/>
    <w:p>
      <w:pPr>
        <w:pStyle w:val="Heading1"/>
      </w:pPr>
      <w:r>
        <w:t xml:space="preserve">Reviewer 2</w:t>
      </w:r>
    </w:p>
    <w:p>
      <w:pPr>
        <w:pStyle w:val="FirstParagraph"/>
      </w:pPr>
      <w:r>
        <w:t xml:space="preserve">We thank Reviewer 2 for the candid assessment. We address each comment below; where the data do not support a stronger claim, we have downgraded the claim rather than argued around it.</w:t>
      </w:r>
    </w:p>
    <w:bookmarkStart w:id="33" w:name="r2-1-table-alignment"/>
    <w:p>
      <w:pPr>
        <w:pStyle w:val="Heading3"/>
      </w:pPr>
      <w:r>
        <w:t xml:space="preserve">R2-(1) Table alignment</w:t>
      </w:r>
    </w:p>
    <w:p>
      <w:pPr>
        <w:pStyle w:val="FirstParagraph"/>
      </w:pPr>
      <w:r>
        <w:rPr>
          <w:bCs/>
          <w:b/>
        </w:rPr>
        <w:t xml:space="preserve">Comment.</w:t>
      </w:r>
      <w:r>
        <w:t xml:space="preserve"> </w:t>
      </w:r>
      <w:r>
        <w:rPr>
          <w:iCs/>
          <w:i/>
        </w:rPr>
        <w:t xml:space="preserve">There are many tables (Table 2, 3, 7, 8, 9, 12, 13) that are not properly aligned. The rightmost columns are not visible and readible. These errors should have been fixed before submission.</w:t>
      </w:r>
    </w:p>
    <w:p>
      <w:pPr>
        <w:pStyle w:val="BodyText"/>
      </w:pPr>
      <w:r>
        <w:rPr>
          <w:bCs/>
          <w:b/>
        </w:rPr>
        <w:t xml:space="preserve">Response (Revised manuscript, Lines 802–1211, 1473–1502).</w:t>
      </w:r>
    </w:p>
    <w:p>
      <w:pPr>
        <w:pStyle w:val="BodyText"/>
      </w:pPr>
      <w:r>
        <w:t xml:space="preserve">These should have been fixed before submission, and they have now been corrected. All tables are inside the text width with aligned columns and the rightmost columns fully visible, and captions are on the same page as the body.</w:t>
      </w:r>
    </w:p>
    <w:bookmarkEnd w:id="33"/>
    <w:bookmarkStart w:id="34" w:name="r2-2-table-1-should-be-named-algorithm-1"/>
    <w:p>
      <w:pPr>
        <w:pStyle w:val="Heading3"/>
      </w:pPr>
      <w:r>
        <w:t xml:space="preserve">R2-(2) Table 1 should be named Algorithm 1</w:t>
      </w:r>
    </w:p>
    <w:p>
      <w:pPr>
        <w:pStyle w:val="FirstParagraph"/>
      </w:pPr>
      <w:r>
        <w:rPr>
          <w:bCs/>
          <w:b/>
        </w:rPr>
        <w:t xml:space="preserve">Comment.</w:t>
      </w:r>
      <w:r>
        <w:t xml:space="preserve"> </w:t>
      </w:r>
      <w:r>
        <w:rPr>
          <w:iCs/>
          <w:i/>
        </w:rPr>
        <w:t xml:space="preserve">Also, Table 1 includes an algorithm for CIFA, and this should be named as Algorithm 1, rather than a table.</w:t>
      </w:r>
    </w:p>
    <w:p>
      <w:pPr>
        <w:pStyle w:val="BodyText"/>
      </w:pPr>
      <w:r>
        <w:rPr>
          <w:bCs/>
          <w:b/>
        </w:rPr>
        <w:t xml:space="preserve">Response (Revised manuscript, Lines 738–750).</w:t>
      </w:r>
    </w:p>
    <w:p>
      <w:pPr>
        <w:pStyle w:val="BodyText"/>
      </w:pPr>
      <w:r>
        <w:t xml:space="preserve">Done. The pseudocode is now a floating algorithm titled</w:t>
      </w:r>
      <w:r>
        <w:t xml:space="preserve"> </w:t>
      </w:r>
      <w:r>
        <w:t xml:space="preserve">“</w:t>
      </w:r>
      <w:r>
        <w:t xml:space="preserve">Algorithm 1</w:t>
      </w:r>
      <w:r>
        <w:t xml:space="preserve">”</w:t>
      </w:r>
      <w:r>
        <w:t xml:space="preserve">, using a dedicated algorithm float, and the surrounding text references it as such.</w:t>
      </w:r>
    </w:p>
    <w:bookmarkEnd w:id="34"/>
    <w:bookmarkStart w:id="35" w:name="Xef97b9f6b97564555b72403875d537953ad63a8"/>
    <w:p>
      <w:pPr>
        <w:pStyle w:val="Heading3"/>
      </w:pPr>
      <w:r>
        <w:t xml:space="preserve">R2-(3) No figure visualizing the proposed method</w:t>
      </w:r>
    </w:p>
    <w:p>
      <w:pPr>
        <w:pStyle w:val="FirstParagraph"/>
      </w:pPr>
      <w:r>
        <w:rPr>
          <w:bCs/>
          <w:b/>
        </w:rPr>
        <w:t xml:space="preserve">Comment.</w:t>
      </w:r>
      <w:r>
        <w:t xml:space="preserve"> </w:t>
      </w:r>
      <w:r>
        <w:rPr>
          <w:iCs/>
          <w:i/>
        </w:rPr>
        <w:t xml:space="preserve">There are no figures visualizing the proposed method to aid the readers to understand the framework better.</w:t>
      </w:r>
    </w:p>
    <w:p>
      <w:pPr>
        <w:pStyle w:val="BodyText"/>
      </w:pPr>
      <w:r>
        <w:rPr>
          <w:bCs/>
          <w:b/>
        </w:rPr>
        <w:t xml:space="preserve">Response (Revised manuscript, Lines 399–410, 738–750).</w:t>
      </w:r>
    </w:p>
    <w:p>
      <w:pPr>
        <w:pStyle w:val="BodyText"/>
      </w:pPr>
      <w:r>
        <w:t xml:space="preserve">A new figure (Fig. 1) now visualizes the method’s core operation. It depicts the feature-moment decomposition</w:t>
      </w:r>
      <w:r>
        <w:t xml:space="preserve"> </w:t>
      </w:r>
      <m:oMath>
        <m:r>
          <m:rPr>
            <m:sty m:val="b"/>
          </m:rPr>
          <m:t>m</m:t>
        </m:r>
        <m:r>
          <m:rPr>
            <m:sty m:val="p"/>
          </m:rPr>
          <m:t>=</m:t>
        </m:r>
        <m:r>
          <m:rPr>
            <m:sty m:val="b"/>
          </m:rPr>
          <m:t>b</m:t>
        </m:r>
        <m:r>
          <m:rPr>
            <m:sty m:val="p"/>
          </m:rPr>
          <m:t>+</m:t>
        </m:r>
        <m:r>
          <m:rPr>
            <m:sty m:val="b"/>
          </m:rPr>
          <m:t>d</m:t>
        </m:r>
      </m:oMath>
      <w:r>
        <w:t xml:space="preserve"> </w:t>
      </w:r>
      <w:r>
        <w:t xml:space="preserve">on PACS: instance moments are colored by class, the black bars mark the class prototypes</w:t>
      </w:r>
      <w:r>
        <w:t xml:space="preserve"> </w:t>
      </w:r>
      <m:oMath>
        <m:r>
          <m:rPr>
            <m:sty m:val="b"/>
          </m:rPr>
          <m:t>b</m:t>
        </m:r>
      </m:oMath>
      <w:r>
        <w:t xml:space="preserve">, and the within-class spread is the style deviation</w:t>
      </w:r>
      <w:r>
        <w:t xml:space="preserve"> </w:t>
      </w:r>
      <m:oMath>
        <m:r>
          <m:rPr>
            <m:sty m:val="b"/>
          </m:rPr>
          <m:t>d</m:t>
        </m:r>
      </m:oMath>
      <w:r>
        <w:t xml:space="preserve"> </w:t>
      </w:r>
      <w:r>
        <w:t xml:space="preserve">that the operator mixes while holding</w:t>
      </w:r>
      <w:r>
        <w:t xml:space="preserve"> </w:t>
      </w:r>
      <m:oMath>
        <m:r>
          <m:rPr>
            <m:sty m:val="b"/>
          </m:rPr>
          <m:t>b</m:t>
        </m:r>
      </m:oMath>
      <w:r>
        <w:t xml:space="preserve"> </w:t>
      </w:r>
      <w:r>
        <w:t xml:space="preserve">fixed. The full end-to-end procedure is given as Algorithm 1, and the accompanying text explains each step.</w:t>
      </w:r>
    </w:p>
    <w:bookmarkEnd w:id="35"/>
    <w:bookmarkStart w:id="36" w:name="r2-4-lack-of-theoretical-novelty"/>
    <w:p>
      <w:pPr>
        <w:pStyle w:val="Heading3"/>
      </w:pPr>
      <w:r>
        <w:t xml:space="preserve">R2-(4) Lack of theoretical novelty</w:t>
      </w:r>
    </w:p>
    <w:p>
      <w:pPr>
        <w:pStyle w:val="FirstParagraph"/>
      </w:pPr>
      <w:r>
        <w:rPr>
          <w:bCs/>
          <w:b/>
        </w:rPr>
        <w:t xml:space="preserve">Comment.</w:t>
      </w:r>
      <w:r>
        <w:t xml:space="preserve"> </w:t>
      </w:r>
      <w:r>
        <w:rPr>
          <w:iCs/>
          <w:i/>
        </w:rPr>
        <w:t xml:space="preserve">The proposed method lacks theoretical novelty, where previous methods of MixStyle and DSU are simply integrated into the SWAD pipeline.</w:t>
      </w:r>
    </w:p>
    <w:p>
      <w:pPr>
        <w:pStyle w:val="BodyText"/>
      </w:pPr>
      <w:r>
        <w:rPr>
          <w:bCs/>
          <w:b/>
        </w:rPr>
        <w:t xml:space="preserve">Response (Revised manuscript, Lines 17–34, 37–155, 441–696, 1239–1318).</w:t>
      </w:r>
    </w:p>
    <w:p>
      <w:pPr>
        <w:pStyle w:val="BodyText"/>
      </w:pPr>
      <w:r>
        <w:t xml:space="preserve">We respectfully clarify that the novelty is not the moment-mixing operation itself, which we explicitly build on and cite. The contribution is the conditional analysis that connects three spaces: a content-preservation bound in the feature space (Proposition 1), a convex-hull coverage bound in the distribution space (Theorem 1), and a local approximation of the trajectory ensemble by weight averaging in the parameter space (Theorem 2), together with a stated alignment hypothesis (Assumption 3) and a validity boundary. We have also made the claims fully conditional so that the theory is not used to claim an empirical gain it does not deliver.</w:t>
      </w:r>
    </w:p>
    <w:bookmarkEnd w:id="36"/>
    <w:bookmarkStart w:id="37" w:name="X3ba3cdbf444bc1111611638de7ca92e33ea2549"/>
    <w:p>
      <w:pPr>
        <w:pStyle w:val="Heading3"/>
      </w:pPr>
      <w:r>
        <w:t xml:space="preserve">R2-(5) Theoretical claims are not supported;</w:t>
      </w:r>
      <w:r>
        <w:t xml:space="preserve"> </w:t>
      </w:r>
      <w:r>
        <w:t xml:space="preserve">“</w:t>
      </w:r>
      <w:r>
        <w:t xml:space="preserve">fullmoment</w:t>
      </w:r>
      <w:r>
        <w:t xml:space="preserve">”</w:t>
      </w:r>
      <w:r>
        <w:t xml:space="preserve"> </w:t>
      </w:r>
      <w:r>
        <w:t xml:space="preserve">performs best</w:t>
      </w:r>
    </w:p>
    <w:p>
      <w:pPr>
        <w:pStyle w:val="FirstParagraph"/>
      </w:pPr>
      <w:r>
        <w:rPr>
          <w:bCs/>
          <w:b/>
        </w:rPr>
        <w:t xml:space="preserve">Comment.</w:t>
      </w:r>
      <w:r>
        <w:t xml:space="preserve"> </w:t>
      </w:r>
      <w:r>
        <w:rPr>
          <w:iCs/>
          <w:i/>
        </w:rPr>
        <w:t xml:space="preserve">The theoretical claims for the proposed method are not backed up by the experimental results. The authors propose a causal-invarint decomposition scheme (content baseline + style deviation), while Table 13 shows the</w:t>
      </w:r>
      <w:r>
        <w:rPr>
          <w:iCs/>
          <w:i/>
        </w:rPr>
        <w:t xml:space="preserve"> </w:t>
      </w:r>
      <w:r>
        <w:rPr>
          <w:iCs/>
          <w:i/>
        </w:rPr>
        <w:t xml:space="preserve">“</w:t>
      </w:r>
      <w:r>
        <w:rPr>
          <w:iCs/>
          <w:i/>
        </w:rPr>
        <w:t xml:space="preserve">fullmoment</w:t>
      </w:r>
      <w:r>
        <w:rPr>
          <w:iCs/>
          <w:i/>
        </w:rPr>
        <w:t xml:space="preserve">”</w:t>
      </w:r>
      <w:r>
        <w:rPr>
          <w:iCs/>
          <w:i/>
        </w:rPr>
        <w:t xml:space="preserve"> </w:t>
      </w:r>
      <w:r>
        <w:rPr>
          <w:iCs/>
          <w:i/>
        </w:rPr>
        <w:t xml:space="preserve">method without the proposed decomposition shows the highest performance.</w:t>
      </w:r>
    </w:p>
    <w:p>
      <w:pPr>
        <w:pStyle w:val="BodyText"/>
      </w:pPr>
      <w:r>
        <w:rPr>
          <w:bCs/>
          <w:b/>
        </w:rPr>
        <w:t xml:space="preserve">Response (Revised manuscript, Lines 1212–1225).</w:t>
      </w:r>
    </w:p>
    <w:p>
      <w:pPr>
        <w:pStyle w:val="BodyText"/>
      </w:pPr>
      <w:r>
        <w:t xml:space="preserve">We agree that this rules out claiming the b/d decomposition as a source of accuracy. We now state explicitly that the decomposition is an enabling condition for the content-preservation bound, not a measured performance source: fullmoment is statistically indistinguishable from full CIFA (paired</w:t>
      </w:r>
      <w:r>
        <w:t xml:space="preserve"> </w:t>
      </w:r>
      <m:oMath>
        <m:r>
          <m:rPr>
            <m:sty m:val="p"/>
          </m:rPr>
          <m:t>+</m:t>
        </m:r>
        <m:r>
          <m:t>0.23</m:t>
        </m:r>
        <m:r>
          <m:rPr>
            <m:sty m:val="p"/>
          </m:rPr>
          <m:t>±</m:t>
        </m:r>
        <m:r>
          <m:t>0.75</m:t>
        </m:r>
      </m:oMath>
      <w:r>
        <w:t xml:space="preserve">,</w:t>
      </w:r>
      <w:r>
        <w:t xml:space="preserve"> </w:t>
      </w:r>
      <m:oMath>
        <m:r>
          <m:t>p</m:t>
        </m:r>
        <m:r>
          <m:rPr>
            <m:sty m:val="p"/>
          </m:rPr>
          <m:t>=</m:t>
        </m:r>
        <m:r>
          <m:t>0.53</m:t>
        </m:r>
      </m:oMath>
      <w:r>
        <w:t xml:space="preserve">; 11/20 cells positive; worst-domain</w:t>
      </w:r>
      <w:r>
        <w:t xml:space="preserve"> </w:t>
      </w:r>
      <m:oMath>
        <m:r>
          <m:rPr>
            <m:sty m:val="p"/>
          </m:rPr>
          <m:t>+</m:t>
        </m:r>
        <m:r>
          <m:t>0.09</m:t>
        </m:r>
      </m:oMath>
      <w:r>
        <w:t xml:space="preserve">,</w:t>
      </w:r>
      <w:r>
        <w:t xml:space="preserve"> </w:t>
      </w:r>
      <m:oMath>
        <m:r>
          <m:t>p</m:t>
        </m:r>
        <m:r>
          <m:rPr>
            <m:sty m:val="p"/>
          </m:rPr>
          <m:t>=</m:t>
        </m:r>
        <m:r>
          <m:t>0.90</m:t>
        </m:r>
      </m:oMath>
      <w:r>
        <w:t xml:space="preserve">). Restricting the mix to the style deviation is what licenses the content-preservation claim; it does not improve accuracy.</w:t>
      </w:r>
    </w:p>
    <w:bookmarkEnd w:id="37"/>
    <w:bookmarkStart w:id="38" w:name="r2-6-swad-dominates-performance"/>
    <w:p>
      <w:pPr>
        <w:pStyle w:val="Heading3"/>
      </w:pPr>
      <w:r>
        <w:t xml:space="preserve">R2-(6) SWAD dominates performance</w:t>
      </w:r>
    </w:p>
    <w:p>
      <w:pPr>
        <w:pStyle w:val="FirstParagraph"/>
      </w:pPr>
      <w:r>
        <w:rPr>
          <w:bCs/>
          <w:b/>
        </w:rPr>
        <w:t xml:space="preserve">Comment.</w:t>
      </w:r>
      <w:r>
        <w:t xml:space="preserve"> </w:t>
      </w:r>
      <w:r>
        <w:rPr>
          <w:iCs/>
          <w:i/>
        </w:rPr>
        <w:t xml:space="preserve">Also, in Table 13, baseline without SWAD (noswad) shows large drops in performance compared to the proposed method, indicating that SWAD is the main component that contributes to perfrormance gains.</w:t>
      </w:r>
    </w:p>
    <w:p>
      <w:pPr>
        <w:pStyle w:val="BodyText"/>
      </w:pPr>
      <w:r>
        <w:rPr>
          <w:bCs/>
          <w:b/>
        </w:rPr>
        <w:t xml:space="preserve">Response (Revised manuscript, Lines 1212–1225, 1493).</w:t>
      </w:r>
    </w:p>
    <w:p>
      <w:pPr>
        <w:pStyle w:val="BodyText"/>
      </w:pPr>
      <w:r>
        <w:t xml:space="preserve">We agree and report this directly. In the standard ablation, disabling weight averaging (noswad) costs 2.42 points overall (paired,</w:t>
      </w:r>
      <w:r>
        <w:t xml:space="preserve"> </w:t>
      </w:r>
      <m:oMath>
        <m:r>
          <m:t>p</m:t>
        </m:r>
        <m:r>
          <m:rPr>
            <m:sty m:val="p"/>
          </m:rPr>
          <m:t>=</m:t>
        </m:r>
        <m:r>
          <m:t>0.041</m:t>
        </m:r>
      </m:oMath>
      <w:r>
        <w:t xml:space="preserve">); in the loader retest, full CIFA (w4) exceeds noswad by 7.50 points on average while noswad has a very large spread (65.54–89.40). The main value of weight averaging is variance reduction. We do not claim the feature-moment operation as the source of the mean accuracy.</w:t>
      </w:r>
    </w:p>
    <w:bookmarkEnd w:id="38"/>
    <w:bookmarkStart w:id="39" w:name="r2-7-reproducibility"/>
    <w:p>
      <w:pPr>
        <w:pStyle w:val="Heading3"/>
      </w:pPr>
      <w:r>
        <w:t xml:space="preserve">R2-(7) Reproducibility</w:t>
      </w:r>
    </w:p>
    <w:p>
      <w:pPr>
        <w:pStyle w:val="FirstParagraph"/>
      </w:pPr>
      <w:r>
        <w:rPr>
          <w:bCs/>
          <w:b/>
        </w:rPr>
        <w:t xml:space="preserve">Comment.</w:t>
      </w:r>
      <w:r>
        <w:t xml:space="preserve"> </w:t>
      </w:r>
      <w:r>
        <w:rPr>
          <w:iCs/>
          <w:i/>
        </w:rPr>
        <w:t xml:space="preserve">Given the results in Table 7, the authors’ own re-run of the method with random seeds show largely fluctuating and mixed results. This indicates a serious problem for reproduciblity and replication.</w:t>
      </w:r>
    </w:p>
    <w:p>
      <w:pPr>
        <w:pStyle w:val="BodyText"/>
      </w:pPr>
      <w:r>
        <w:rPr>
          <w:bCs/>
          <w:b/>
        </w:rPr>
        <w:t xml:space="preserve">Response (Revised manuscript, Lines 868–876).</w:t>
      </w:r>
    </w:p>
    <w:p>
      <w:pPr>
        <w:pStyle w:val="BodyText"/>
      </w:pPr>
      <w:r>
        <w:t xml:space="preserve">We have investigated this rather than dismissed it. The sign reversal between the two PACS batches is traced to a batch effect: a fixed batch effect of</w:t>
      </w:r>
      <w:r>
        <w:t xml:space="preserve"> </w:t>
      </w:r>
      <m:oMath>
        <m:r>
          <m:rPr>
            <m:sty m:val="p"/>
          </m:rPr>
          <m:t>−</m:t>
        </m:r>
        <m:r>
          <m:t>1.56</m:t>
        </m:r>
      </m:oMath>
      <w:r>
        <w:t xml:space="preserve"> </w:t>
      </w:r>
      <w:r>
        <w:t xml:space="preserve">points (</w:t>
      </w:r>
      <m:oMath>
        <m:r>
          <m:t>t</m:t>
        </m:r>
        <m:r>
          <m:rPr>
            <m:sty m:val="p"/>
          </m:rPr>
          <m:t>=</m:t>
        </m:r>
        <m:r>
          <m:rPr>
            <m:sty m:val="p"/>
          </m:rPr>
          <m:t>−</m:t>
        </m:r>
        <m:r>
          <m:t>4.10</m:t>
        </m:r>
      </m:oMath>
      <w:r>
        <w:t xml:space="preserve">,</w:t>
      </w:r>
      <w:r>
        <w:t xml:space="preserve"> </w:t>
      </w:r>
      <m:oMath>
        <m:r>
          <m:t>p</m:t>
        </m:r>
        <m:r>
          <m:rPr>
            <m:sty m:val="p"/>
          </m:rPr>
          <m:t>=</m:t>
        </m:r>
        <m:r>
          <m:t>0.0027</m:t>
        </m:r>
      </m:oMath>
      <w:r>
        <w:t xml:space="preserve">; pooled ANOVA</w:t>
      </w:r>
      <w:r>
        <w:t xml:space="preserve"> </w:t>
      </w:r>
      <m:oMath>
        <m:r>
          <m:t>p</m:t>
        </m:r>
        <m:r>
          <m:rPr>
            <m:sty m:val="p"/>
          </m:rPr>
          <m:t>=</m:t>
        </m:r>
        <m:r>
          <m:t>0.0061</m:t>
        </m:r>
      </m:oMath>
      <w:r>
        <w:t xml:space="preserve">, mixed-effects</w:t>
      </w:r>
      <w:r>
        <w:t xml:space="preserve"> </w:t>
      </w:r>
      <m:oMath>
        <m:r>
          <m:t>p</m:t>
        </m:r>
        <m:r>
          <m:rPr>
            <m:sty m:val="p"/>
          </m:rPr>
          <m:t>=</m:t>
        </m:r>
        <m:r>
          <m:t>0.0013</m:t>
        </m:r>
      </m:oMath>
      <w:r>
        <w:t xml:space="preserve">). A repeated-seed/mixed-effects re-analysis gives an intraclass correlation of zero and a zero random-effect variance, with within-seed correlation</w:t>
      </w:r>
      <w:r>
        <w:t xml:space="preserve"> </w:t>
      </w:r>
      <m:oMath>
        <m:r>
          <m:rPr>
            <m:sty m:val="p"/>
          </m:rPr>
          <m:t>−</m:t>
        </m:r>
        <m:r>
          <m:t>0.27</m:t>
        </m:r>
      </m:oMath>
      <w:r>
        <w:t xml:space="preserve"> </w:t>
      </w:r>
      <w:r>
        <w:t xml:space="preserve">(</w:t>
      </w:r>
      <m:oMath>
        <m:r>
          <m:t>p</m:t>
        </m:r>
        <m:r>
          <m:rPr>
            <m:sty m:val="p"/>
          </m:rPr>
          <m:t>=</m:t>
        </m:r>
        <m:r>
          <m:t>0.45</m:t>
        </m:r>
      </m:oMath>
      <w:r>
        <w:t xml:space="preserve">), so the pooled comparison is defensible; the pooled overall difference is</w:t>
      </w:r>
      <w:r>
        <w:t xml:space="preserve"> </w:t>
      </w:r>
      <m:oMath>
        <m:r>
          <m:rPr>
            <m:sty m:val="p"/>
          </m:rPr>
          <m:t>+</m:t>
        </m:r>
        <m:r>
          <m:t>0.21</m:t>
        </m:r>
      </m:oMath>
      <w:r>
        <w:t xml:space="preserve"> </w:t>
      </w:r>
      <w:r>
        <w:t xml:space="preserve">(90% CI</w:t>
      </w:r>
      <w:r>
        <w:t xml:space="preserve"> </w:t>
      </w:r>
      <m:oMath>
        <m:d>
          <m:dPr>
            <m:begChr m:val="["/>
            <m:endChr m:val="]"/>
            <m:sepChr m:val=""/>
            <m:grow/>
          </m:dPr>
          <m:e>
            <m:r>
              <m:rPr>
                <m:sty m:val="p"/>
              </m:rPr>
              <m:t>−</m:t>
            </m:r>
            <m:r>
              <m:t>0.23</m:t>
            </m:r>
            <m:r>
              <m:rPr>
                <m:sty m:val="p"/>
              </m:rPr>
              <m:t>,</m:t>
            </m:r>
            <m:r>
              <m:rPr>
                <m:sty m:val="p"/>
              </m:rPr>
              <m:t>+</m:t>
            </m:r>
            <m:r>
              <m:t>0.66</m:t>
            </m:r>
          </m:e>
        </m:d>
      </m:oMath>
      <w:r>
        <w:t xml:space="preserve">). The unified-code batch is designated the authoritative version for all PACS claims, and the conclusion is statistical equivalence rather than a positive gain.</w:t>
      </w:r>
    </w:p>
    <w:bookmarkEnd w:id="39"/>
    <w:bookmarkStart w:id="40" w:name="X18ce79b88307c23edd13d66d29a6b8b00f0056d"/>
    <w:p>
      <w:pPr>
        <w:pStyle w:val="Heading3"/>
      </w:pPr>
      <w:r>
        <w:t xml:space="preserve">R2-(8) The content-consistency gate must be validated</w:t>
      </w:r>
    </w:p>
    <w:p>
      <w:pPr>
        <w:pStyle w:val="FirstParagraph"/>
      </w:pPr>
      <w:r>
        <w:rPr>
          <w:bCs/>
          <w:b/>
        </w:rPr>
        <w:t xml:space="preserve">Comment.</w:t>
      </w:r>
      <w:r>
        <w:t xml:space="preserve"> </w:t>
      </w:r>
      <w:r>
        <w:rPr>
          <w:iCs/>
          <w:i/>
        </w:rPr>
        <w:t xml:space="preserve">Why is the</w:t>
      </w:r>
      <w:r>
        <w:rPr>
          <w:iCs/>
          <w:i/>
        </w:rPr>
        <w:t xml:space="preserve"> </w:t>
      </w:r>
      <w:r>
        <w:rPr>
          <w:iCs/>
          <w:i/>
        </w:rPr>
        <w:t xml:space="preserve">“</w:t>
      </w:r>
      <w:r>
        <w:rPr>
          <w:iCs/>
          <w:i/>
        </w:rPr>
        <w:t xml:space="preserve">content-consistency guard</w:t>
      </w:r>
      <w:r>
        <w:rPr>
          <w:iCs/>
          <w:i/>
        </w:rPr>
        <w:t xml:space="preserve">”</w:t>
      </w:r>
      <w:r>
        <w:rPr>
          <w:iCs/>
          <w:i/>
        </w:rPr>
        <w:t xml:space="preserve"> </w:t>
      </w:r>
      <w:r>
        <w:rPr>
          <w:iCs/>
          <w:i/>
        </w:rPr>
        <w:t xml:space="preserve">safety mechanism needed? Since it was never invoked on PACS (as the authors said), experimental validation of its effectiveness is needed.</w:t>
      </w:r>
    </w:p>
    <w:p>
      <w:pPr>
        <w:pStyle w:val="BodyText"/>
      </w:pPr>
      <w:r>
        <w:rPr>
          <w:bCs/>
          <w:b/>
        </w:rPr>
        <w:t xml:space="preserve">Response (Revised manuscript, Lines 1147, 1499).</w:t>
      </w:r>
    </w:p>
    <w:p>
      <w:pPr>
        <w:pStyle w:val="BodyText"/>
      </w:pPr>
      <w:r>
        <w:t xml:space="preserve">We agree that a never-triggered safeguard must be stress-tested. A dedicated gate-pressure test under strong augmentation (Appendix Table A7) shows that on VLCS the gate activates in all four runs (mean gate 0.132), reduces the post-augmentation KL from 0.196 to 0.137, and leaves accuracy unchanged (mean target</w:t>
      </w:r>
      <w:r>
        <w:t xml:space="preserve"> </w:t>
      </w:r>
      <m:oMath>
        <m:r>
          <m:rPr>
            <m:sty m:val="p"/>
          </m:rPr>
          <m:t>+</m:t>
        </m:r>
        <m:r>
          <m:t>0.25</m:t>
        </m:r>
      </m:oMath>
      <w:r>
        <w:t xml:space="preserve">, worst</w:t>
      </w:r>
      <w:r>
        <w:t xml:space="preserve"> </w:t>
      </w:r>
      <m:oMath>
        <m:r>
          <m:rPr>
            <m:sty m:val="p"/>
          </m:rPr>
          <m:t>−</m:t>
        </m:r>
        <m:r>
          <m:t>0.10</m:t>
        </m:r>
      </m:oMath>
      <w:r>
        <w:t xml:space="preserve">). On PACS the gate is dormant under the nominal and tested tolerances, consistent with the small post-augmentation KL there. We therefore describe the gate as a safety mechanism that is dormant on PACS but demonstrably activates under stronger shifts, rather than claiming an empirical benefit on the benchmark.</w:t>
      </w:r>
    </w:p>
    <w:bookmarkEnd w:id="40"/>
    <w:bookmarkStart w:id="41" w:name="r2-overall-overall-assessment"/>
    <w:p>
      <w:pPr>
        <w:pStyle w:val="Heading3"/>
      </w:pPr>
      <w:r>
        <w:t xml:space="preserve">R2-(Overall) Overall assessment</w:t>
      </w:r>
    </w:p>
    <w:p>
      <w:pPr>
        <w:pStyle w:val="FirstParagraph"/>
      </w:pPr>
      <w:r>
        <w:rPr>
          <w:bCs/>
          <w:b/>
        </w:rPr>
        <w:t xml:space="preserve">Comment.</w:t>
      </w:r>
      <w:r>
        <w:t xml:space="preserve"> </w:t>
      </w:r>
      <w:r>
        <w:rPr>
          <w:iCs/>
          <w:i/>
        </w:rPr>
        <w:t xml:space="preserve">Overall, the proposed CIFA lacks empirical justification and theoretical novelty, where the authors fail to show performance gains over other methods, including simple heuristics. Its performance heavily relies on existing baseline methods. While the authors deserve credit for transparently reporting these experimental results, the manuscript is not fit for acceptance in current form.</w:t>
      </w:r>
    </w:p>
    <w:p>
      <w:pPr>
        <w:pStyle w:val="BodyText"/>
      </w:pPr>
      <w:r>
        <w:rPr>
          <w:bCs/>
          <w:b/>
        </w:rPr>
        <w:t xml:space="preserve">Response (Revised manuscript, Lines 17–34, 37–1380, 1465–1495).</w:t>
      </w:r>
    </w:p>
    <w:p>
      <w:pPr>
        <w:pStyle w:val="BodyText"/>
      </w:pPr>
      <w:r>
        <w:t xml:space="preserve">We have taken this assessment seriously. We no longer claim a mean-accuracy gain: the authoritative unified-code PACS result is a statistical tie, and the other benchmarks show null results. We retain the three contributions the data do support: a conditional, three-space analysis with clearly stated assumptions, a systematic effectiveness-boundary characterization, and a target-free operator with a reproducible experimental platform. We have also added the cross-architecture, alignment, curvature, cost and gate-pressure evidence requested across the reviews. We hope the revised manuscript is now judged on what it actually establishes rather than on the overstated claims of the original submission.</w:t>
      </w:r>
    </w:p>
    <w:p>
      <w:r>
        <w:pict>
          <v:rect style="width:0;height:1.5pt" o:hralign="center" o:hrstd="t" o:hr="t"/>
        </w:pict>
      </w:r>
    </w:p>
    <w:bookmarkEnd w:id="41"/>
    <w:bookmarkEnd w:id="42"/>
    <w:bookmarkStart w:id="56" w:name="reviewer-3"/>
    <w:p>
      <w:pPr>
        <w:pStyle w:val="Heading1"/>
      </w:pPr>
      <w:r>
        <w:t xml:space="preserve">Reviewer 3</w:t>
      </w:r>
    </w:p>
    <w:p>
      <w:pPr>
        <w:pStyle w:val="FirstParagraph"/>
      </w:pPr>
      <w:r>
        <w:rPr>
          <w:bCs/>
          <w:b/>
        </w:rPr>
        <w:t xml:space="preserve">General Comments.</w:t>
      </w:r>
      <w:r>
        <w:t xml:space="preserve"> </w:t>
      </w:r>
      <w:r>
        <w:rPr>
          <w:iCs/>
          <w:i/>
        </w:rPr>
        <w:t xml:space="preserve">This manuscript addresses an important problem in domain generalization (DG) by attempting to connect feature-statistic augmentation, robust optimization, and dense weight averaging within a common causal-invariance perspective. The paper is technically ambitious, and the authors should be commended for their unusually transparent reporting of null results, the independent unified-code replication that fails to reproduce the initial PACS gain, and the use of paired statistical testing and equivalence testing. These are genuine strengths. However, several issues currently prevent the central theoretical and empirical claims from being fully supported. Most importantly, parts of Proposition 1 require mathematical re-derivation; some finite-dimensional and coverage claims in Theorem 1 need stronger justification; the relationship between latent causal content and the implemented class-conditional/prediction-consistency proxies should be clarified; and the proposed unification with weight averaging remains conditional on a strong alignment assumption that is not independently established. In addition, the two PACS batches produce opposite signs despite using the same seeds and deterministic splits, while several subsequent analyses continue to rely on the non-authoritative reference batch. Some causal and necessity claims concerning the proposed content–style validity boundary also appear stronger than what the current experiments establish. The manuscript is therefore promising, but substantial revision of the theoretical arguments, empirical interpretation, and internal consistency is needed before publication.</w:t>
      </w:r>
    </w:p>
    <w:p>
      <w:pPr>
        <w:pStyle w:val="BodyText"/>
      </w:pPr>
      <w:r>
        <w:t xml:space="preserve">We are especially grateful to Reviewer 3 for the detailed technical analysis, which located the precise mathematical defects and the unsupported claims. We address each point below.</w:t>
      </w:r>
    </w:p>
    <w:bookmarkStart w:id="43" w:name="X7cb97338e582d3e591fbf4211a8420aca1e9843"/>
    <w:p>
      <w:pPr>
        <w:pStyle w:val="Heading3"/>
      </w:pPr>
      <w:r>
        <w:t xml:space="preserve">R3-(1) Re-derive the quantitative part of Proposition 1</w:t>
      </w:r>
    </w:p>
    <w:p>
      <w:pPr>
        <w:pStyle w:val="FirstParagraph"/>
      </w:pPr>
      <w:r>
        <w:rPr>
          <w:bCs/>
          <w:b/>
        </w:rPr>
        <w:t xml:space="preserve">Comment.</w:t>
      </w:r>
      <w:r>
        <w:t xml:space="preserve"> </w:t>
      </w:r>
      <w:r>
        <w:rPr>
          <w:iCs/>
          <w:i/>
        </w:rPr>
        <w:t xml:space="preserve">Section 3.3, pp. 9–10, especially Eqs. (18)–(22). The quantitative content-preservation bound appears to rely on a problematic KL–TV conversion. Equation (20) states D_KL(P‖Q) ≤ TV(P,Q) log(1/q_min) and presents this as a standard conversion. This inequality does not hold in general as written. For example, P=(1,0) and Q=(1/2,1/2) yield D_KL(P‖Q)=log 2, whereas the proposed right-hand side equals (1/2)log 2. Since Eq. (20) is then used to derive Eq. (21), the quantitative statement of Proposition 1 is not currently established. In addition, Eq. (22) is obtained by</w:t>
      </w:r>
      <w:r>
        <w:rPr>
          <w:iCs/>
          <w:i/>
        </w:rPr>
        <w:t xml:space="preserve"> </w:t>
      </w:r>
      <w:r>
        <w:rPr>
          <w:iCs/>
          <w:i/>
        </w:rPr>
        <w:t xml:space="preserve">‘</w:t>
      </w:r>
      <w:r>
        <w:rPr>
          <w:iCs/>
          <w:i/>
        </w:rPr>
        <w:t xml:space="preserve">adding</w:t>
      </w:r>
      <w:r>
        <w:rPr>
          <w:iCs/>
          <w:i/>
        </w:rPr>
        <w:t xml:space="preserve">’</w:t>
      </w:r>
      <w:r>
        <w:rPr>
          <w:iCs/>
          <w:i/>
        </w:rPr>
        <w:t xml:space="preserve"> </w:t>
      </w:r>
      <w:r>
        <w:rPr>
          <w:iCs/>
          <w:i/>
        </w:rPr>
        <w:t xml:space="preserve">two KL contributions, although KL divergence does not satisfy a general triangle inequality. A precise intermediate-distribution argument or another valid composition result is therefore required. Please re-derive Eqs. (20)–(22) using a mathematically valid reverse-Pinsker-type bound under explicitly stated assumptions, or replace the KL argument by a divergence for which the required composition is valid. If such a derivation cannot be provided, the quantitative part of Proposition 1 and all dependent claims should be removed or substantially weakened. The revised manuscript should clearly identify which parts of Proposition 1 remain exact and which are only heuristic/empirical.</w:t>
      </w:r>
    </w:p>
    <w:p>
      <w:pPr>
        <w:pStyle w:val="BodyText"/>
      </w:pPr>
      <w:r>
        <w:rPr>
          <w:bCs/>
          <w:b/>
        </w:rPr>
        <w:t xml:space="preserve">Response (Revised manuscript, Lines 418–499).</w:t>
      </w:r>
    </w:p>
    <w:p>
      <w:pPr>
        <w:pStyle w:val="BodyText"/>
      </w:pPr>
      <w:r>
        <w:t xml:space="preserve">The counterexample is correct, and we have removed the invalid inequality. Proposition 1 is re-derived as follows: the primary bound is now a total-variation bound obtained through an explicit coupling and the data-processing inequality (exact), and the KL statement is a valid corollary using the reverse-Pinsker inequality</w:t>
      </w:r>
      <w:r>
        <w:t xml:space="preserve"> </w:t>
      </w:r>
      <m:oMath>
        <m:sSub>
          <m:e>
            <m:r>
              <m:t>D</m:t>
            </m:r>
          </m:e>
          <m:sub>
            <m:r>
              <m:rPr>
                <m:sty m:val="p"/>
              </m:rPr>
              <m:t>K</m:t>
            </m:r>
            <m:r>
              <m:rPr>
                <m:sty m:val="p"/>
              </m:rPr>
              <m:t>L</m:t>
            </m:r>
          </m:sub>
        </m:sSub>
        <m:d>
          <m:dPr>
            <m:begChr m:val="("/>
            <m:endChr m:val=")"/>
            <m:sepChr m:val=""/>
            <m:grow/>
          </m:dPr>
          <m:e>
            <m:r>
              <m:t>P</m:t>
            </m:r>
            <m:r>
              <m:rPr>
                <m:sty m:val="p"/>
              </m:rPr>
              <m:t>‖</m:t>
            </m:r>
            <m:r>
              <m:t>Q</m:t>
            </m:r>
          </m:e>
        </m:d>
        <m:r>
          <m:rPr>
            <m:sty m:val="p"/>
          </m:rPr>
          <m:t>≤</m:t>
        </m:r>
        <m:r>
          <m:rPr>
            <m:sty m:val="p"/>
          </m:rPr>
          <m:t>T</m:t>
        </m:r>
        <m:r>
          <m:rPr>
            <m:sty m:val="p"/>
          </m:rPr>
          <m:t>V</m:t>
        </m:r>
        <m:d>
          <m:dPr>
            <m:begChr m:val="("/>
            <m:endChr m:val=")"/>
            <m:sepChr m:val=""/>
            <m:grow/>
          </m:dPr>
          <m:e>
            <m:r>
              <m:t>P</m:t>
            </m:r>
            <m:r>
              <m:rPr>
                <m:sty m:val="p"/>
              </m:rPr>
              <m:t>,</m:t>
            </m:r>
            <m:r>
              <m:t>Q</m:t>
            </m:r>
          </m:e>
        </m:d>
        <m:r>
          <m:rPr>
            <m:sty m:val="p"/>
          </m:rPr>
          <m:t>/</m:t>
        </m:r>
        <m:sSub>
          <m:e>
            <m:r>
              <m:t>q</m:t>
            </m:r>
          </m:e>
          <m:sub>
            <m:r>
              <m:rPr>
                <m:sty m:val="p"/>
              </m:rPr>
              <m:t>min</m:t>
            </m:r>
          </m:sub>
        </m:sSub>
      </m:oMath>
      <w:r>
        <w:t xml:space="preserve">, which we prove in full. The two contributions are combined through the triangle inequality for total variation, so no KL triangle inequality is assumed. The proposition is organized into L1/L2-i/L2-ii/L3, which label the exact TV bound, the finite-support verification, and the parts that are heuristic or empirical.</w:t>
      </w:r>
    </w:p>
    <w:bookmarkEnd w:id="43"/>
    <w:bookmarkStart w:id="44" w:name="X2cfccf955db1c333dab885a0c38dac84bbac519"/>
    <w:p>
      <w:pPr>
        <w:pStyle w:val="Heading3"/>
      </w:pPr>
      <w:r>
        <w:t xml:space="preserve">R3-(2) Strengthen the finite-dimensional and coverage arguments in Theorem 1</w:t>
      </w:r>
    </w:p>
    <w:p>
      <w:pPr>
        <w:pStyle w:val="FirstParagraph"/>
      </w:pPr>
      <w:r>
        <w:rPr>
          <w:bCs/>
          <w:b/>
        </w:rPr>
        <w:t xml:space="preserve">Comment.</w:t>
      </w:r>
      <w:r>
        <w:t xml:space="preserve"> </w:t>
      </w:r>
      <w:r>
        <w:rPr>
          <w:iCs/>
          <w:i/>
        </w:rPr>
        <w:t xml:space="preserve">Section 3.4, pp. 11–12, Theorem 1, especially the Carathéodory and h_s statements. The manuscript invokes Carathéodory’s theorem and states that the affine-hull dimension is finite because each induced distribution P_T is indexed by a finite-dimensional channel-moment vector. Finite-dimensional parameterization alone does not generally imply that a family of probability measures has a finite-dimensional affine hull in the ambient function/measure space. In the same section, h_s is described as depending only on training-side quantities and as</w:t>
      </w:r>
      <w:r>
        <w:rPr>
          <w:iCs/>
          <w:i/>
        </w:rPr>
        <w:t xml:space="preserve"> </w:t>
      </w:r>
      <w:r>
        <w:rPr>
          <w:iCs/>
          <w:i/>
        </w:rPr>
        <w:t xml:space="preserve">‘</w:t>
      </w:r>
      <w:r>
        <w:rPr>
          <w:iCs/>
          <w:i/>
        </w:rPr>
        <w:t xml:space="preserve">directly computable at training time</w:t>
      </w:r>
      <w:r>
        <w:rPr>
          <w:iCs/>
          <w:i/>
        </w:rPr>
        <w:t xml:space="preserve">’</w:t>
      </w:r>
      <w:r>
        <w:rPr>
          <w:iCs/>
          <w:i/>
        </w:rPr>
        <w:t xml:space="preserve">, whereas the later remark states that training statistics merely monitor h_s and the family reach. These two statements are not equivalent. Please either provide an explicit finite-dimensional embedding that justifies the use of Carathéodory and the d+1 claim, or remove that part of Theorem 1. Please also define a concrete estimator or computable procedure for h_s, including how total variation between the relevant distributions is estimated from finite samples. If h_s is not directly computable, the wording should be changed from</w:t>
      </w:r>
      <w:r>
        <w:rPr>
          <w:iCs/>
          <w:i/>
        </w:rPr>
        <w:t xml:space="preserve"> </w:t>
      </w:r>
      <w:r>
        <w:rPr>
          <w:iCs/>
          <w:i/>
        </w:rPr>
        <w:t xml:space="preserve">‘</w:t>
      </w:r>
      <w:r>
        <w:rPr>
          <w:iCs/>
          <w:i/>
        </w:rPr>
        <w:t xml:space="preserve">computed</w:t>
      </w:r>
      <w:r>
        <w:rPr>
          <w:iCs/>
          <w:i/>
        </w:rPr>
        <w:t xml:space="preserve">’</w:t>
      </w:r>
      <w:r>
        <w:rPr>
          <w:iCs/>
          <w:i/>
        </w:rPr>
        <w:t xml:space="preserve"> </w:t>
      </w:r>
      <w:r>
        <w:rPr>
          <w:iCs/>
          <w:i/>
        </w:rPr>
        <w:t xml:space="preserve">to an appropriate monitoring/upper-proxy statement.</w:t>
      </w:r>
    </w:p>
    <w:p>
      <w:pPr>
        <w:pStyle w:val="BodyText"/>
      </w:pPr>
      <w:r>
        <w:rPr>
          <w:bCs/>
          <w:b/>
        </w:rPr>
        <w:t xml:space="preserve">Response (Revised manuscript, Lines 534–596).</w:t>
      </w:r>
    </w:p>
    <w:p>
      <w:pPr>
        <w:pStyle w:val="BodyText"/>
      </w:pPr>
      <w:r>
        <w:t xml:space="preserve">We agree and have removed the universal d+1 claim. Theorem 1 now uses the finite empirical convex hull with s terms (the number of empirical members), explicitly does not claim a universal d+1 bound, and notes that the moment-to-distribution map is nonlinear. An independent numerical check confirms that a one-parameter family of translated Gaussians has an infinite-dimensional affine hull (any finite number of densities are linearly independent), and that the core bound</w:t>
      </w:r>
      <w:r>
        <w:t xml:space="preserve"> </w:t>
      </w:r>
      <m:oMath>
        <m:sSub>
          <m:e>
            <m:r>
              <m:t>d</m:t>
            </m:r>
          </m:e>
          <m:sub>
            <m:r>
              <m:rPr>
                <m:sty m:val="p"/>
              </m:rPr>
              <m:t>T</m:t>
            </m:r>
            <m:r>
              <m:rPr>
                <m:sty m:val="p"/>
              </m:rPr>
              <m:t>V</m:t>
            </m:r>
          </m:sub>
        </m:sSub>
        <m:d>
          <m:dPr>
            <m:begChr m:val="("/>
            <m:endChr m:val=")"/>
            <m:sepChr m:val=""/>
            <m:grow/>
          </m:dPr>
          <m:e>
            <m:sSub>
              <m:e>
                <m:r>
                  <m:t>P</m:t>
                </m:r>
              </m:e>
              <m:sub>
                <m:r>
                  <m:t>t</m:t>
                </m:r>
                <m:r>
                  <m:t>e</m:t>
                </m:r>
              </m:sub>
            </m:sSub>
            <m:r>
              <m:rPr>
                <m:sty m:val="p"/>
              </m:rPr>
              <m:t>,</m:t>
            </m:r>
            <m:sSubSup>
              <m:e>
                <m:r>
                  <m:rPr>
                    <m:sty m:val="p"/>
                    <m:scr m:val="script"/>
                  </m:rPr>
                  <m:t>U</m:t>
                </m:r>
              </m:e>
              <m:sub>
                <m:r>
                  <m:rPr>
                    <m:sty m:val="p"/>
                    <m:scr m:val="script"/>
                  </m:rPr>
                  <m:t>A</m:t>
                </m:r>
              </m:sub>
              <m:sup>
                <m:d>
                  <m:dPr>
                    <m:begChr m:val="("/>
                    <m:endChr m:val=")"/>
                    <m:sepChr m:val=""/>
                    <m:grow/>
                  </m:dPr>
                  <m:e>
                    <m:r>
                      <m:t>s</m:t>
                    </m:r>
                  </m:e>
                </m:d>
              </m:sup>
            </m:sSubSup>
          </m:e>
        </m:d>
        <m:r>
          <m:rPr>
            <m:sty m:val="p"/>
          </m:rPr>
          <m:t>≤</m:t>
        </m:r>
        <m:r>
          <m:t>η</m:t>
        </m:r>
        <m:r>
          <m:rPr>
            <m:sty m:val="p"/>
          </m:rPr>
          <m:t>+</m:t>
        </m:r>
        <m:sSub>
          <m:e>
            <m:r>
              <m:t>h</m:t>
            </m:r>
          </m:e>
          <m:sub>
            <m:r>
              <m:t>s</m:t>
            </m:r>
          </m:sub>
        </m:sSub>
      </m:oMath>
      <w:r>
        <w:t xml:space="preserve"> </w:t>
      </w:r>
      <w:r>
        <w:t xml:space="preserve">remains valid after the change. The radius</w:t>
      </w:r>
      <w:r>
        <w:t xml:space="preserve"> </w:t>
      </w:r>
      <m:oMath>
        <m:sSub>
          <m:e>
            <m:r>
              <m:t>h</m:t>
            </m:r>
          </m:e>
          <m:sub>
            <m:r>
              <m:t>s</m:t>
            </m:r>
          </m:sub>
        </m:sSub>
      </m:oMath>
      <w:r>
        <w:t xml:space="preserve"> </w:t>
      </w:r>
      <w:r>
        <w:t xml:space="preserve">is described in the statement, proof and remark consistently as an empirical estimate: additional augmentations are sampled and the TV distance to the empirical convex hull is measured on a source holdout. The word</w:t>
      </w:r>
      <w:r>
        <w:t xml:space="preserve"> </w:t>
      </w:r>
      <w:r>
        <w:t xml:space="preserve">“</w:t>
      </w:r>
      <w:r>
        <w:t xml:space="preserve">computed</w:t>
      </w:r>
      <w:r>
        <w:t xml:space="preserve">”</w:t>
      </w:r>
      <w:r>
        <w:t xml:space="preserve"> </w:t>
      </w:r>
      <w:r>
        <w:t xml:space="preserve">is replaced by estimate/monitoring language, and the target-dependent</w:t>
      </w:r>
      <w:r>
        <w:t xml:space="preserve"> </w:t>
      </w:r>
      <m:oMath>
        <m:r>
          <m:t>η</m:t>
        </m:r>
      </m:oMath>
      <w:r>
        <w:t xml:space="preserve"> </w:t>
      </w:r>
      <w:r>
        <w:t xml:space="preserve">is stated as not identifiable without target access.</w:t>
      </w:r>
    </w:p>
    <w:bookmarkEnd w:id="44"/>
    <w:bookmarkStart w:id="45" w:name="Xcd3cfa072a62e33f7d2516d523b1c75f627911d"/>
    <w:p>
      <w:pPr>
        <w:pStyle w:val="Heading3"/>
      </w:pPr>
      <w:r>
        <w:t xml:space="preserve">R3-(3) Clarify the relationship between latent causal content and the implemented consistency proxy</w:t>
      </w:r>
    </w:p>
    <w:p>
      <w:pPr>
        <w:pStyle w:val="FirstParagraph"/>
      </w:pPr>
      <w:r>
        <w:rPr>
          <w:bCs/>
          <w:b/>
        </w:rPr>
        <w:t xml:space="preserve">Comment.</w:t>
      </w:r>
      <w:r>
        <w:t xml:space="preserve"> </w:t>
      </w:r>
      <w:r>
        <w:rPr>
          <w:iCs/>
          <w:i/>
        </w:rPr>
        <w:t xml:space="preserve">Sections 3.1–3.3, pp. 7–10, especially Eq. (5), Eq. (10), Assumption 2, Eq. (13), and Proposition 1; Section 4.7, pp. 24–25, Table 11. The theory is formulated in terms of latent content (C) and a baseline (b(C)), whereas the implementation uses a class-conditional baseline based on the observed label (Y) (or an EMA) and evaluates consistency through the model’s own predictive distributions. These quantities are not equivalent: b(Y) need not recover individual causal content, and a small prediction KL demonstrates prediction stability rather than causal-content preservation. Please clearly distinguish b(C), the class-conditional proxy b(Y), and the implemented estimator, and moderate claims that the consistency diagnostic empirically validates causal-content preservation. Unless an independent content-preservation test or a bound for the observable estimator is provided, the diagnostic should be described as prediction consistency and the residual mismatch should be explicitly acknowledged.</w:t>
      </w:r>
    </w:p>
    <w:p>
      <w:pPr>
        <w:pStyle w:val="BodyText"/>
      </w:pPr>
      <w:r>
        <w:rPr>
          <w:bCs/>
          <w:b/>
        </w:rPr>
        <w:t xml:space="preserve">Response (Revised manuscript, Lines 365, 386–392, 410, 464).</w:t>
      </w:r>
    </w:p>
    <w:p>
      <w:pPr>
        <w:pStyle w:val="BodyText"/>
      </w:pPr>
      <w:r>
        <w:t xml:space="preserve">We have made this distinction explicit. The theoretical quantity</w:t>
      </w:r>
      <w:r>
        <w:t xml:space="preserve"> </w:t>
      </w:r>
      <m:oMath>
        <m:r>
          <m:rPr>
            <m:sty m:val="b"/>
          </m:rPr>
          <m:t>b</m:t>
        </m:r>
        <m:d>
          <m:dPr>
            <m:begChr m:val="("/>
            <m:endChr m:val=")"/>
            <m:sepChr m:val=""/>
            <m:grow/>
          </m:dPr>
          <m:e>
            <m:r>
              <m:t>C</m:t>
            </m:r>
          </m:e>
        </m:d>
        <m:r>
          <m:rPr>
            <m:sty m:val="p"/>
          </m:rPr>
          <m:t>=</m:t>
        </m:r>
        <m:r>
          <m:rPr>
            <m:sty m:val="p"/>
            <m:scr m:val="double-struck"/>
          </m:rPr>
          <m:t>E</m:t>
        </m:r>
        <m:d>
          <m:dPr>
            <m:begChr m:val="["/>
            <m:endChr m:val="]"/>
            <m:sepChr m:val=""/>
            <m:grow/>
          </m:dPr>
          <m:e>
            <m:r>
              <m:rPr>
                <m:sty m:val="b"/>
              </m:rPr>
              <m:t>m</m:t>
            </m:r>
            <m:r>
              <m:rPr>
                <m:sty m:val="p"/>
              </m:rPr>
              <m:t>∣</m:t>
            </m:r>
            <m:r>
              <m:t>C</m:t>
            </m:r>
          </m:e>
        </m:d>
      </m:oMath>
      <w:r>
        <w:t xml:space="preserve"> </w:t>
      </w:r>
      <w:r>
        <w:t xml:space="preserve">is latent and is stated first; the implementation uses a proxy. A</w:t>
      </w:r>
      <w:r>
        <w:t xml:space="preserve"> </w:t>
      </w:r>
      <w:r>
        <w:t xml:space="preserve">“</w:t>
      </w:r>
      <w:r>
        <w:t xml:space="preserve">Proxy gap</w:t>
      </w:r>
      <w:r>
        <w:t xml:space="preserve">”</w:t>
      </w:r>
      <w:r>
        <w:t xml:space="preserve"> </w:t>
      </w:r>
      <w:r>
        <w:t xml:space="preserve">paragraph explains that</w:t>
      </w:r>
      <w:r>
        <w:t xml:space="preserve"> </w:t>
      </w:r>
      <m:oMath>
        <m:r>
          <m:rPr>
            <m:sty m:val="b"/>
          </m:rPr>
          <m:t>b</m:t>
        </m:r>
        <m:d>
          <m:dPr>
            <m:begChr m:val="("/>
            <m:endChr m:val=")"/>
            <m:sepChr m:val=""/>
            <m:grow/>
          </m:dPr>
          <m:e>
            <m:r>
              <m:t>Y</m:t>
            </m:r>
          </m:e>
        </m:d>
        <m:r>
          <m:rPr>
            <m:sty m:val="p"/>
          </m:rPr>
          <m:t>=</m:t>
        </m:r>
        <m:r>
          <m:rPr>
            <m:sty m:val="p"/>
            <m:scr m:val="double-struck"/>
          </m:rPr>
          <m:t>E</m:t>
        </m:r>
        <m:d>
          <m:dPr>
            <m:begChr m:val="["/>
            <m:endChr m:val="]"/>
            <m:sepChr m:val=""/>
            <m:grow/>
          </m:dPr>
          <m:e>
            <m:r>
              <m:rPr>
                <m:sty m:val="b"/>
              </m:rPr>
              <m:t>m</m:t>
            </m:r>
            <m:r>
              <m:rPr>
                <m:sty m:val="p"/>
              </m:rPr>
              <m:t>∣</m:t>
            </m:r>
            <m:r>
              <m:t>Y</m:t>
            </m:r>
          </m:e>
        </m:d>
      </m:oMath>
      <w:r>
        <w:t xml:space="preserve"> </w:t>
      </w:r>
      <w:r>
        <w:t xml:space="preserve">is a class-conditional moment that equals</w:t>
      </w:r>
      <w:r>
        <w:t xml:space="preserve"> </w:t>
      </w:r>
      <m:oMath>
        <m:r>
          <m:rPr>
            <m:sty m:val="b"/>
          </m:rPr>
          <m:t>b</m:t>
        </m:r>
        <m:d>
          <m:dPr>
            <m:begChr m:val="("/>
            <m:endChr m:val=")"/>
            <m:sepChr m:val=""/>
            <m:grow/>
          </m:dPr>
          <m:e>
            <m:r>
              <m:t>C</m:t>
            </m:r>
          </m:e>
        </m:d>
      </m:oMath>
      <w:r>
        <w:t xml:space="preserve"> </w:t>
      </w:r>
      <w:r>
        <w:t xml:space="preserve">only when within-class content is homogeneous, and that the EMA baseline is weaker still. We do not claim the proxy recovers individual causal content. The mechanism diagnostic is described as a predictive-consistency observation consistent with the prediction-stability implication of Proposition 1, not a direct verification of latent content preservation, and the residual mismatch is acknowledged. The related</w:t>
      </w:r>
      <w:r>
        <w:t xml:space="preserve"> </w:t>
      </w:r>
      <m:oMath>
        <m:sSub>
          <m:e>
            <m:r>
              <m:t>τ</m:t>
            </m:r>
          </m:e>
          <m:sub>
            <m:r>
              <m:t>Y</m:t>
            </m:r>
          </m:sub>
        </m:sSub>
        <m:r>
          <m:rPr>
            <m:sty m:val="p"/>
          </m:rPr>
          <m:t>≤</m:t>
        </m:r>
        <m:sSub>
          <m:e>
            <m:r>
              <m:t>τ</m:t>
            </m:r>
          </m:e>
          <m:sub>
            <m:r>
              <m:t>C</m:t>
            </m:r>
          </m:sub>
        </m:sSub>
      </m:oMath>
      <w:r>
        <w:t xml:space="preserve"> </w:t>
      </w:r>
      <w:r>
        <w:t xml:space="preserve">relationship is verified numerically on a synthetic model, with</w:t>
      </w:r>
      <w:r>
        <w:t xml:space="preserve"> </w:t>
      </w:r>
      <m:oMath>
        <m:sSub>
          <m:e>
            <m:r>
              <m:t>τ</m:t>
            </m:r>
          </m:e>
          <m:sub>
            <m:r>
              <m:t>Y</m:t>
            </m:r>
          </m:sub>
        </m:sSub>
      </m:oMath>
      <w:r>
        <w:t xml:space="preserve"> </w:t>
      </w:r>
      <w:r>
        <w:t xml:space="preserve">explicitly a lower bound.</w:t>
      </w:r>
    </w:p>
    <w:bookmarkEnd w:id="45"/>
    <w:bookmarkStart w:id="46" w:name="X48ae09e7a46341e69c42492739fd03f116ac235"/>
    <w:p>
      <w:pPr>
        <w:pStyle w:val="Heading3"/>
      </w:pPr>
      <w:r>
        <w:t xml:space="preserve">R3-(4) Substantiate or revise Assumption 3 and the claimed unification with weight averaging</w:t>
      </w:r>
    </w:p>
    <w:p>
      <w:pPr>
        <w:pStyle w:val="FirstParagraph"/>
      </w:pPr>
      <w:r>
        <w:rPr>
          <w:bCs/>
          <w:b/>
        </w:rPr>
        <w:t xml:space="preserve">Comment.</w:t>
      </w:r>
      <w:r>
        <w:t xml:space="preserve"> </w:t>
      </w:r>
      <w:r>
        <w:rPr>
          <w:iCs/>
          <w:i/>
        </w:rPr>
        <w:t xml:space="preserve">Section 3.5, pp. 13–15, Assumption 3 and Theorem 2; related claims in the Title, Abstract, Introduction, and Conclusion. Theorem 2 establishes that a weight-averaged network approximates its own trajectory ensemble to second order within a local parameter neighborhood. The connection between that trajectory ensemble and predictors induced by the CIFA augmentation family depends critically on Assumption 3. This is a central modeling assumption but is not independently validated. The statement that weight averaging is</w:t>
      </w:r>
      <w:r>
        <w:rPr>
          <w:iCs/>
          <w:i/>
        </w:rPr>
        <w:t xml:space="preserve"> </w:t>
      </w:r>
      <w:r>
        <w:rPr>
          <w:iCs/>
          <w:i/>
        </w:rPr>
        <w:t xml:space="preserve">‘</w:t>
      </w:r>
      <w:r>
        <w:rPr>
          <w:iCs/>
          <w:i/>
        </w:rPr>
        <w:t xml:space="preserve">orthogonal to the direction of domain shift</w:t>
      </w:r>
      <w:r>
        <w:rPr>
          <w:iCs/>
          <w:i/>
        </w:rPr>
        <w:t xml:space="preserve">’</w:t>
      </w:r>
      <w:r>
        <w:rPr>
          <w:iCs/>
          <w:i/>
        </w:rPr>
        <w:t xml:space="preserve"> </w:t>
      </w:r>
      <w:r>
        <w:rPr>
          <w:iCs/>
          <w:i/>
        </w:rPr>
        <w:t xml:space="preserve">also appears difficult to reconcile with an alignment assumption that interprets checkpoints as samples from an augmentation-induced predictor distribution. Please provide an empirical validation of trajectory–augmentation alignment, for example by comparing prediction covariance, feature similarity, or gradient similarity across multiple CIFA-augmented views and multiple checkpoints inside the SWAD window. If this alignment cannot be justified theoretically or empirically, the claims of</w:t>
      </w:r>
      <w:r>
        <w:rPr>
          <w:iCs/>
          <w:i/>
        </w:rPr>
        <w:t xml:space="preserve"> </w:t>
      </w:r>
      <w:r>
        <w:rPr>
          <w:iCs/>
          <w:i/>
        </w:rPr>
        <w:t xml:space="preserve">‘</w:t>
      </w:r>
      <w:r>
        <w:rPr>
          <w:iCs/>
          <w:i/>
        </w:rPr>
        <w:t xml:space="preserve">theoretical unification</w:t>
      </w:r>
      <w:r>
        <w:rPr>
          <w:iCs/>
          <w:i/>
        </w:rPr>
        <w:t xml:space="preserve">’</w:t>
      </w:r>
      <w:r>
        <w:rPr>
          <w:iCs/>
          <w:i/>
        </w:rPr>
        <w:t xml:space="preserve"> </w:t>
      </w:r>
      <w:r>
        <w:rPr>
          <w:iCs/>
          <w:i/>
        </w:rPr>
        <w:t xml:space="preserve">should be moderated throughout the manuscript, and the relevant wording in the title should be reconsidered.</w:t>
      </w:r>
    </w:p>
    <w:p>
      <w:pPr>
        <w:pStyle w:val="BodyText"/>
      </w:pPr>
      <w:r>
        <w:rPr>
          <w:bCs/>
          <w:b/>
        </w:rPr>
        <w:t xml:space="preserve">Response (Revised manuscript, Lines 644–673).</w:t>
      </w:r>
    </w:p>
    <w:p>
      <w:pPr>
        <w:pStyle w:val="BodyText"/>
      </w:pPr>
      <w:r>
        <w:t xml:space="preserve">We have added an empirical alignment study. Over two PACS target domains and four seeds per domain (16 runs), in the prediction space the nearest-neighbor ratio is 1.23 for SWAD checkpoints versus 2.14 for ERM (8/8, paired</w:t>
      </w:r>
      <w:r>
        <w:t xml:space="preserve"> </w:t>
      </w:r>
      <m:oMath>
        <m:r>
          <m:t>p</m:t>
        </m:r>
        <m:r>
          <m:rPr>
            <m:sty m:val="p"/>
          </m:rPr>
          <m:t>=</m:t>
        </m:r>
        <m:r>
          <m:t>0.000005</m:t>
        </m:r>
      </m:oMath>
      <w:r>
        <w:t xml:space="preserve">) and the mean prediction KL is 0.036 versus 0.072 (8/8,</w:t>
      </w:r>
      <w:r>
        <w:t xml:space="preserve"> </w:t>
      </w:r>
      <m:oMath>
        <m:r>
          <m:t>p</m:t>
        </m:r>
        <m:r>
          <m:rPr>
            <m:sty m:val="p"/>
          </m:rPr>
          <m:t>=</m:t>
        </m:r>
        <m:r>
          <m:t>0.0004</m:t>
        </m:r>
      </m:oMath>
      <w:r>
        <w:t xml:space="preserve">). In the feature space, the SWAD-to-augmentation distance is 39% (layer 1) and 47% (layer 2) of the ERM distance (8/8, paired</w:t>
      </w:r>
      <w:r>
        <w:t xml:space="preserve"> </w:t>
      </w:r>
      <m:oMath>
        <m:r>
          <m:t>p</m:t>
        </m:r>
        <m:r>
          <m:rPr>
            <m:sty m:val="p"/>
          </m:rPr>
          <m:t>&lt;</m:t>
        </m:r>
        <m:sSup>
          <m:e>
            <m:r>
              <m:t>10</m:t>
            </m:r>
          </m:e>
          <m:sup>
            <m:r>
              <m:rPr>
                <m:sty m:val="p"/>
              </m:rPr>
              <m:t>−</m:t>
            </m:r>
            <m:r>
              <m:t>6</m:t>
            </m:r>
          </m:sup>
        </m:sSup>
      </m:oMath>
      <w:r>
        <w:t xml:space="preserve">, Cohen’s</w:t>
      </w:r>
      <w:r>
        <w:t xml:space="preserve"> </w:t>
      </w:r>
      <m:oMath>
        <m:r>
          <m:t>d</m:t>
        </m:r>
        <m:r>
          <m:rPr>
            <m:sty m:val="p"/>
          </m:rPr>
          <m:t>≈</m:t>
        </m:r>
        <m:r>
          <m:rPr>
            <m:sty m:val="p"/>
          </m:rPr>
          <m:t>−</m:t>
        </m:r>
        <m:r>
          <m:t>8.7</m:t>
        </m:r>
      </m:oMath>
      <w:r>
        <w:t xml:space="preserve">); the feature-moment KL is in the same direction (Wilcoxon</w:t>
      </w:r>
      <w:r>
        <w:t xml:space="preserve"> </w:t>
      </w:r>
      <m:oMath>
        <m:r>
          <m:t>p</m:t>
        </m:r>
        <m:r>
          <m:rPr>
            <m:sty m:val="p"/>
          </m:rPr>
          <m:t>=</m:t>
        </m:r>
        <m:r>
          <m:t>0.008</m:t>
        </m:r>
      </m:oMath>
      <w:r>
        <w:t xml:space="preserve">), while CKA agrees in direction with a 1–3% absolute difference. We also state four limitations: only two PACS domains, a short SWAD window, an augmentation dispersion (0.017) much smaller than the trajectory dispersion (0.155) so this is coverage rather than distributional equality, and no causal proof. Assumption 3 is therefore presented as an empirically supported assumption rather than a proven theorem. Because the alignment is now empirically supported within these limits, we retain the word</w:t>
      </w:r>
      <w:r>
        <w:t xml:space="preserve"> </w:t>
      </w:r>
      <w:r>
        <w:t xml:space="preserve">“</w:t>
      </w:r>
      <w:r>
        <w:t xml:space="preserve">Unifying</w:t>
      </w:r>
      <w:r>
        <w:t xml:space="preserve">”</w:t>
      </w:r>
      <w:r>
        <w:t xml:space="preserve"> </w:t>
      </w:r>
      <w:r>
        <w:t xml:space="preserve">in the title, but the unification claims throughout the abstract, introduction and conclusion are qualified as conditional on Assumptions 1–3 rather than assumption-free.</w:t>
      </w:r>
    </w:p>
    <w:bookmarkEnd w:id="46"/>
    <w:bookmarkStart w:id="47" w:name="X2aadeed5ca5db7963ee8b11a83af8e4cc0eb9ae"/>
    <w:p>
      <w:pPr>
        <w:pStyle w:val="Heading3"/>
      </w:pPr>
      <w:r>
        <w:t xml:space="preserve">R3-(5) Reconsider the pooled Batch 1 + Batch 2 analysis and explain the replication discrepancy</w:t>
      </w:r>
    </w:p>
    <w:p>
      <w:pPr>
        <w:pStyle w:val="FirstParagraph"/>
      </w:pPr>
      <w:r>
        <w:rPr>
          <w:bCs/>
          <w:b/>
        </w:rPr>
        <w:t xml:space="preserve">Comment.</w:t>
      </w:r>
      <w:r>
        <w:t xml:space="preserve"> </w:t>
      </w:r>
      <w:r>
        <w:rPr>
          <w:iCs/>
          <w:i/>
        </w:rPr>
        <w:t xml:space="preserve">Section 4.1, p. 18; Tables 3–4 on p. 19; related interpretation in Sections 4.2–4.3. Batch 1 gives +0.99 percentage points for CIFA over SWAD on PACS, whereas Batch 2 reverses the sign to −0.57 using the same ten seed identifiers and deterministic splits. The manuscript then pools the two batches as twenty observations. Because the same seeds and splits are reused, the twenty values are not obviously independent experimental units. Treating them as n=20 without accounting for repeated seeds or implementation/batch effects may understate uncertainty. Please (1) provide a concrete technical explanation for the Batch 1/Batch 2 divergence; (2) re-analyze the pooled comparison using a repeated-seed or hierarchical/mixed-effects formulation, or otherwise justify independence; and (3) clearly identify the unified implementation as authoritative for all downstream PACS claims. If independence cannot be defended, do not present the pooled result as a simple n=20 analysis.</w:t>
      </w:r>
    </w:p>
    <w:p>
      <w:pPr>
        <w:pStyle w:val="BodyText"/>
      </w:pPr>
      <w:r>
        <w:rPr>
          <w:bCs/>
          <w:b/>
        </w:rPr>
        <w:t xml:space="preserve">Response (Revised manuscript, Lines 879–892).</w:t>
      </w:r>
    </w:p>
    <w:p>
      <w:pPr>
        <w:pStyle w:val="BodyText"/>
      </w:pPr>
      <w:r>
        <w:t xml:space="preserve">All three requests are met. (1) The disagreement is a batch effect: the overall fixed batch effect is</w:t>
      </w:r>
      <w:r>
        <w:t xml:space="preserve"> </w:t>
      </w:r>
      <m:oMath>
        <m:r>
          <m:rPr>
            <m:sty m:val="p"/>
          </m:rPr>
          <m:t>−</m:t>
        </m:r>
        <m:r>
          <m:t>1.56</m:t>
        </m:r>
      </m:oMath>
      <w:r>
        <w:t xml:space="preserve"> </w:t>
      </w:r>
      <w:r>
        <w:t xml:space="preserve">points (</w:t>
      </w:r>
      <m:oMath>
        <m:r>
          <m:t>t</m:t>
        </m:r>
        <m:r>
          <m:rPr>
            <m:sty m:val="p"/>
          </m:rPr>
          <m:t>=</m:t>
        </m:r>
        <m:r>
          <m:rPr>
            <m:sty m:val="p"/>
          </m:rPr>
          <m:t>−</m:t>
        </m:r>
        <m:r>
          <m:t>4.10</m:t>
        </m:r>
      </m:oMath>
      <w:r>
        <w:t xml:space="preserve">,</w:t>
      </w:r>
      <w:r>
        <w:t xml:space="preserve"> </w:t>
      </w:r>
      <m:oMath>
        <m:r>
          <m:t>p</m:t>
        </m:r>
        <m:r>
          <m:rPr>
            <m:sty m:val="p"/>
          </m:rPr>
          <m:t>=</m:t>
        </m:r>
        <m:r>
          <m:t>0.0027</m:t>
        </m:r>
      </m:oMath>
      <w:r>
        <w:t xml:space="preserve">; pooled ANOVA</w:t>
      </w:r>
      <w:r>
        <w:t xml:space="preserve"> </w:t>
      </w:r>
      <m:oMath>
        <m:r>
          <m:t>p</m:t>
        </m:r>
        <m:r>
          <m:rPr>
            <m:sty m:val="p"/>
          </m:rPr>
          <m:t>=</m:t>
        </m:r>
        <m:r>
          <m:t>0.0061</m:t>
        </m:r>
      </m:oMath>
      <w:r>
        <w:t xml:space="preserve">, mixed-effects</w:t>
      </w:r>
      <w:r>
        <w:t xml:space="preserve"> </w:t>
      </w:r>
      <m:oMath>
        <m:r>
          <m:t>p</m:t>
        </m:r>
        <m:r>
          <m:rPr>
            <m:sty m:val="p"/>
          </m:rPr>
          <m:t>=</m:t>
        </m:r>
        <m:r>
          <m:t>0.0013</m:t>
        </m:r>
      </m:oMath>
      <w:r>
        <w:t xml:space="preserve">), with a Sketch effect of</w:t>
      </w:r>
      <w:r>
        <w:t xml:space="preserve"> </w:t>
      </w:r>
      <m:oMath>
        <m:r>
          <m:rPr>
            <m:sty m:val="p"/>
          </m:rPr>
          <m:t>+</m:t>
        </m:r>
        <m:r>
          <m:t>1.70</m:t>
        </m:r>
      </m:oMath>
      <w:r>
        <w:t xml:space="preserve"> </w:t>
      </w:r>
      <w:r>
        <w:t xml:space="preserve">(</w:t>
      </w:r>
      <m:oMath>
        <m:r>
          <m:t>p</m:t>
        </m:r>
        <m:r>
          <m:rPr>
            <m:sty m:val="p"/>
          </m:rPr>
          <m:t>=</m:t>
        </m:r>
        <m:r>
          <m:t>0.013</m:t>
        </m:r>
      </m:oMath>
      <w:r>
        <w:t xml:space="preserve">) and an own-worst batch effect of</w:t>
      </w:r>
      <w:r>
        <w:t xml:space="preserve"> </w:t>
      </w:r>
      <m:oMath>
        <m:r>
          <m:rPr>
            <m:sty m:val="p"/>
          </m:rPr>
          <m:t>−</m:t>
        </m:r>
        <m:r>
          <m:t>3.63</m:t>
        </m:r>
      </m:oMath>
      <w:r>
        <w:t xml:space="preserve"> </w:t>
      </w:r>
      <w:r>
        <w:t xml:space="preserve">(</w:t>
      </w:r>
      <m:oMath>
        <m:r>
          <m:t>p</m:t>
        </m:r>
        <m:r>
          <m:rPr>
            <m:sty m:val="p"/>
          </m:rPr>
          <m:t>=</m:t>
        </m:r>
        <m:r>
          <m:t>0.041</m:t>
        </m:r>
      </m:oMath>
      <w:r>
        <w:t xml:space="preserve">); none of the 40 cells is bit-identical because cuDNN determinism was not locked and the persistent-worker setting changed the augmentation RNG. (2) The mixed-effects re-analysis gives an intraclass correlation of zero and zero random-effect variance, with within-seed correlation</w:t>
      </w:r>
      <w:r>
        <w:t xml:space="preserve"> </w:t>
      </w:r>
      <m:oMath>
        <m:r>
          <m:rPr>
            <m:sty m:val="p"/>
          </m:rPr>
          <m:t>−</m:t>
        </m:r>
        <m:r>
          <m:t>0.27</m:t>
        </m:r>
      </m:oMath>
      <w:r>
        <w:t xml:space="preserve"> </w:t>
      </w:r>
      <w:r>
        <w:t xml:space="preserve">(</w:t>
      </w:r>
      <m:oMath>
        <m:r>
          <m:t>p</m:t>
        </m:r>
        <m:r>
          <m:rPr>
            <m:sty m:val="p"/>
          </m:rPr>
          <m:t>=</m:t>
        </m:r>
        <m:r>
          <m:t>0.45</m:t>
        </m:r>
      </m:oMath>
      <w:r>
        <w:t xml:space="preserve">); the equivalence conclusion holds under the mixed model at</w:t>
      </w:r>
      <w:r>
        <w:t xml:space="preserve"> </w:t>
      </w:r>
      <m:oMath>
        <m:r>
          <m:rPr>
            <m:sty m:val="p"/>
          </m:rPr>
          <m:t>±</m:t>
        </m:r>
        <m:r>
          <m:t>1</m:t>
        </m:r>
      </m:oMath>
      <w:r>
        <w:t xml:space="preserve"> </w:t>
      </w:r>
      <w:r>
        <w:t xml:space="preserve">point (</w:t>
      </w:r>
      <m:oMath>
        <m:r>
          <m:t>p</m:t>
        </m:r>
        <m:r>
          <m:rPr>
            <m:sty m:val="p"/>
          </m:rPr>
          <m:t>=</m:t>
        </m:r>
        <m:r>
          <m:t>0.0025</m:t>
        </m:r>
      </m:oMath>
      <w:r>
        <w:t xml:space="preserve"> </w:t>
      </w:r>
      <w:r>
        <w:t xml:space="preserve">pooled,</w:t>
      </w:r>
      <w:r>
        <w:t xml:space="preserve"> </w:t>
      </w:r>
      <m:oMath>
        <m:r>
          <m:t>p</m:t>
        </m:r>
        <m:r>
          <m:rPr>
            <m:sty m:val="p"/>
          </m:rPr>
          <m:t>=</m:t>
        </m:r>
        <m:r>
          <m:t>0.0013</m:t>
        </m:r>
      </m:oMath>
      <w:r>
        <w:t xml:space="preserve"> </w:t>
      </w:r>
      <w:r>
        <w:t xml:space="preserve">macro). (3) The unified-code batch is designated authoritative for all PACS claims, and the pooled analysis is reported with the repeated-seed structure rather than as a naive</w:t>
      </w:r>
      <w:r>
        <w:t xml:space="preserve"> </w:t>
      </w:r>
      <m:oMath>
        <m:r>
          <m:t>n</m:t>
        </m:r>
        <m:r>
          <m:rPr>
            <m:sty m:val="p"/>
          </m:rPr>
          <m:t>=</m:t>
        </m:r>
        <m:r>
          <m:t>20</m:t>
        </m:r>
      </m:oMath>
      <w:r>
        <w:t xml:space="preserve">.</w:t>
      </w:r>
    </w:p>
    <w:bookmarkEnd w:id="47"/>
    <w:bookmarkStart w:id="48" w:name="X72cff435a00920e90ca4716cc8cd6bd33e02b6b"/>
    <w:p>
      <w:pPr>
        <w:pStyle w:val="Heading3"/>
      </w:pPr>
      <w:r>
        <w:t xml:space="preserve">R3-(6) Use the authoritative unified codebase consistently in figures and robustness analyses</w:t>
      </w:r>
    </w:p>
    <w:p>
      <w:pPr>
        <w:pStyle w:val="FirstParagraph"/>
      </w:pPr>
      <w:r>
        <w:rPr>
          <w:bCs/>
          <w:b/>
        </w:rPr>
        <w:t xml:space="preserve">Comment.</w:t>
      </w:r>
      <w:r>
        <w:t xml:space="preserve"> </w:t>
      </w:r>
      <w:r>
        <w:rPr>
          <w:iCs/>
          <w:i/>
        </w:rPr>
        <w:t xml:space="preserve">Sections 4.2–4.7, pp. 19–26; Tables 5, 6, 10, 12, 13 and Figure 1. The manuscript explicitly describes Table 4 as the authoritative unified-code PACS comparison, yet several later PACS results still use the reference batch: Table 5 retains the +3.14 Sketch difference, Table 6 retains the +2.70 own-worst difference, Figure 1 visualizes the reference-batch domain effects, and Table 10 reports an R50/5000 comparison that is not numerically aligned with the authoritative Table 4. This creates an internally mixed evidential narrative. Please recompute all PACS figures, per-domain tables, robustness checks, and any component comparison intended to support the final claims using the unified implementation, or clearly label non-authoritative results as exploratory legacy/reference-batch analyses. The main text should not alternate between batches when drawing a single substantive conclusion.</w:t>
      </w:r>
    </w:p>
    <w:p>
      <w:pPr>
        <w:pStyle w:val="BodyText"/>
      </w:pPr>
      <w:r>
        <w:rPr>
          <w:bCs/>
          <w:b/>
        </w:rPr>
        <w:t xml:space="preserve">Response (Revised manuscript, Lines 922, 928, 1020, 1032, 1114).</w:t>
      </w:r>
    </w:p>
    <w:p>
      <w:pPr>
        <w:pStyle w:val="BodyText"/>
      </w:pPr>
      <w:r>
        <w:t xml:space="preserve">The PACS rows of the main table, the classic-baseline table (Line 928), the per-domain table (Line 922), the pairwise-difference figure (Line 1020) and the own-worst table (Line 1032) are all on the unified-code batch: overall</w:t>
      </w:r>
      <w:r>
        <w:t xml:space="preserve"> </w:t>
      </w:r>
      <m:oMath>
        <m:r>
          <m:rPr>
            <m:sty m:val="p"/>
          </m:rPr>
          <m:t>−</m:t>
        </m:r>
        <m:r>
          <m:t>0.57</m:t>
        </m:r>
      </m:oMath>
      <w:r>
        <w:t xml:space="preserve">, per-domain Art</w:t>
      </w:r>
      <w:r>
        <w:t xml:space="preserve"> </w:t>
      </w:r>
      <m:oMath>
        <m:r>
          <m:rPr>
            <m:sty m:val="p"/>
          </m:rPr>
          <m:t>−</m:t>
        </m:r>
        <m:r>
          <m:t>1.2</m:t>
        </m:r>
      </m:oMath>
      <w:r>
        <w:t xml:space="preserve"> </w:t>
      </w:r>
      <w:r>
        <w:t xml:space="preserve">/ Cartoon</w:t>
      </w:r>
      <w:r>
        <w:t xml:space="preserve"> </w:t>
      </w:r>
      <m:oMath>
        <m:r>
          <m:rPr>
            <m:sty m:val="p"/>
          </m:rPr>
          <m:t>−</m:t>
        </m:r>
        <m:r>
          <m:t>0.5</m:t>
        </m:r>
      </m:oMath>
      <w:r>
        <w:t xml:space="preserve"> </w:t>
      </w:r>
      <w:r>
        <w:t xml:space="preserve">/ Photo</w:t>
      </w:r>
      <w:r>
        <w:t xml:space="preserve"> </w:t>
      </w:r>
      <m:oMath>
        <m:r>
          <m:rPr>
            <m:sty m:val="p"/>
          </m:rPr>
          <m:t>+</m:t>
        </m:r>
        <m:r>
          <m:t>0.1</m:t>
        </m:r>
      </m:oMath>
      <w:r>
        <w:t xml:space="preserve"> </w:t>
      </w:r>
      <w:r>
        <w:t xml:space="preserve">/ Sketch</w:t>
      </w:r>
      <w:r>
        <w:t xml:space="preserve"> </w:t>
      </w:r>
      <m:oMath>
        <m:r>
          <m:rPr>
            <m:sty m:val="p"/>
          </m:rPr>
          <m:t>−</m:t>
        </m:r>
        <m:r>
          <m:t>0.6</m:t>
        </m:r>
      </m:oMath>
      <w:r>
        <w:t xml:space="preserve">, and own-worst</w:t>
      </w:r>
      <w:r>
        <w:t xml:space="preserve"> </w:t>
      </w:r>
      <m:oMath>
        <m:r>
          <m:rPr>
            <m:sty m:val="p"/>
          </m:rPr>
          <m:t>−</m:t>
        </m:r>
        <m:r>
          <m:t>0.93</m:t>
        </m:r>
      </m:oMath>
      <w:r>
        <w:t xml:space="preserve">. We also corrected the caption of the pairwise-difference figure, which previously stated that gains concentrated on PACS Sketch although the unified data show all four PACS domains near zero or slightly negative. The early five-seed backbone/budget table (Line 1114) is explicitly marked in its caption as an exploratory reference-implementation ablation, with a pointer to the authoritative main table for the default setting (</w:t>
      </w:r>
      <m:oMath>
        <m:r>
          <m:rPr>
            <m:sty m:val="p"/>
          </m:rPr>
          <m:t>−</m:t>
        </m:r>
        <m:r>
          <m:t>0.57</m:t>
        </m:r>
      </m:oMath>
      <w:r>
        <w:t xml:space="preserve">/</w:t>
      </w:r>
      <m:oMath>
        <m:r>
          <m:rPr>
            <m:sty m:val="p"/>
          </m:rPr>
          <m:t>−</m:t>
        </m:r>
        <m:r>
          <m:t>0.93</m:t>
        </m:r>
      </m:oMath>
      <w:r>
        <w:t xml:space="preserve">). The narrative no longer alternates between batches.</w:t>
      </w:r>
    </w:p>
    <w:bookmarkEnd w:id="48"/>
    <w:bookmarkStart w:id="49" w:name="X8d743882ab18902cb2481df450d106b27c0215d"/>
    <w:p>
      <w:pPr>
        <w:pStyle w:val="Heading3"/>
      </w:pPr>
      <w:r>
        <w:t xml:space="preserve">R3-(7) Moderate and substantiate the proposed content–style validity boundary</w:t>
      </w:r>
    </w:p>
    <w:p>
      <w:pPr>
        <w:pStyle w:val="FirstParagraph"/>
      </w:pPr>
      <w:r>
        <w:rPr>
          <w:bCs/>
          <w:b/>
        </w:rPr>
        <w:t xml:space="preserve">Comment.</w:t>
      </w:r>
      <w:r>
        <w:t xml:space="preserve"> </w:t>
      </w:r>
      <w:r>
        <w:rPr>
          <w:iCs/>
          <w:i/>
        </w:rPr>
        <w:t xml:space="preserve">Section 4.2, p. 21 (OfficeHome interpretation); Section 4.4, p. 23, especially Table 9 and the discussion of VLCS; Section 5.1, p. 27 (Validity Boundary of CIFA). The manuscript interprets the different behaviors observed across PACS, VLCS, OfficeHome, and TerraIncognita in terms of a content–style validity boundary. This interpretation is plausible and potentially informative, but some statements currently go beyond what the experiments establish. In particular, the manuscript states that class-conditional style-moment separability is a</w:t>
      </w:r>
      <w:r>
        <w:rPr>
          <w:iCs/>
          <w:i/>
        </w:rPr>
        <w:t xml:space="preserve"> </w:t>
      </w:r>
      <w:r>
        <w:rPr>
          <w:iCs/>
          <w:i/>
        </w:rPr>
        <w:t xml:space="preserve">“</w:t>
      </w:r>
      <w:r>
        <w:rPr>
          <w:iCs/>
          <w:i/>
        </w:rPr>
        <w:t xml:space="preserve">necessary rather than sufficient condition</w:t>
      </w:r>
      <w:r>
        <w:rPr>
          <w:iCs/>
          <w:i/>
        </w:rPr>
        <w:t xml:space="preserve">”</w:t>
      </w:r>
      <w:r>
        <w:rPr>
          <w:iCs/>
          <w:i/>
        </w:rPr>
        <w:t xml:space="preserve"> </w:t>
      </w:r>
      <w:r>
        <w:rPr>
          <w:iCs/>
          <w:i/>
        </w:rPr>
        <w:t xml:space="preserve">and attributes the PACS–VLCS contrast to the data rather than to CIFA’s design. However, the four-benchmark evidence does not establish necessity, and the failure of MixStyle and DSU to improve VLCS cannot uniquely identify the dataset as the cause of the null result, since alternative explanations such as layer selection, moment estimation, minibatch construction, optimization, or limitations shared by feature-statistic methods remain possible. A related issue arises for OfficeHome: with 65 classes, the class-prototype baseline is estimated from relatively few instances per class, and the manuscript itself notes that the style deviation is not cleanly separable from content. This makes the validity-boundary interpretation partly dependent on the quality of the class-conditional proxy. Please moderate the causal and necessity claims unless additional source-only evidence is provided. In particular, replace</w:t>
      </w:r>
      <w:r>
        <w:rPr>
          <w:iCs/>
          <w:i/>
        </w:rPr>
        <w:t xml:space="preserve"> </w:t>
      </w:r>
      <w:r>
        <w:rPr>
          <w:iCs/>
          <w:i/>
        </w:rPr>
        <w:t xml:space="preserve">“</w:t>
      </w:r>
      <w:r>
        <w:rPr>
          <w:iCs/>
          <w:i/>
        </w:rPr>
        <w:t xml:space="preserve">necessary condition</w:t>
      </w:r>
      <w:r>
        <w:rPr>
          <w:iCs/>
          <w:i/>
        </w:rPr>
        <w:t xml:space="preserve">”</w:t>
      </w:r>
      <w:r>
        <w:rPr>
          <w:iCs/>
          <w:i/>
        </w:rPr>
        <w:t xml:space="preserve"> </w:t>
      </w:r>
      <w:r>
        <w:rPr>
          <w:iCs/>
          <w:i/>
        </w:rPr>
        <w:t xml:space="preserve">by a more cautious formulation such as</w:t>
      </w:r>
      <w:r>
        <w:rPr>
          <w:iCs/>
          <w:i/>
        </w:rPr>
        <w:t xml:space="preserve"> </w:t>
      </w:r>
      <w:r>
        <w:rPr>
          <w:iCs/>
          <w:i/>
        </w:rPr>
        <w:t xml:space="preserve">“</w:t>
      </w:r>
      <w:r>
        <w:rPr>
          <w:iCs/>
          <w:i/>
        </w:rPr>
        <w:t xml:space="preserve">an enabling condition suggested by the theoretical model and the observed experiments,</w:t>
      </w:r>
      <w:r>
        <w:rPr>
          <w:iCs/>
          <w:i/>
        </w:rPr>
        <w:t xml:space="preserve">”</w:t>
      </w:r>
      <w:r>
        <w:rPr>
          <w:iCs/>
          <w:i/>
        </w:rPr>
        <w:t xml:space="preserve"> </w:t>
      </w:r>
      <w:r>
        <w:rPr>
          <w:iCs/>
          <w:i/>
        </w:rPr>
        <w:t xml:space="preserve">and describe the VLCS findings as being</w:t>
      </w:r>
      <w:r>
        <w:rPr>
          <w:iCs/>
          <w:i/>
        </w:rPr>
        <w:t xml:space="preserve"> </w:t>
      </w:r>
      <w:r>
        <w:rPr>
          <w:iCs/>
          <w:i/>
        </w:rPr>
        <w:t xml:space="preserve">“</w:t>
      </w:r>
      <w:r>
        <w:rPr>
          <w:iCs/>
          <w:i/>
        </w:rPr>
        <w:t xml:space="preserve">consistent with the hypothesis that VLCS contains less exploitable style-moment structure under the tested setup,</w:t>
      </w:r>
      <w:r>
        <w:rPr>
          <w:iCs/>
          <w:i/>
        </w:rPr>
        <w:t xml:space="preserve">”</w:t>
      </w:r>
      <w:r>
        <w:rPr>
          <w:iCs/>
          <w:i/>
        </w:rPr>
        <w:t xml:space="preserve"> </w:t>
      </w:r>
      <w:r>
        <w:rPr>
          <w:iCs/>
          <w:i/>
        </w:rPr>
        <w:t xml:space="preserve">rather than as demonstrating that the null result originates from the dataset itself. If the authors wish to retain the stronger validity-boundary claim, a source-only quantitative separability diagnostic should be provided and related to the observed behavior across benchmarks.</w:t>
      </w:r>
    </w:p>
    <w:p>
      <w:pPr>
        <w:pStyle w:val="BodyText"/>
      </w:pPr>
      <w:r>
        <w:rPr>
          <w:bCs/>
          <w:b/>
        </w:rPr>
        <w:t xml:space="preserve">Response (Revised manuscript, Lines 150, 1012, 1017, 1087, 1129, 1233, 1265, 1277, 1291).</w:t>
      </w:r>
    </w:p>
    <w:p>
      <w:pPr>
        <w:pStyle w:val="BodyText"/>
      </w:pPr>
      <w:r>
        <w:t xml:space="preserve">We have adopted the requested wording.</w:t>
      </w:r>
      <w:r>
        <w:t xml:space="preserve"> </w:t>
      </w:r>
      <w:r>
        <w:t xml:space="preserve">“</w:t>
      </w:r>
      <w:r>
        <w:t xml:space="preserve">Necessary/prerequisite</w:t>
      </w:r>
      <w:r>
        <w:t xml:space="preserve">”</w:t>
      </w:r>
      <w:r>
        <w:t xml:space="preserve"> </w:t>
      </w:r>
      <w:r>
        <w:t xml:space="preserve">is replaced throughout by</w:t>
      </w:r>
      <w:r>
        <w:t xml:space="preserve"> </w:t>
      </w:r>
      <w:r>
        <w:t xml:space="preserve">“</w:t>
      </w:r>
      <w:r>
        <w:t xml:space="preserve">enabling condition</w:t>
      </w:r>
      <w:r>
        <w:t xml:space="preserve">”</w:t>
      </w:r>
      <w:r>
        <w:t xml:space="preserve"> </w:t>
      </w:r>
      <w:r>
        <w:t xml:space="preserve">(Lines 150, 1233, 1277, 1291). The VLCS result is described as consistent with the hypothesis that VLCS contains less exploitable style-moment structure under the tested setup, rather than as proof that the dataset is the unique cause (Lines 1087, 1265); the alternative explanations (layer choice, moment estimation, minibatch, optimization, and limitations shared by feature-statistic methods) are acknowledged. The OfficeHome interpretation acknowledges the class-prototype estimation limits for its 65 classes (Lines 1012, 1017). We also provide the requested source-only quantitative separability diagnostic (Section 4.7, Line 1129): on PACS the style deviation carries about 26 times more energy than the class baseline and is linearly separable across domains, whereas on OfficeHome the ratio is about 7 and the class-separated style deviation is limited. This diagnostic is labeled exploratory and target-free, not a pre-registered confirmation.</w:t>
      </w:r>
    </w:p>
    <w:bookmarkEnd w:id="49"/>
    <w:bookmarkStart w:id="50" w:name="X6879854a4d58cdcd84e25f59bfe53ebbff92de8"/>
    <w:p>
      <w:pPr>
        <w:pStyle w:val="Heading3"/>
      </w:pPr>
      <w:r>
        <w:t xml:space="preserve">R3-(8) Justify the second-order Taylor argument for ReLU/BatchNorm networks</w:t>
      </w:r>
    </w:p>
    <w:p>
      <w:pPr>
        <w:pStyle w:val="FirstParagraph"/>
      </w:pPr>
      <w:r>
        <w:rPr>
          <w:bCs/>
          <w:b/>
        </w:rPr>
        <w:t xml:space="preserve">Comment.</w:t>
      </w:r>
      <w:r>
        <w:t xml:space="preserve"> </w:t>
      </w:r>
      <w:r>
        <w:rPr>
          <w:iCs/>
          <w:i/>
        </w:rPr>
        <w:t xml:space="preserve">Section 3.5, p. 14, Theorem 2 and its proof. The proof relies on a second-order Taylor expansion of the predictor map along the segment between the averaged parameters and each checkpoint. The text states that for ReLU or BatchNorm the required regularity holds except at non-differentiable points of measure zero. However, a line segment in parameter space may cross activation-region boundaries, and a standard single-point second-order Taylor remainder is not automatically justified merely because the non-differentiable set has measure zero. Please state a sufficient smoothness assumption under which the theorem is valid, provide a piecewise/integral generalized argument, or restrict the formal theorem to smooth networks and present the ReLU interpretation as an approximation. The present wording is too strong mathematically.</w:t>
      </w:r>
    </w:p>
    <w:p>
      <w:pPr>
        <w:pStyle w:val="BodyText"/>
      </w:pPr>
      <w:r>
        <w:rPr>
          <w:bCs/>
          <w:b/>
        </w:rPr>
        <w:t xml:space="preserve">Response (Revised manuscript, Lines 673, 677, 684, 703, 1490).</w:t>
      </w:r>
    </w:p>
    <w:p>
      <w:pPr>
        <w:pStyle w:val="BodyText"/>
      </w:pPr>
      <w:r>
        <w:t xml:space="preserve">Theorem 2 now assumes twice continuous differentiability (hypothesis (c), Line 677), with an explicit note that ReLU/BatchNorm networks are piecewise C</w:t>
      </w:r>
      <m:oMath>
        <m:sSup>
          <m:e>
            <m:r>
              <m:t>​</m:t>
            </m:r>
          </m:e>
          <m:sup>
            <m:r>
              <m:t>2</m:t>
            </m:r>
          </m:sup>
        </m:sSup>
      </m:oMath>
      <w:r>
        <w:t xml:space="preserve"> </w:t>
      </w:r>
      <w:r>
        <w:t xml:space="preserve">and that a segment may cross activation boundaries (Line 684). The proof is written in integral form, and where the line segment crosses an activation boundary it adds an explicit kink term</w:t>
      </w:r>
      <w:r>
        <w:t xml:space="preserve"> </w:t>
      </w:r>
      <m:oMath>
        <m:d>
          <m:dPr>
            <m:begChr m:val="("/>
            <m:endChr m:val=")"/>
            <m:sepChr m:val=""/>
            <m:grow/>
          </m:dPr>
          <m:e>
            <m:r>
              <m:t>1</m:t>
            </m:r>
            <m:r>
              <m:rPr>
                <m:sty m:val="p"/>
              </m:rPr>
              <m:t>−</m:t>
            </m:r>
            <m:sSub>
              <m:e>
                <m:r>
                  <m:t>s</m:t>
                </m:r>
              </m:e>
              <m:sub>
                <m:r>
                  <m:t>i</m:t>
                </m:r>
              </m:sub>
            </m:sSub>
          </m:e>
        </m:d>
        <m:sSup>
          <m:e>
            <m:d>
              <m:dPr>
                <m:begChr m:val="["/>
                <m:endChr m:val="]"/>
                <m:sepChr m:val=""/>
                <m:grow/>
              </m:dPr>
              <m:e>
                <m:r>
                  <m:rPr>
                    <m:sty m:val="p"/>
                  </m:rPr>
                  <m:t>∇</m:t>
                </m:r>
                <m:r>
                  <m:t>h</m:t>
                </m:r>
                <m:d>
                  <m:dPr>
                    <m:begChr m:val="("/>
                    <m:endChr m:val=")"/>
                    <m:sepChr m:val=""/>
                    <m:grow/>
                  </m:dPr>
                  <m:e>
                    <m:r>
                      <m:t>γ</m:t>
                    </m:r>
                    <m:d>
                      <m:dPr>
                        <m:begChr m:val="("/>
                        <m:endChr m:val=")"/>
                        <m:sepChr m:val=""/>
                        <m:grow/>
                      </m:dPr>
                      <m:e>
                        <m:sSub>
                          <m:e>
                            <m:r>
                              <m:t>s</m:t>
                            </m:r>
                          </m:e>
                          <m:sub>
                            <m:r>
                              <m:t>i</m:t>
                            </m:r>
                          </m:sub>
                        </m:sSub>
                        <m:r>
                          <m:rPr>
                            <m:sty m:val="p"/>
                          </m:rPr>
                          <m:t>+</m:t>
                        </m:r>
                      </m:e>
                    </m:d>
                  </m:e>
                </m:d>
                <m:r>
                  <m:rPr>
                    <m:sty m:val="p"/>
                  </m:rPr>
                  <m:t>−</m:t>
                </m:r>
                <m:r>
                  <m:rPr>
                    <m:sty m:val="p"/>
                  </m:rPr>
                  <m:t>∇</m:t>
                </m:r>
                <m:r>
                  <m:t>h</m:t>
                </m:r>
                <m:d>
                  <m:dPr>
                    <m:begChr m:val="("/>
                    <m:endChr m:val=")"/>
                    <m:sepChr m:val=""/>
                    <m:grow/>
                  </m:dPr>
                  <m:e>
                    <m:r>
                      <m:t>γ</m:t>
                    </m:r>
                    <m:d>
                      <m:dPr>
                        <m:begChr m:val="("/>
                        <m:endChr m:val=")"/>
                        <m:sepChr m:val=""/>
                        <m:grow/>
                      </m:dPr>
                      <m:e>
                        <m:sSub>
                          <m:e>
                            <m:r>
                              <m:t>s</m:t>
                            </m:r>
                          </m:e>
                          <m:sub>
                            <m:r>
                              <m:t>i</m:t>
                            </m:r>
                          </m:sub>
                        </m:sSub>
                        <m:r>
                          <m:rPr>
                            <m:sty m:val="p"/>
                          </m:rPr>
                          <m:t>−</m:t>
                        </m:r>
                      </m:e>
                    </m:d>
                  </m:e>
                </m:d>
              </m:e>
            </m:d>
          </m:e>
          <m:sup>
            <m:r>
              <m:rPr>
                <m:sty m:val="p"/>
              </m:rPr>
              <m:t>⊤</m:t>
            </m:r>
          </m:sup>
        </m:sSup>
        <m:r>
          <m:t>Δ</m:t>
        </m:r>
      </m:oMath>
      <w:r>
        <w:t xml:space="preserve"> </w:t>
      </w:r>
      <w:r>
        <w:t xml:space="preserve">(Line 703); the prediction and loss bounds carry an additional</w:t>
      </w:r>
      <w:r>
        <w:t xml:space="preserve"> </w:t>
      </w:r>
      <m:oMath>
        <m:sSub>
          <m:e>
            <m:r>
              <m:t>ε</m:t>
            </m:r>
          </m:e>
          <m:sub>
            <m:r>
              <m:rPr>
                <m:sty m:val="p"/>
              </m:rPr>
              <m:t>k</m:t>
            </m:r>
            <m:r>
              <m:rPr>
                <m:sty m:val="p"/>
              </m:rPr>
              <m:t>i</m:t>
            </m:r>
            <m:r>
              <m:rPr>
                <m:sty m:val="p"/>
              </m:rPr>
              <m:t>n</m:t>
            </m:r>
            <m:r>
              <m:rPr>
                <m:sty m:val="p"/>
              </m:rPr>
              <m:t>k</m:t>
            </m:r>
          </m:sub>
        </m:sSub>
      </m:oMath>
      <w:r>
        <w:t xml:space="preserve"> </w:t>
      </w:r>
      <w:r>
        <w:t xml:space="preserve">(the loss bound carries</w:t>
      </w:r>
      <w:r>
        <w:t xml:space="preserve"> </w:t>
      </w:r>
      <m:oMath>
        <m:sSub>
          <m:e>
            <m:r>
              <m:t>L</m:t>
            </m:r>
          </m:e>
          <m:sub>
            <m:r>
              <m:rPr>
                <m:sty m:val="p"/>
              </m:rPr>
              <m:t>ℓ</m:t>
            </m:r>
          </m:sub>
        </m:sSub>
        <m:sSub>
          <m:e>
            <m:r>
              <m:t>ε</m:t>
            </m:r>
          </m:e>
          <m:sub>
            <m:r>
              <m:rPr>
                <m:sty m:val="p"/>
              </m:rPr>
              <m:t>k</m:t>
            </m:r>
            <m:r>
              <m:rPr>
                <m:sty m:val="p"/>
              </m:rPr>
              <m:t>i</m:t>
            </m:r>
            <m:r>
              <m:rPr>
                <m:sty m:val="p"/>
              </m:rPr>
              <m:t>n</m:t>
            </m:r>
            <m:r>
              <m:rPr>
                <m:sty m:val="p"/>
              </m:rPr>
              <m:t>k</m:t>
            </m:r>
          </m:sub>
        </m:sSub>
      </m:oMath>
      <w:r>
        <w:t xml:space="preserve">). The theorem is exact under strict C</w:t>
      </w:r>
      <m:oMath>
        <m:sSup>
          <m:e>
            <m:r>
              <m:t>​</m:t>
            </m:r>
          </m:e>
          <m:sup>
            <m:r>
              <m:t>2</m:t>
            </m:r>
          </m:sup>
        </m:sSup>
      </m:oMath>
      <w:r>
        <w:t xml:space="preserve"> </w:t>
      </w:r>
      <w:r>
        <w:t xml:space="preserve">and is stated as an approximation for ReLU networks, consistent with the float64 evidence (Line 1490, Table A4): the kink sequence is bounded and relatively small (about 7–8% of the logit scale) and dominates the smooth within-cell term (</w:t>
      </w:r>
      <m:oMath>
        <m:r>
          <m:rPr>
            <m:sty m:val="p"/>
          </m:rPr>
          <m:t>∼</m:t>
        </m:r>
        <m:sSup>
          <m:e>
            <m:r>
              <m:t>10</m:t>
            </m:r>
          </m:e>
          <m:sup>
            <m:r>
              <m:rPr>
                <m:sty m:val="p"/>
              </m:rPr>
              <m:t>−</m:t>
            </m:r>
            <m:r>
              <m:t>13</m:t>
            </m:r>
          </m:sup>
        </m:sSup>
      </m:oMath>
      <w:r>
        <w:t xml:space="preserve">). An independent numerical check confirms that the single-point Lagrange remainder misses the kink while the integral form with the kink term reconstructs it exactly.</w:t>
      </w:r>
    </w:p>
    <w:bookmarkEnd w:id="50"/>
    <w:bookmarkStart w:id="51" w:name="X72a914e43a9c1a8fded796e60bbf264593a94a7"/>
    <w:p>
      <w:pPr>
        <w:pStyle w:val="Heading3"/>
      </w:pPr>
      <w:r>
        <w:t xml:space="preserve">R3-(9) Clarify the behavior of SWAD when the averaging window contains zero checkpoints</w:t>
      </w:r>
    </w:p>
    <w:p>
      <w:pPr>
        <w:pStyle w:val="FirstParagraph"/>
      </w:pPr>
      <w:r>
        <w:rPr>
          <w:bCs/>
          <w:b/>
        </w:rPr>
        <w:t xml:space="preserve">Comment.</w:t>
      </w:r>
      <w:r>
        <w:t xml:space="preserve"> </w:t>
      </w:r>
      <w:r>
        <w:rPr>
          <w:iCs/>
          <w:i/>
        </w:rPr>
        <w:t xml:space="preserve">Section 4.7, p. 25,</w:t>
      </w:r>
      <w:r>
        <w:rPr>
          <w:iCs/>
          <w:i/>
        </w:rPr>
        <w:t xml:space="preserve"> </w:t>
      </w:r>
      <w:r>
        <w:rPr>
          <w:iCs/>
          <w:i/>
        </w:rPr>
        <w:t xml:space="preserve">“</w:t>
      </w:r>
      <w:r>
        <w:rPr>
          <w:iCs/>
          <w:i/>
        </w:rPr>
        <w:t xml:space="preserve">Controlling for checkpoint count</w:t>
      </w:r>
      <w:r>
        <w:rPr>
          <w:iCs/>
          <w:i/>
        </w:rPr>
        <w:t xml:space="preserve">”</w:t>
      </w:r>
      <w:r>
        <w:rPr>
          <w:iCs/>
          <w:i/>
        </w:rPr>
        <w:t xml:space="preserve">. The manuscript reports that 22/40 CIFA runs and 16/40 SWAD runs on TerraIncognita average zero checkpoints. Since dense weight averaging is central to the method, the behavior in this case should be clarified. Please specify the exact fallback predictor used when the averaging window is empty and indicate how many reported results rely on this fallback. If relevant, add a brief sensitivity check showing whether the conclusions change when zero-checkpoint runs are excluded.</w:t>
      </w:r>
    </w:p>
    <w:p>
      <w:pPr>
        <w:pStyle w:val="BodyText"/>
      </w:pPr>
      <w:r>
        <w:rPr>
          <w:bCs/>
          <w:b/>
        </w:rPr>
        <w:t xml:space="preserve">Response (Revised manuscript, Lines 1167, 1178, 1182).</w:t>
      </w:r>
    </w:p>
    <w:p>
      <w:pPr>
        <w:pStyle w:val="BodyText"/>
      </w:pPr>
      <w:r>
        <w:t xml:space="preserve">The fallback is specified: when the window contains zero checkpoints, the code does not load averaged weights and uses the final-epoch model directly (Line 1178). This occurs only on TerraIncognita (CIFA 22/40, SWAD 16/40); the other benchmarks have no such cells. The sensitivity check (Line 1182) shows that the 15 cells in which both arms actually average checkpoints read</w:t>
      </w:r>
      <w:r>
        <w:t xml:space="preserve"> </w:t>
      </w:r>
      <m:oMath>
        <m:r>
          <m:rPr>
            <m:sty m:val="p"/>
          </m:rPr>
          <m:t>−</m:t>
        </m:r>
        <m:r>
          <m:t>0.14</m:t>
        </m:r>
      </m:oMath>
      <w:r>
        <w:t xml:space="preserve"> </w:t>
      </w:r>
      <w:r>
        <w:t xml:space="preserve">(</w:t>
      </w:r>
      <m:oMath>
        <m:r>
          <m:t>p</m:t>
        </m:r>
        <m:r>
          <m:rPr>
            <m:sty m:val="p"/>
          </m:rPr>
          <m:t>=</m:t>
        </m:r>
        <m:r>
          <m:t>0.94</m:t>
        </m:r>
      </m:oMath>
      <w:r>
        <w:t xml:space="preserve">), the 13 both-zero cells read</w:t>
      </w:r>
      <w:r>
        <w:t xml:space="preserve"> </w:t>
      </w:r>
      <m:oMath>
        <m:r>
          <m:rPr>
            <m:sty m:val="p"/>
          </m:rPr>
          <m:t>+</m:t>
        </m:r>
        <m:r>
          <m:t>1.67</m:t>
        </m:r>
      </m:oMath>
      <w:r>
        <w:t xml:space="preserve">, and the 17 equal-count cells read</w:t>
      </w:r>
      <w:r>
        <w:t xml:space="preserve"> </w:t>
      </w:r>
      <m:oMath>
        <m:r>
          <m:rPr>
            <m:sty m:val="p"/>
          </m:rPr>
          <m:t>+</m:t>
        </m:r>
        <m:r>
          <m:t>1.44</m:t>
        </m:r>
      </m:oMath>
      <w:r>
        <w:t xml:space="preserve">; none is significant, so the null conclusion on Terra does not change.</w:t>
      </w:r>
    </w:p>
    <w:bookmarkEnd w:id="51"/>
    <w:bookmarkStart w:id="52" w:name="X89800b6a71bd95d69b2c3fc1fb22520a7f2e543"/>
    <w:p>
      <w:pPr>
        <w:pStyle w:val="Heading3"/>
      </w:pPr>
      <w:r>
        <w:t xml:space="preserve">R3-(10) Substantiate the</w:t>
      </w:r>
      <w:r>
        <w:t xml:space="preserve"> </w:t>
      </w:r>
      <w:r>
        <w:t xml:space="preserve">‘</w:t>
      </w:r>
      <w:r>
        <w:t xml:space="preserve">backbone-agnostic</w:t>
      </w:r>
      <w:r>
        <w:t xml:space="preserve">’</w:t>
      </w:r>
      <w:r>
        <w:t xml:space="preserve"> </w:t>
      </w:r>
      <w:r>
        <w:t xml:space="preserve">claim beyond the ResNet family</w:t>
      </w:r>
    </w:p>
    <w:p>
      <w:pPr>
        <w:pStyle w:val="FirstParagraph"/>
      </w:pPr>
      <w:r>
        <w:rPr>
          <w:bCs/>
          <w:b/>
        </w:rPr>
        <w:t xml:space="preserve">Comment.</w:t>
      </w:r>
      <w:r>
        <w:t xml:space="preserve"> </w:t>
      </w:r>
      <w:r>
        <w:rPr>
          <w:iCs/>
          <w:i/>
        </w:rPr>
        <w:t xml:space="preserve">Abstract, Section 1, Section 3.6, and Section 4.6 (p. 24). The paper repeatedly describes CIFA as backbone-agnostic, but the experiments use ResNet-50 and ResNet-18, which are architecturally closely related. This does not empirically establish robustness across substantially different backbone families. Please either add at least one paired experiment using a structurally different modern architecture (e.g., ConvNeXt or ViT/DeiT) in the unified codebase, or qualify</w:t>
      </w:r>
      <w:r>
        <w:rPr>
          <w:iCs/>
          <w:i/>
        </w:rPr>
        <w:t xml:space="preserve"> </w:t>
      </w:r>
      <w:r>
        <w:rPr>
          <w:iCs/>
          <w:i/>
        </w:rPr>
        <w:t xml:space="preserve">‘</w:t>
      </w:r>
      <w:r>
        <w:rPr>
          <w:iCs/>
          <w:i/>
        </w:rPr>
        <w:t xml:space="preserve">backbone-agnostic</w:t>
      </w:r>
      <w:r>
        <w:rPr>
          <w:iCs/>
          <w:i/>
        </w:rPr>
        <w:t xml:space="preserve">’</w:t>
      </w:r>
      <w:r>
        <w:rPr>
          <w:iCs/>
          <w:i/>
        </w:rPr>
        <w:t xml:space="preserve"> </w:t>
      </w:r>
      <w:r>
        <w:rPr>
          <w:iCs/>
          <w:i/>
        </w:rPr>
        <w:t xml:space="preserve">as an implementation/design property rather than an empirically demonstrated cross-architecture result.</w:t>
      </w:r>
    </w:p>
    <w:p>
      <w:pPr>
        <w:pStyle w:val="BodyText"/>
      </w:pPr>
      <w:r>
        <w:rPr>
          <w:bCs/>
          <w:b/>
        </w:rPr>
        <w:t xml:space="preserve">Response (Revised manuscript, Lines 119, 153, 740, 1478).</w:t>
      </w:r>
    </w:p>
    <w:p>
      <w:pPr>
        <w:pStyle w:val="BodyText"/>
      </w:pPr>
      <w:r>
        <w:t xml:space="preserve">We added ViT-B/16 paired experiments (Appendix B, Line 1478). On PACS, end-to-end ViT (block 6, five seeds) gives CIFA–SWAD equivalence (</w:t>
      </w:r>
      <m:oMath>
        <m:r>
          <m:rPr>
            <m:sty m:val="p"/>
          </m:rPr>
          <m:t>+</m:t>
        </m:r>
        <m:r>
          <m:t>0.55</m:t>
        </m:r>
      </m:oMath>
      <w:r>
        <w:t xml:space="preserve">, all per-domain</w:t>
      </w:r>
      <w:r>
        <w:t xml:space="preserve"> </w:t>
      </w:r>
      <m:oMath>
        <m:r>
          <m:t>p</m:t>
        </m:r>
        <m:r>
          <m:rPr>
            <m:sty m:val="p"/>
          </m:rPr>
          <m:t>&gt;</m:t>
        </m:r>
        <m:r>
          <m:t>0.1</m:t>
        </m:r>
      </m:oMath>
      <w:r>
        <w:t xml:space="preserve">), CIFA exceeds ERM by</w:t>
      </w:r>
      <w:r>
        <w:t xml:space="preserve"> </w:t>
      </w:r>
      <m:oMath>
        <m:r>
          <m:t>7.35</m:t>
        </m:r>
      </m:oMath>
      <w:r>
        <w:t xml:space="preserve"> </w:t>
      </w:r>
      <w:r>
        <w:t xml:space="preserve">(88.41 vs 81.06), and a CLIP ViT-B/16 linear probe gives an identical overall (</w:t>
      </w:r>
      <m:oMath>
        <m:r>
          <m:rPr>
            <m:sty m:val="p"/>
          </m:rPr>
          <m:t>−</m:t>
        </m:r>
        <m:r>
          <m:t>0.006</m:t>
        </m:r>
        <m:r>
          <m:rPr>
            <m:sty m:val="p"/>
          </m:rPr>
          <m:t>±</m:t>
        </m:r>
        <m:r>
          <m:t>0.077</m:t>
        </m:r>
      </m:oMath>
      <w:r>
        <w:t xml:space="preserve">). On VLCS, ViT gives CIFA–ERM</w:t>
      </w:r>
      <w:r>
        <w:t xml:space="preserve"> </w:t>
      </w:r>
      <m:oMath>
        <m:r>
          <m:rPr>
            <m:sty m:val="p"/>
          </m:rPr>
          <m:t>+</m:t>
        </m:r>
        <m:r>
          <m:t>2.89</m:t>
        </m:r>
      </m:oMath>
      <w:r>
        <w:t xml:space="preserve"> </w:t>
      </w:r>
      <w:r>
        <w:t xml:space="preserve">overall and</w:t>
      </w:r>
      <w:r>
        <w:t xml:space="preserve"> </w:t>
      </w:r>
      <m:oMath>
        <m:r>
          <m:rPr>
            <m:sty m:val="p"/>
          </m:rPr>
          <m:t>+</m:t>
        </m:r>
        <m:r>
          <m:t>3.39</m:t>
        </m:r>
      </m:oMath>
      <w:r>
        <w:t xml:space="preserve"> </w:t>
      </w:r>
      <w:r>
        <w:t xml:space="preserve">on the worst domain. A layer ablation (block 3/6/9) differs by</w:t>
      </w:r>
      <w:r>
        <w:t xml:space="preserve"> </w:t>
      </w:r>
      <m:oMath>
        <m:r>
          <m:rPr>
            <m:sty m:val="p"/>
          </m:rPr>
          <m:t>&lt;</m:t>
        </m:r>
        <m:r>
          <m:t>1</m:t>
        </m:r>
      </m:oMath>
      <w:r>
        <w:t xml:space="preserve"> </w:t>
      </w:r>
      <w:r>
        <w:t xml:space="preserve">point. We nevertheless qualify</w:t>
      </w:r>
      <w:r>
        <w:t xml:space="preserve"> </w:t>
      </w:r>
      <w:r>
        <w:t xml:space="preserve">“</w:t>
      </w:r>
      <w:r>
        <w:t xml:space="preserve">backbone-agnostic</w:t>
      </w:r>
      <w:r>
        <w:t xml:space="preserve">”</w:t>
      </w:r>
      <w:r>
        <w:t xml:space="preserve"> </w:t>
      </w:r>
      <w:r>
        <w:t xml:space="preserve">as a design property (Lines 119, 153, 740:</w:t>
      </w:r>
      <w:r>
        <w:t xml:space="preserve"> </w:t>
      </w:r>
      <w:r>
        <w:t xml:space="preserve">“</w:t>
      </w:r>
      <w:r>
        <w:t xml:space="preserve">designed to be backbone-agnostic</w:t>
      </w:r>
      <w:r>
        <w:t xml:space="preserve">”</w:t>
      </w:r>
      <w:r>
        <w:t xml:space="preserve">) supported by cross-architecture evidence, not an exhaustively proven empirical claim.</w:t>
      </w:r>
    </w:p>
    <w:bookmarkEnd w:id="52"/>
    <w:bookmarkStart w:id="53" w:name="X608347278f3edf50eecb8a94d521dd16aeb9944"/>
    <w:p>
      <w:pPr>
        <w:pStyle w:val="Heading3"/>
      </w:pPr>
      <w:r>
        <w:t xml:space="preserve">R3-(11) Justify the equivalence margin used in TOST</w:t>
      </w:r>
    </w:p>
    <w:p>
      <w:pPr>
        <w:pStyle w:val="FirstParagraph"/>
      </w:pPr>
      <w:r>
        <w:rPr>
          <w:bCs/>
          <w:b/>
        </w:rPr>
        <w:t xml:space="preserve">Comment.</w:t>
      </w:r>
      <w:r>
        <w:t xml:space="preserve"> </w:t>
      </w:r>
      <w:r>
        <w:rPr>
          <w:iCs/>
          <w:i/>
        </w:rPr>
        <w:t xml:space="preserve">Section 4.1, p. 18,</w:t>
      </w:r>
      <w:r>
        <w:rPr>
          <w:iCs/>
          <w:i/>
        </w:rPr>
        <w:t xml:space="preserve"> </w:t>
      </w:r>
      <w:r>
        <w:rPr>
          <w:iCs/>
          <w:i/>
        </w:rPr>
        <w:t xml:space="preserve">‘</w:t>
      </w:r>
      <w:r>
        <w:rPr>
          <w:iCs/>
          <w:i/>
        </w:rPr>
        <w:t xml:space="preserve">Practical-equivalence tests</w:t>
      </w:r>
      <w:r>
        <w:rPr>
          <w:iCs/>
          <w:i/>
        </w:rPr>
        <w:t xml:space="preserve">’</w:t>
      </w:r>
      <w:r>
        <w:rPr>
          <w:iCs/>
          <w:i/>
        </w:rPr>
        <w:t xml:space="preserve">. Using TOST is methodologically preferable to interpreting a non-significant superiority test as evidence of equivalence. However, the practical-equivalence margin of ±1 percentage point is central to the conclusion that CIFA is equivalent to SWAD and several baselines, yet the manuscript does not provide a domain-specific rationale for why one percentage point should be considered practically negligible. Please justify the ±1 point margin using prior DG literature, benchmark variability, or a pre-defined practical criterion. A sensitivity analysis using more than one equivalence margin (e.g., ±0.5, ±1.0, ±2.0 points) would make the conclusion substantially more transparent.</w:t>
      </w:r>
    </w:p>
    <w:p>
      <w:pPr>
        <w:pStyle w:val="BodyText"/>
      </w:pPr>
      <w:r>
        <w:rPr>
          <w:bCs/>
          <w:b/>
        </w:rPr>
        <w:t xml:space="preserve">Response (Revised manuscript, Lines 903, 904, 1497).</w:t>
      </w:r>
    </w:p>
    <w:p>
      <w:pPr>
        <w:pStyle w:val="BodyText"/>
      </w:pPr>
      <w:r>
        <w:t xml:space="preserve">We justify the one-point margin by benchmark variability: under our protocol the same arm’s overall seed-to-seed standard deviation ranges from 0.4 to 2.1 points across the four benchmarks, so a one-point contrast lies within the run-to-run noise and is treated as practically negligible (Line 904). We report a sensitivity ladder at</w:t>
      </w:r>
      <w:r>
        <w:t xml:space="preserve"> </w:t>
      </w:r>
      <m:oMath>
        <m:r>
          <m:rPr>
            <m:sty m:val="p"/>
          </m:rPr>
          <m:t>±</m:t>
        </m:r>
        <m:r>
          <m:t>0.5</m:t>
        </m:r>
      </m:oMath>
      <w:r>
        <w:t xml:space="preserve">,</w:t>
      </w:r>
      <w:r>
        <w:t xml:space="preserve"> </w:t>
      </w:r>
      <m:oMath>
        <m:r>
          <m:rPr>
            <m:sty m:val="p"/>
          </m:rPr>
          <m:t>±</m:t>
        </m:r>
        <m:r>
          <m:t>1</m:t>
        </m:r>
      </m:oMath>
      <w:r>
        <w:t xml:space="preserve">, and</w:t>
      </w:r>
      <w:r>
        <w:t xml:space="preserve"> </w:t>
      </w:r>
      <m:oMath>
        <m:r>
          <m:rPr>
            <m:sty m:val="p"/>
          </m:rPr>
          <m:t>±</m:t>
        </m:r>
        <m:r>
          <m:t>2</m:t>
        </m:r>
      </m:oMath>
      <w:r>
        <w:t xml:space="preserve"> </w:t>
      </w:r>
      <w:r>
        <w:t xml:space="preserve">points (Line 903), with the TOST</w:t>
      </w:r>
      <w:r>
        <w:t xml:space="preserve"> </w:t>
      </w:r>
      <m:oMath>
        <m:r>
          <m:t>p</m:t>
        </m:r>
      </m:oMath>
      <w:r>
        <w:t xml:space="preserve">-values for the confirmatory overall macro difference tabulated in Appendix Table A6 (Line 1497): equivalence is robust at the wide</w:t>
      </w:r>
      <w:r>
        <w:t xml:space="preserve"> </w:t>
      </w:r>
      <m:oMath>
        <m:r>
          <m:rPr>
            <m:sty m:val="p"/>
          </m:rPr>
          <m:t>±</m:t>
        </m:r>
        <m:r>
          <m:t>2</m:t>
        </m:r>
      </m:oMath>
      <w:r>
        <w:t xml:space="preserve"> </w:t>
      </w:r>
      <w:r>
        <w:t xml:space="preserve">margin on every benchmark (Terra borderline at</w:t>
      </w:r>
      <w:r>
        <w:t xml:space="preserve"> </w:t>
      </w:r>
      <m:oMath>
        <m:r>
          <m:t>p</m:t>
        </m:r>
        <m:r>
          <m:rPr>
            <m:sty m:val="p"/>
          </m:rPr>
          <m:t>=</m:t>
        </m:r>
        <m:r>
          <m:t>0.052</m:t>
        </m:r>
      </m:oMath>
      <w:r>
        <w:t xml:space="preserve">), holds at</w:t>
      </w:r>
      <w:r>
        <w:t xml:space="preserve"> </w:t>
      </w:r>
      <m:oMath>
        <m:r>
          <m:rPr>
            <m:sty m:val="p"/>
          </m:rPr>
          <m:t>±</m:t>
        </m:r>
        <m:r>
          <m:t>1</m:t>
        </m:r>
      </m:oMath>
      <w:r>
        <w:t xml:space="preserve"> </w:t>
      </w:r>
      <w:r>
        <w:t xml:space="preserve">on pooled PACS, VLCS, and OfficeHome, and at the narrow</w:t>
      </w:r>
      <w:r>
        <w:t xml:space="preserve"> </w:t>
      </w:r>
      <m:oMath>
        <m:r>
          <m:rPr>
            <m:sty m:val="p"/>
          </m:rPr>
          <m:t>±</m:t>
        </m:r>
        <m:r>
          <m:t>0.5</m:t>
        </m:r>
      </m:oMath>
      <w:r>
        <w:t xml:space="preserve"> </w:t>
      </w:r>
      <w:r>
        <w:t xml:space="preserve">margin only on VLCS and OfficeHome. Every value was independently recomputed from the raw seed JSON.</w:t>
      </w:r>
    </w:p>
    <w:bookmarkEnd w:id="53"/>
    <w:bookmarkStart w:id="54" w:name="r3-12-minor-revisions"/>
    <w:p>
      <w:pPr>
        <w:pStyle w:val="Heading3"/>
      </w:pPr>
      <w:r>
        <w:t xml:space="preserve">R3-(12) Minor revisions</w:t>
      </w:r>
    </w:p>
    <w:p>
      <w:pPr>
        <w:pStyle w:val="FirstParagraph"/>
      </w:pPr>
      <w:r>
        <w:rPr>
          <w:bCs/>
          <w:b/>
        </w:rPr>
        <w:t xml:space="preserve">Comment.</w:t>
      </w:r>
    </w:p>
    <w:p>
      <w:pPr>
        <w:pStyle w:val="BodyText"/>
      </w:pPr>
      <w:r>
        <w:rPr>
          <w:iCs/>
          <w:i/>
        </w:rPr>
        <w:t xml:space="preserve">a. Abbreviations (p. 30): Correct RSC from</w:t>
      </w:r>
      <w:r>
        <w:rPr>
          <w:iCs/>
          <w:i/>
        </w:rPr>
        <w:t xml:space="preserve"> </w:t>
      </w:r>
      <w:r>
        <w:rPr>
          <w:iCs/>
          <w:i/>
        </w:rPr>
        <w:t xml:space="preserve">‘</w:t>
      </w:r>
      <w:r>
        <w:rPr>
          <w:iCs/>
          <w:i/>
        </w:rPr>
        <w:t xml:space="preserve">Randomized Style Confusion</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Representation Self-Challenging</w:t>
      </w:r>
      <w:r>
        <w:rPr>
          <w:iCs/>
          <w:i/>
        </w:rPr>
        <w:t xml:space="preserve">’</w:t>
      </w:r>
      <w:r>
        <w:rPr>
          <w:iCs/>
          <w:i/>
        </w:rPr>
        <w:t xml:space="preserve">. Correct SWAD to</w:t>
      </w:r>
      <w:r>
        <w:rPr>
          <w:iCs/>
          <w:i/>
        </w:rPr>
        <w:t xml:space="preserve"> </w:t>
      </w:r>
      <w:r>
        <w:rPr>
          <w:iCs/>
          <w:i/>
        </w:rPr>
        <w:t xml:space="preserve">‘</w:t>
      </w:r>
      <w:r>
        <w:rPr>
          <w:iCs/>
          <w:i/>
        </w:rPr>
        <w:t xml:space="preserve">Stochastic Weight Averaging Densely</w:t>
      </w:r>
      <w:r>
        <w:rPr>
          <w:iCs/>
          <w:i/>
        </w:rPr>
        <w:t xml:space="preserve">’</w:t>
      </w:r>
      <w:r>
        <w:rPr>
          <w:iCs/>
          <w:i/>
        </w:rPr>
        <w:t xml:space="preserve">.</w:t>
      </w:r>
    </w:p>
    <w:p>
      <w:pPr>
        <w:pStyle w:val="BodyText"/>
      </w:pPr>
      <w:r>
        <w:rPr>
          <w:iCs/>
          <w:i/>
        </w:rPr>
        <w:t xml:space="preserve">b. Cross-references (throughout): Replace Roman-numeral cross-references inherited from another template (e.g., Section III-B, III-F, IV, IV-E, V; Table IX) with the final Electronics section/table numbering. The outline at the end of Section 1 should also be checked against the actual final structure.</w:t>
      </w:r>
    </w:p>
    <w:p>
      <w:pPr>
        <w:pStyle w:val="BodyText"/>
      </w:pPr>
      <w:r>
        <w:rPr>
          <w:iCs/>
          <w:i/>
        </w:rPr>
        <w:t xml:space="preserve">c. CORAL description (Section 2.2, p. 5; experimental use in Section 4.2, p. 19): The related-work text states that CORAL and DANN require target access because they were developed for domain adaptation, yet CORAL is later used as a target-free DG baseline in the unified experiment. Please distinguish the original domain-adaptation formulation from source-domain CORAL variants used in DG.</w:t>
      </w:r>
    </w:p>
    <w:p>
      <w:pPr>
        <w:pStyle w:val="BodyText"/>
      </w:pPr>
      <w:r>
        <w:rPr>
          <w:iCs/>
          <w:i/>
        </w:rPr>
        <w:t xml:space="preserve">d. Computational overhead (Section 4.1, p. 17): The paper reports that SWAD requires approximately the same wall-clock time as CIFA and roughly twice ERM, while also stating that CIFA’s only overhead over SWAD is the second forward pass on augmentation steps. Please explain why SWAD is approximately twice as slow as ERM if its primary additional operation is checkpoint averaging.</w:t>
      </w:r>
    </w:p>
    <w:p>
      <w:pPr>
        <w:pStyle w:val="BodyText"/>
      </w:pPr>
      <w:r>
        <w:rPr>
          <w:bCs/>
          <w:b/>
        </w:rPr>
        <w:t xml:space="preserve">Response (Revised manuscript, Lines 157, 304, 822, 1393, 1494).</w:t>
      </w:r>
    </w:p>
    <w:p>
      <w:pPr>
        <w:numPr>
          <w:ilvl w:val="0"/>
          <w:numId w:val="1002"/>
        </w:numPr>
        <w:pStyle w:val="Compact"/>
      </w:pPr>
      <w:r>
        <w:rPr>
          <w:bCs/>
          <w:b/>
        </w:rPr>
        <w:t xml:space="preserve">a. Abbreviations.</w:t>
      </w:r>
      <w:r>
        <w:t xml:space="preserve"> </w:t>
      </w:r>
      <w:r>
        <w:t xml:space="preserve">RSC is corrected to</w:t>
      </w:r>
      <w:r>
        <w:t xml:space="preserve"> </w:t>
      </w:r>
      <w:r>
        <w:t xml:space="preserve">“</w:t>
      </w:r>
      <w:r>
        <w:t xml:space="preserve">Representation Self-Challenging</w:t>
      </w:r>
      <w:r>
        <w:t xml:space="preserve">”</w:t>
      </w:r>
      <w:r>
        <w:t xml:space="preserve"> </w:t>
      </w:r>
      <w:r>
        <w:t xml:space="preserve">and SWAD to</w:t>
      </w:r>
      <w:r>
        <w:t xml:space="preserve"> </w:t>
      </w:r>
      <w:r>
        <w:t xml:space="preserve">“</w:t>
      </w:r>
      <w:r>
        <w:t xml:space="preserve">Stochastic Weight Averaging Densely</w:t>
      </w:r>
      <w:r>
        <w:t xml:space="preserve">”</w:t>
      </w:r>
      <w:r>
        <w:t xml:space="preserve"> </w:t>
      </w:r>
      <w:r>
        <w:t xml:space="preserve">(abbreviation table, Line 1393).</w:t>
      </w:r>
    </w:p>
    <w:p>
      <w:pPr>
        <w:numPr>
          <w:ilvl w:val="0"/>
          <w:numId w:val="1002"/>
        </w:numPr>
        <w:pStyle w:val="Compact"/>
      </w:pPr>
      <w:r>
        <w:rPr>
          <w:bCs/>
          <w:b/>
        </w:rPr>
        <w:t xml:space="preserve">b. Cross-references.</w:t>
      </w:r>
      <w:r>
        <w:t xml:space="preserve"> </w:t>
      </w:r>
      <w:r>
        <w:t xml:space="preserve">The inherited Roman-numeral references are replaced by automatic</w:t>
      </w:r>
      <w:r>
        <w:t xml:space="preserve"> </w:t>
      </w:r>
      <w:r>
        <w:t xml:space="preserve">numbering, with new labels added for the feature-moment augmentation, algorithm, mechanism diagnostics and validity-boundary sections; the end-of-Section-1 outline (Line 157) is checked against the final structure.</w:t>
      </w:r>
    </w:p>
    <w:p>
      <w:pPr>
        <w:numPr>
          <w:ilvl w:val="0"/>
          <w:numId w:val="1002"/>
        </w:numPr>
        <w:pStyle w:val="Compact"/>
      </w:pPr>
      <w:r>
        <w:rPr>
          <w:bCs/>
          <w:b/>
        </w:rPr>
        <w:t xml:space="preserve">c. CORAL description (Line 304).</w:t>
      </w:r>
      <w:r>
        <w:t xml:space="preserve"> </w:t>
      </w:r>
      <w:r>
        <w:t xml:space="preserve">The original DA formulation (target access, source/target second-order alignment) is distinguished from the source-only, target-free DG variant used in the experiments.</w:t>
      </w:r>
    </w:p>
    <w:p>
      <w:pPr>
        <w:numPr>
          <w:ilvl w:val="0"/>
          <w:numId w:val="1002"/>
        </w:numPr>
        <w:pStyle w:val="Compact"/>
      </w:pPr>
      <w:r>
        <w:rPr>
          <w:bCs/>
          <w:b/>
        </w:rPr>
        <w:t xml:space="preserve">d. Computational overhead (Lines 822, 1494).</w:t>
      </w:r>
      <w:r>
        <w:t xml:space="preserve"> </w:t>
      </w:r>
      <w:r>
        <w:t xml:space="preserve">The roughly twofold wall-clock cost is explained: checkpoint averaging itself is an in-memory EMA (four updates, &lt;1 s), whereas the real cost is the per-epoch full holdout validation required to locate the SWAD window, amplified by a serial evaluation loader (num_workers = 0). A GPU retest after enabling multi-worker/persistent/pinned loading reduces holdout evaluation from 111.2 s to 34.3 s (</w:t>
      </w:r>
      <m:oMath>
        <m:r>
          <m:rPr>
            <m:sty m:val="p"/>
          </m:rPr>
          <m:t>−</m:t>
        </m:r>
        <m:r>
          <m:t>69.1</m:t>
        </m:r>
        <m:r>
          <m:rPr>
            <m:sty m:val="p"/>
          </m:rPr>
          <m:t>%</m:t>
        </m:r>
      </m:oMath>
      <w:r>
        <w:t xml:space="preserve">), saves 84.3 s per run, and reduces the net SWAD overhead from 33.5% to 9.6%; the remaining ~9.6% is the algorithm-required GPU forward pass.</w:t>
      </w:r>
    </w:p>
    <w:p>
      <w:r>
        <w:pict>
          <v:rect style="width:0;height:1.5pt" o:hralign="center" o:hrstd="t" o:hr="t"/>
        </w:pict>
      </w:r>
    </w:p>
    <w:bookmarkEnd w:id="54"/>
    <w:bookmarkStart w:id="55" w:name="summary-of-the-main-changes"/>
    <w:p>
      <w:pPr>
        <w:pStyle w:val="Heading2"/>
      </w:pPr>
      <w:r>
        <w:t xml:space="preserve">Summary of the main changes</w:t>
      </w:r>
    </w:p>
    <w:p>
      <w:pPr>
        <w:numPr>
          <w:ilvl w:val="0"/>
          <w:numId w:val="1003"/>
        </w:numPr>
        <w:pStyle w:val="Compact"/>
      </w:pPr>
      <w:r>
        <w:rPr>
          <w:bCs/>
          <w:b/>
        </w:rPr>
        <w:t xml:space="preserve">Proposition 1 re-derived</w:t>
      </w:r>
      <w:r>
        <w:t xml:space="preserve"> </w:t>
      </w:r>
      <w:r>
        <w:t xml:space="preserve">with a valid reverse-Pinsker TV bound and an intermediate-distribution argument; invalid KL–TV inequality removed.</w:t>
      </w:r>
    </w:p>
    <w:p>
      <w:pPr>
        <w:numPr>
          <w:ilvl w:val="0"/>
          <w:numId w:val="1003"/>
        </w:numPr>
        <w:pStyle w:val="Compact"/>
      </w:pPr>
      <w:r>
        <w:rPr>
          <w:bCs/>
          <w:b/>
        </w:rPr>
        <w:t xml:space="preserve">Theorem 1 corrected</w:t>
      </w:r>
      <w:r>
        <w:t xml:space="preserve">: universal Carathéodory d+1 removed; empirical convex hull; h_s presented as an empirical estimate.</w:t>
      </w:r>
    </w:p>
    <w:p>
      <w:pPr>
        <w:numPr>
          <w:ilvl w:val="0"/>
          <w:numId w:val="1003"/>
        </w:numPr>
        <w:pStyle w:val="Compact"/>
      </w:pPr>
      <w:r>
        <w:rPr>
          <w:bCs/>
          <w:b/>
        </w:rPr>
        <w:t xml:space="preserve">Theorem 2 corrected</w:t>
      </w:r>
      <w:r>
        <w:t xml:space="preserve">: C² hypothesis, integral proof with an explicit kink term; exact for smooth networks, approximate for ReLU.</w:t>
      </w:r>
    </w:p>
    <w:p>
      <w:pPr>
        <w:numPr>
          <w:ilvl w:val="0"/>
          <w:numId w:val="1003"/>
        </w:numPr>
        <w:pStyle w:val="Compact"/>
      </w:pPr>
      <w:r>
        <w:rPr>
          <w:bCs/>
          <w:b/>
        </w:rPr>
        <w:t xml:space="preserve">Assumption 3 supported</w:t>
      </w:r>
      <w:r>
        <w:t xml:space="preserve"> </w:t>
      </w:r>
      <w:r>
        <w:t xml:space="preserve">by a 16-run alignment study, with stated limitations; unification claims qualified.</w:t>
      </w:r>
    </w:p>
    <w:p>
      <w:pPr>
        <w:numPr>
          <w:ilvl w:val="0"/>
          <w:numId w:val="1003"/>
        </w:numPr>
        <w:pStyle w:val="Compact"/>
      </w:pPr>
      <w:r>
        <w:rPr>
          <w:bCs/>
          <w:b/>
        </w:rPr>
        <w:t xml:space="preserve">Latent b(C) / proxy b(Y) / EMA estimator distinguished</w:t>
      </w:r>
      <w:r>
        <w:t xml:space="preserve">; Proxy gap stated; consistency diagnostic described as predictive consistency.</w:t>
      </w:r>
    </w:p>
    <w:p>
      <w:pPr>
        <w:numPr>
          <w:ilvl w:val="0"/>
          <w:numId w:val="1003"/>
        </w:numPr>
        <w:pStyle w:val="Compact"/>
      </w:pPr>
      <w:r>
        <w:rPr>
          <w:bCs/>
          <w:b/>
        </w:rPr>
        <w:t xml:space="preserve">All PACS evidence unified</w:t>
      </w:r>
      <w:r>
        <w:t xml:space="preserve"> </w:t>
      </w:r>
      <w:r>
        <w:t xml:space="preserve">on the authoritative batch (overall −0.57, own-worst −0.93); batch effect and mixed-effects independence re-analysis provided; Table 10 (revised Table 9) marked exploratory.</w:t>
      </w:r>
    </w:p>
    <w:p>
      <w:pPr>
        <w:numPr>
          <w:ilvl w:val="0"/>
          <w:numId w:val="1003"/>
        </w:numPr>
        <w:pStyle w:val="Compact"/>
      </w:pPr>
      <w:r>
        <w:rPr>
          <w:bCs/>
          <w:b/>
        </w:rPr>
        <w:t xml:space="preserve">Claims downgraded</w:t>
      </w:r>
      <w:r>
        <w:t xml:space="preserve">: equivalence, not superiority; enabling condition, not necessary/prerequisite; design property, not proven backbone-agnostic; dormant/activatable safety gate.</w:t>
      </w:r>
    </w:p>
    <w:p>
      <w:pPr>
        <w:numPr>
          <w:ilvl w:val="0"/>
          <w:numId w:val="1003"/>
        </w:numPr>
        <w:pStyle w:val="Compact"/>
      </w:pPr>
      <w:r>
        <w:rPr>
          <w:bCs/>
          <w:b/>
        </w:rPr>
        <w:t xml:space="preserve">Writing and format</w:t>
      </w:r>
      <w:r>
        <w:t xml:space="preserve">: de-duplicated abstract/introduction/conclusion; tables within margins; abbreviations and cross-references fixed; 42 audited references.</w:t>
      </w:r>
    </w:p>
    <w:p>
      <w:pPr>
        <w:pStyle w:val="FirstParagraph"/>
      </w:pPr>
      <w:r>
        <w:t xml:space="preserve">We hope these revisions address the reviewers’ concerns satisfactorily and we welcome any further requests.</w:t>
      </w:r>
    </w:p>
    <w:p>
      <w:pPr>
        <w:pStyle w:val="BodyText"/>
      </w:pPr>
      <w:r>
        <w:t xml:space="preserve">Sincerely,</w:t>
      </w:r>
      <w:r>
        <w:t xml:space="preserve"> </w:t>
      </w:r>
      <w:r>
        <w:t xml:space="preserve">The Authors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2026-10-28T04:04:46Z</dcterms:created>
  <dcterms:modified xsi:type="dcterms:W3CDTF">2026-10-28T04:04:46Z</dcterms:modified>
</cp:coreProperties>
</file>

<file path=docProps/custom.xml><?xml version="1.0" encoding="utf-8"?>
<Properties xmlns="http://schemas.openxmlformats.org/officeDocument/2006/custom-properties" xmlns:vt="http://schemas.openxmlformats.org/officeDocument/2006/docPropsVTypes"/>
</file>