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目录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本册汇总三个Agent成果：3.3包含南北路径描述与方案比选；3.4.8—3.4.11及3.5按章节分别列出南北方案核查内容。未取得的调查、设计与审批资料仍按待补处理。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 路径方案比选 ········ 2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3.3.1 北方案路径 ········ 2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3.3.2 南方案路径 ········ 5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3.3.3 综合技术经济比较 ········ 7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 主要交叉跨越及停电方案 ········ 8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3.4.8.1 主要交叉跨越概况 ········ 8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3.4.8.2 停电方案 ········ 15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3.4.9 沿线拆迁情况 ········ 17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3.4.10 林木砍伐情况 ········ 18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3.4.11 对生态敏感点的影响及处理措施 ········ 19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3.5 协议情况 ········ 19</w:t>
      </w:r>
    </w:p>
    <w:p>
      <w:r>
        <w:br w:type="page"/>
      </w:r>
    </w:p>
    <w:p>
      <w:pPr>
        <w:pStyle w:val="Heading1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 路径方案比选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本线路起于多场景测试起点，止于多场景测试终点，比较同一起终点的南、北两个路径方案。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沿线主要影响因素包括高速公路、铁路、输电线路及河流，生态敏感范围包括韩江流域水源涵养-生物多样性维护生态保护红线，具体位置见下图。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本次采用真实规划测试路线；正式站址、推荐方案及专题意见尚待确认。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76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图3.3-1 南、北方案路径示意图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3.3.1 北方案路径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北方案从多场景测试起点出发，向东方向走线约8.2km，沿途与500kV 嘉荷线、漳龙线、省道（S223）、未定级输电线路、梅州东线（S1211）、丙村连接线交叉，经过通航河流（K1.178～K1.300）的图示范围。随后向东南方向走线约6.2km，沿途与梅龙高速（G1532）隧道段平面投影、500kV 云嘉甲乙线、220kV 汇嘉线、220kV 汇长甲乙线、省道（S224）交叉。随后向东方向走线约2.2km，经过韩江流域水源涵养-生物多样性维护生态保护红线（K16.430～K16.501）、韩江流域水源涵养-生物多样性维护生态保护红线（K16.563～K16.652）的图示范围，接至多场景测试终点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线路长度约16.7km，起终点平面直线距离约16.2km，曲折系数1.03。沿线相交地物的属地记录涉及梅县区，完整行政区划仍需核对。沿线相交地物行政或坐落单位字段记录的村镇名称包括人和村、梅福村、联和村、下村村；该名单仅表示已有地物的属地记录，不代替完整村镇边界核查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两方案末端约0.5km的走线接近，按50m几何容差识别为近似共用区段。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500kV 嘉荷线附近（K0.2）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漳龙线附近（K1.1）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梅州东线（S1211）附近（K2.0）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丙村连接线附近（K3.8）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梅龙高速（G1532）附近（K8.5）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per_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韩江流域水源涵养-生物多样性维护生态保护红线附近（K16.4）</w:t>
            </w:r>
          </w:p>
        </w:tc>
      </w:tr>
    </w:tbl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图3.3-2 北方案沿线情况（图源见各图及素材清单）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3.3.2 南方案路径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南方案从多场景测试起点出发，向东南方向走线约3.7km，沿途与500kV 嘉荷线、漳龙线、省道（S223）、高速公路、梅龙高速（G1532）交叉，经过通航河流（K1.564～K1.696）的图示范围。随后向东方向走线约4.6km。随后向东南方向走线约0.6km。随后向东方向走线约3.5km。随后向东南方向走线约2.0km，沿途与500kV 云嘉甲乙线、220kV 汇嘉线、220kV 汇长甲乙线、省道（S224）交叉。随后向东方向走线约2.3km，经过韩江流域水源涵养-生物多样性维护生态保护红线（K16.485～K16.546）、韩江流域水源涵养-生物多样性维护生态保护红线（K16.629～K16.717）的图示范围，接至多场景测试终点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线路部分区段在未定级输电线路附近与其大致平行，连续走线约0.8km。线路部分区段在500kV 云嘉甲乙线附近与其大致平行，连续走线约3.4km。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线路长度约16.7km，起终点平面直线距离约16.2km，曲折系数1.03。沿线相交地物的属地记录涉及梅县区，完整行政区划仍需核对。沿线相交地物行政或坐落单位字段记录的村镇名称包括梅福村、郑均村、银竹村、小都村；该名单仅表示已有地物的属地记录，不代替完整村镇边界核查。两方案末端约0.5km的走线接近，按50m几何容差识别为近似共用区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500kV 嘉荷线附近（K0.2）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漳龙线附近（K1.4）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高速公路附近（K3.4）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500kV 云嘉甲乙线附近（K12.6）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省道（S224）附近（K13.9）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1995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wer_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19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exact" w:after="12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韩江流域水源涵养-生物多样性维护生态保护红线附近（K16.5）</w:t>
            </w:r>
          </w:p>
        </w:tc>
      </w:tr>
    </w:tbl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图3.3-3 南方案沿线情况（图源见各图及素材清单）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3.3.3 综合技术经济比较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表3.3.3-1 路径方案综合比较表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北方案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南方案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线路长度/km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16.652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16.717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海拔分布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65.0～527.0m（668/668有效样点）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64.0～434.0m（670/670有效样点）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曲折系数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1.031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1.035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地形划分及比例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待补地形分类资料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待补地形分类资料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沿线矿产情况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缺专项矿区图层，待核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缺专项矿区图层，待核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重要交叉跨越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输电线路500kV：3次；铁路：1次；通航河流：1次；省道：5次；未定级输电线路：1次；高速公路：4次；输电线路220kV：2次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输电线路500kV：3次；铁路：1次；通航河流：1次；省道：3次；高速公路：3次；输电线路220kV：2次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房屋拆迁面积/数量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待调查确认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穿越生态敏感区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韩江流域水源涵养-生物多样性维护生态保护红线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韩江流域水源涵养-生物多样性维护生态保护红线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穿越生态保护红线/km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0.160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0.148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交通条件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现有地图识别到沿线道路；道路等级、路宽、承载和施工接入条件待调查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现有地图识别到沿线道路；道路等级、路宽、承载和施工接入条件待调查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军事设施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待补专项资料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待补专项资料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有关单位意见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未提供复函资料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未提供复函资料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路径长度方面，北方案较南方案短约0.065km，在长度指标上更优。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北方案在现有图层中识别主要交叉跨越17个几何事件，穿越生态保护红线图示范围约0.160km；数量仅限已提供的数据。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南方案在现有图层中识别主要交叉跨越13个几何事件，穿越生态保护红线图示范围约0.148km；数量仅限已提供的数据。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本次仅给出指标层面的优劣分析。综合推荐仍需结合各专题资料完整性及专业审查，当前保留待定。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独立GIS核查发现需复核的约束冲突，不因规划接口返回可行而忽略该差异。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比较依据：各方案response.json、原始地物与规则哈希、DEM及人工确认资料的引用详见本Agent的result.json。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路径合规性分析：核查依据与范围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北方案核查依据与范围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路径方案及合规分析（参考章节精简版）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本稿按参考章节组织跨越与停电、拆迁、林木砍伐、生态影响和协议资料。系统可行性、GIS空间核查、设计调查和部门复函分别记录，未取得资料的项目不填为“无”或“已通过”。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南方案核查依据与范围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路径方案及合规分析（参考章节精简版）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本稿按参考章节组织跨越与停电、拆迁、林木砍伐、生态影响和协议资料。系统可行性、GIS空间核查、设计调查和部门复函分别记录，未取得资料的项目不填为“无”或“已通过”。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 主要交叉跨越及停电方案</w:t>
      </w:r>
    </w:p>
    <w:p>
      <w:pPr>
        <w:pStyle w:val="Heading3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3.4.8.1 主要交叉跨越概况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本方案主要交叉跨越如下。数量为几何事件，双幅道路等需结合工程设计归并。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表3.4.8-1 主要交叉跨越一览表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  <w:gridCol w:w="1134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被跨越物名称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图示事件数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输电线路500kV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嘉荷线、500kV 云嘉甲乙线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铁路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漳龙线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通航河流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通航河流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省道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省道（S223）、丙村连接线、省道（S224）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未定级输电线路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未定级输电线路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高速公路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梅州东线（S1211）、梅龙高速（G1532）（隧道段投影）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输电线路220kV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汇嘉线、220kV 汇长甲乙线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邻近交点按同一图幅展示，不表示已确定为同一跨越档；普通乡道与补充小路明细保留在数据附件。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（1）500kV 嘉荷线、漳龙线、通航河流、省道（S223）、未定级输电线路：图示交叉位置位于K0.173～K1.781。跨越方式、档距和净空待设计资料确认。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图3.4.8-1 500kV 嘉荷线、漳龙线、通航河流、省道（S223）、未定级输电线路位置示意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（2）梅州东线（S1211）、丙村连接线：图示交叉位置位于K2.028～K3.777。跨越方式、档距和净空待设计资料确认。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图3.4.8-2 梅州东线（S1211）、丙村连接线位置示意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（3）梅龙高速（G1532）：图示交叉位置位于K8.504～K8.575。跨越方式、档距和净空待设计资料确认。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其中隧道段为平面投影相交，不直接等同露天道路架空跨越；洞口、埋深及塔基位置待核。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图3.4.8-3 梅龙高速（G1532）位置示意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（4）500kV 云嘉甲乙线、220kV 汇嘉线、220kV 汇长甲乙线、省道（S224）：图示交叉位置位于K12.981～K14.198。跨越方式、档距和净空待设计资料确认。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图3.4.8-4 500kV 云嘉甲乙线、220kV 汇嘉线、220kV 汇长甲乙线、省道（S224）位置示意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本方案主要交叉跨越如下。数量为几何事件，双幅道路等需结合工程设计归并。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表3.4.8-1 主要交叉跨越一览表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  <w:gridCol w:w="1134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被跨越物名称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图示事件数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输电线路500kV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嘉荷线、500kV 云嘉甲乙线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铁路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漳龙线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通航河流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通航河流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省道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省道（S223）、省道（S224）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高速公路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高速公路、梅龙高速（G1532）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输电线路220kV</w:t>
            </w:r>
          </w:p>
        </w:tc>
        <w:tc>
          <w:tcPr>
            <w:tcW w:type="dxa" w:w="6236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汇嘉线、220kV 汇长甲乙线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需复核的具体冲突：500kV 云嘉甲乙线（lower_CROSS_031，K12.635）的独立GIS交叉角为44.92°，低于当前系统规则阈值45°。该项尚未满足当前规则；需核实源线几何、适用规则与跨越设计，必要时调整路线后重算。未据规划接口返回可行认定本项通过，也未将系统规则阈值冒充已确认的工程设计或审批结论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邻近交点按同一图幅展示，不表示已确定为同一跨越档；普通乡道与补充小路明细保留在数据附件。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（1）500kV 嘉荷线、漳龙线、通航河流、省道（S223）：图示交叉位置位于K0.201～K1.773。跨越方式、档距和净空待设计资料确认。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图3.4.8-1 500kV 嘉荷线、漳龙线、通航河流、省道（S223）位置示意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（2）高速公路、梅龙高速（G1532）：图示交叉位置位于K3.417～K3.447。跨越方式、档距和净空待设计资料确认。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图3.4.8-2 高速公路、梅龙高速（G1532）位置示意</w:t>
      </w:r>
    </w:p>
    <w:p>
      <w:pPr>
        <w:keepNext/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（3）500kV 云嘉甲乙线、220kV 汇嘉线、220kV 汇长甲乙线、省道（S224）：图示交叉位置位于K12.635～K13.941。跨越方式、档距和净空待设计资料确认。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727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0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图3.4.8-3 500kV 云嘉甲乙线、220kV 汇嘉线、220kV 汇长甲乙线、省道（S224）位置示意</w:t>
      </w:r>
    </w:p>
    <w:p>
      <w:pPr>
        <w:pStyle w:val="Heading3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3.4.8.2 停电方案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（1）停电范围及施工时序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根据本方案交叉跨越识别结果，以下电力线路应纳入施工停电或不停电跨越方案的协调核查。是否需要停电及具体时长尚待设计、运行和调度部门确定。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表3.4.8-2 施工停电协调对象及待定安排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1134"/>
        <w:gridCol w:w="2835"/>
      </w:tblGrid>
      <w:tr>
        <w:trPr>
          <w:tblHeader/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实施项目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拟协调线路及位置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停电时间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施工时序/备注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嘉荷线；K0.173、K0.235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未定级输电线路；K1.781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云嘉甲乙线；K12.981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汇嘉线；K13.483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汇长甲乙线；K13.575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（2）停电方案及影响分析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待取得一次接线图、线路与变电站拓扑、运行方式、负荷和转供能力后，逐组分析停电范围、替代供电路径、失电风险及保障措施。当前地图不包含完整电网运行信息，不能推定“无失电风险”或具体风险等级。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（3）实施顺序与保障措施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迁改先后顺序、保供线路、同停组合、停电窗口及复电条件由运行调度与施工方案共同确认。参考资料中的30天/10天安排和荷嘉甲乙线迁改顺序属于参考工程，未套用到本测试路线。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（1）停电范围及施工时序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根据本方案交叉跨越识别结果，以下电力线路应纳入施工停电或不停电跨越方案的协调核查。是否需要停电及具体时长尚待设计、运行和调度部门确定。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表3.4.8-2 施工停电协调对象及待定安排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118"/>
        <w:gridCol w:w="1134"/>
        <w:gridCol w:w="2835"/>
      </w:tblGrid>
      <w:tr>
        <w:trPr>
          <w:tblHeader/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实施项目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拟协调线路及位置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停电时间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施工时序/备注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嘉荷线；K0.201、K0.274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500kV 云嘉甲乙线；K12.635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汇嘉线；K13.238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路径方案及合规分析（参考章节精简版）</w:t>
            </w:r>
          </w:p>
        </w:tc>
        <w:tc>
          <w:tcPr>
            <w:tcW w:type="dxa" w:w="311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220kV 汇长甲乙线；K13.338</w:t>
            </w:r>
          </w:p>
        </w:tc>
        <w:tc>
          <w:tcPr>
            <w:tcW w:type="dxa" w:w="113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待调度确认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跨越施工；停电必要性、方式及同停组合待确认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（2）停电方案及影响分析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待取得一次接线图、线路与变电站拓扑、运行方式、负荷和转供能力后，逐组分析停电范围、替代供电路径、失电风险及保障措施。当前地图不包含完整电网运行信息，不能推定“无失电风险”或具体风险等级。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（3）实施顺序与保障措施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迁改先后顺序、保供线路、同停组合、停电窗口及复电条件由运行调度与施工方案共同确认。参考资料中的30天/10天安排和荷嘉甲乙线迁改顺序属于参考工程，未套用到本测试路线。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3.4.9 沿线拆迁情况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按总宽60m的辅助筛查带，现有建筑图层检出相交要素0个，图斑相交并集面积约0.0m²。该数值只是几何筛查结果，不作为确认拆迁面积，也不能证明未覆盖区域不存在建筑。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表3.4.9-1 沿线拆迁调查表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2835"/>
        <w:gridCol w:w="1984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拆迁物名称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已确认数量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砖瓦屋/楼房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棚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坟墓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个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通信塔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座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按总宽60m的辅助筛查带，现有建筑图层检出相交要素0个，图斑相交并集面积约0.0m²。该数值只是几何筛查结果，不作为确认拆迁面积，也不能证明未覆盖区域不存在建筑。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表3.4.9-1 沿线拆迁调查表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2835"/>
        <w:gridCol w:w="1984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拆迁物名称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已确认数量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砖瓦屋/楼房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棚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坟墓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个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通信塔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198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座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3.4.10 林木砍伐情况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现有分类图层未提供可用于统计树种、树高和林区长度的林业专项数据；自然公园或生态红线范围不直接作为林木分布或砍伐面积。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表3.4.10-1 林木砍伐调查表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2835"/>
        <w:gridCol w:w="2835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55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林木种类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自然生长高度/m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确认砍伐面积/m²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待专项设计确认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高跨或开辟通道的选择、是否需要砍伐及通道宽度，需结合林木调查、导线弧垂净空和经确认的设计依据。未将参考PDF中的树高、面积或固定倍数套用到本路线。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现有分类图层未提供可用于统计树种、树高和林区长度的林业专项数据；自然公园或生态红线范围不直接作为林木分布或砍伐面积。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表3.4.10-1 林木砍伐调查表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2835"/>
        <w:gridCol w:w="2835"/>
      </w:tblGrid>
      <w:tr>
        <w:trPr>
          <w:tblHeader/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55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林木种类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自然生长高度/m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确认砍伐面积/m²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551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待调查</w:t>
            </w:r>
          </w:p>
        </w:tc>
        <w:tc>
          <w:tcPr>
            <w:tcW w:type="dxa" w:w="2835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待专项设计确认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高跨或开辟通道的选择、是否需要砍伐及通道宽度，需结合林木调查、导线弧垂净空和经确认的设计依据。未将参考PDF中的树高、面积或固定倍数套用到本路线。</w:t>
      </w:r>
    </w:p>
    <w:p>
      <w:pPr>
        <w:pStyle w:val="Heading2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3.4.11 对生态敏感点的影响及处理措施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表3.4.11-1 线路对生态敏感点的影响及处理措施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814"/>
        <w:gridCol w:w="1814"/>
        <w:gridCol w:w="2268"/>
        <w:gridCol w:w="2608"/>
      </w:tblGrid>
      <w:tr>
        <w:trPr>
          <w:tblHeader/>
          <w:cantSplit/>
        </w:trPr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生态敏感区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相对位置及距离</w:t>
            </w:r>
          </w:p>
        </w:tc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线路影响</w:t>
            </w:r>
          </w:p>
        </w:tc>
        <w:tc>
          <w:tcPr>
            <w:tcW w:type="dxa" w:w="260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处理措施/待核事项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韩江流域水源涵养-生物多样性维护生态保护红线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穿越图示范围；最近距离0.0m；K16.430—K16.501、K16.563—K16.652</w:t>
            </w:r>
          </w:p>
        </w:tc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图示范围内长度159.7m；已有定位塔1处；逐塔定位尚未完整，施工影响待核</w:t>
            </w:r>
          </w:p>
        </w:tc>
        <w:tc>
          <w:tcPr>
            <w:tcW w:type="dxa" w:w="260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已有定位塔位落入图示范围，建议优先研究塔位微调避让，核实塔基、便道及牵张场占地；不能避让的部分需结合专题明确措施和办理要求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表3.4.11-1 线路对生态敏感点的影响及处理措施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814"/>
        <w:gridCol w:w="1814"/>
        <w:gridCol w:w="2268"/>
        <w:gridCol w:w="2608"/>
      </w:tblGrid>
      <w:tr>
        <w:trPr>
          <w:tblHeader/>
          <w:cantSplit/>
        </w:trPr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生态敏感区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相对位置及距离</w:t>
            </w:r>
          </w:p>
        </w:tc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线路影响</w:t>
            </w:r>
          </w:p>
        </w:tc>
        <w:tc>
          <w:tcPr>
            <w:tcW w:type="dxa" w:w="260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处理措施/待核事项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韩江流域水源涵养-生物多样性维护生态保护红线</w:t>
            </w:r>
          </w:p>
        </w:tc>
        <w:tc>
          <w:tcPr>
            <w:tcW w:type="dxa" w:w="181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穿越图示范围；最近距离0.0m；K16.485—K16.546、K16.629—K16.717</w:t>
            </w:r>
          </w:p>
        </w:tc>
        <w:tc>
          <w:tcPr>
            <w:tcW w:type="dxa" w:w="226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图示范围内长度148.5m；已有定位塔1处；逐塔定位尚未完整，施工影响待核</w:t>
            </w:r>
          </w:p>
        </w:tc>
        <w:tc>
          <w:tcPr>
            <w:tcW w:type="dxa" w:w="260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已有定位塔位落入图示范围，建议优先研究塔位微调避让，核实塔基、便道及牵张场占地；不能避让的部分需结合专题明确措施和办理要求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pStyle w:val="Heading1"/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3.5 协议情况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仅汇总当前方案已人工确认且有来源文件的意见。参考PDF中的部门名单和“同意/无意见”结论未作为本项目已取得的协议。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表3.5-1 路径协议情况汇总表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567"/>
        <w:gridCol w:w="2154"/>
        <w:gridCol w:w="2098"/>
        <w:gridCol w:w="2948"/>
      </w:tblGrid>
      <w:tr>
        <w:trPr>
          <w:tblHeader/>
          <w:cantSplit/>
        </w:trPr>
        <w:tc>
          <w:tcPr>
            <w:tcW w:type="dxa" w:w="130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行政区域</w:t>
            </w:r>
          </w:p>
        </w:tc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5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部门</w:t>
            </w:r>
          </w:p>
        </w:tc>
        <w:tc>
          <w:tcPr>
            <w:tcW w:type="dxa" w:w="209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协议办理情况</w:t>
            </w:r>
          </w:p>
        </w:tc>
        <w:tc>
          <w:tcPr>
            <w:tcW w:type="dxa" w:w="294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条件/文号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15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应办协议部门清单待补</w:t>
            </w:r>
          </w:p>
        </w:tc>
        <w:tc>
          <w:tcPr>
            <w:tcW w:type="dxa" w:w="209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未提供复函</w:t>
            </w:r>
          </w:p>
        </w:tc>
        <w:tc>
          <w:tcPr>
            <w:tcW w:type="dxa" w:w="294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尚无法统计办理完成率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本方案核查结论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北方案的当前核查状态为“资料待补充”。规划接口通过的是当前算法模型校核，不能替代本章涉及的逐塔设计、调查与协议证据。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已识别17个主要跨越事件；资料和核查待办共64项，详见随附待补资料清单和机器可读结果。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仅汇总当前方案已人工确认且有来源文件的意见。参考PDF中的部门名单和“同意/无意见”结论未作为本项目已取得的协议。</w:t>
      </w:r>
    </w:p>
    <w:p>
      <w:pPr>
        <w:keepNext/>
        <w:widowControl/>
        <w:spacing w:line="480" w:lineRule="exact" w:after="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表3.5-1 路径协议情况汇总表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567"/>
        <w:gridCol w:w="2154"/>
        <w:gridCol w:w="2098"/>
        <w:gridCol w:w="2948"/>
      </w:tblGrid>
      <w:tr>
        <w:trPr>
          <w:tblHeader/>
          <w:cantSplit/>
        </w:trPr>
        <w:tc>
          <w:tcPr>
            <w:tcW w:type="dxa" w:w="130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行政区域</w:t>
            </w:r>
          </w:p>
        </w:tc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5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部门</w:t>
            </w:r>
          </w:p>
        </w:tc>
        <w:tc>
          <w:tcPr>
            <w:tcW w:type="dxa" w:w="209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协议办理情况</w:t>
            </w:r>
          </w:p>
        </w:tc>
        <w:tc>
          <w:tcPr>
            <w:tcW w:type="dxa" w:w="294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条件/文号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待确认</w:t>
            </w:r>
          </w:p>
        </w:tc>
        <w:tc>
          <w:tcPr>
            <w:tcW w:type="dxa" w:w="567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154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应办协议部门清单待补</w:t>
            </w:r>
          </w:p>
        </w:tc>
        <w:tc>
          <w:tcPr>
            <w:tcW w:type="dxa" w:w="209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未提供复函</w:t>
            </w:r>
          </w:p>
        </w:tc>
        <w:tc>
          <w:tcPr>
            <w:tcW w:type="dxa" w:w="2948"/>
          </w:tcPr>
          <w:p>
            <w:pPr>
              <w:spacing w:line="300" w:lineRule="exact" w:after="60" w:before="6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尚无法统计办理完成率</w:t>
            </w:r>
          </w:p>
        </w:tc>
      </w:tr>
    </w:tbl>
    <w:p>
      <w:pPr>
        <w:spacing w:before="0" w:after="0" w:line="20" w:lineRule="exact"/>
      </w:pPr>
      <w:r>
        <w:rPr>
          <w:rFonts w:ascii="Times New Roman" w:hAnsi="Times New Roman" w:eastAsia="宋体"/>
          <w:b w:val="0"/>
          <w:color w:val="000000"/>
          <w:sz w:val="2"/>
        </w:rPr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本方案核查结论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南方案的当前核查状态为“存在需复核冲突”。规划接口通过的是当前算法模型校核，不能替代本章涉及的逐塔设计、调查与协议证据。</w:t>
      </w:r>
    </w:p>
    <w:p>
      <w:pPr>
        <w:widowControl/>
        <w:spacing w:line="480" w:lineRule="exact" w:after="0" w:before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已识别13个主要跨越事件；资料和核查待办共57项，详见随附待补资料清单和机器可读结果。</w:t>
      </w:r>
    </w:p>
    <w:p>
      <w:pPr>
        <w:keepNext/>
        <w:widowControl/>
        <w:spacing w:line="480" w:lineRule="exact" w:after="0" w:before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南北方案核查结论与待办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304" w:left="1417" w:header="765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- </w:t>
    </w:r>
    <w:fldSimple w:instr="PAGE"/>
    <w:r>
      <w:rPr>
        <w:rFonts w:ascii="Times New Roman" w:hAnsi="Times New Roman" w:eastAsia="宋体"/>
        <w:b w:val="0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color="000000" w:space="4"/>
      </w:pBdr>
    </w:pPr>
    <w:r>
      <w:drawing>
        <wp:inline xmlns:a="http://schemas.openxmlformats.org/drawingml/2006/main" xmlns:pic="http://schemas.openxmlformats.org/drawingml/2006/picture">
          <wp:extent cx="2916000" cy="174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ference_header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6000" cy="1742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b w:val="0"/>
        <w:color w:val="000000"/>
        <w:sz w:val="18"/>
      </w:rPr>
      <w:t xml:space="preserve">  路径方案与南北方案合规完整报告（核查稿）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路径方案与南北方案合规完整报告</dc:title>
  <dc:subject>依据规划结果与GIS地物生成的路径描述联调样章</dc:subject>
  <dc:creator>RoadDescription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