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304" w:left="1417" w:header="765" w:footer="850" w:gutter="0"/>
      <w:cols w:space="720"/>
      <w:docGrid w:linePitch="360"/>
      <w:pgNumType w:start="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- </w:t>
    </w:r>
    <w:fldSimple w:instr="PAGE"/>
    <w:r>
      <w:rPr>
        <w:rFonts w:ascii="Times New Roman" w:hAnsi="Times New Roman" w:eastAsia="宋体"/>
        <w:b w:val="0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color="000000" w:space="4"/>
      </w:pBdr>
    </w:pPr>
    <w:r>
      <w:drawing>
        <wp:inline xmlns:a="http://schemas.openxmlformats.org/drawingml/2006/main" xmlns:pic="http://schemas.openxmlformats.org/drawingml/2006/picture">
          <wp:extent cx="2916000" cy="174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ference_header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6000" cy="1742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b w:val="0"/>
        <w:sz w:val="18"/>
      </w:rPr>
      <w:t xml:space="preserve">  路径方案报告 · 联调样章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大埔工程区段输电线路路径描述（联调样章）</dc:title>
  <dc:subject>依据规划结果与GIS地物生成的路径描述联调样章</dc:subject>
  <dc:creator>RoadDescription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