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365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VERBALE DI RIESAME DELLA DIREZIONE</w:t>
            </w:r>
          </w:p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BEE3F8"/>
                <w:sz w:val="18"/>
                <w:szCs w:val="18"/>
                <w:rFonts w:ascii="Arial" w:cs="Arial" w:eastAsia="Arial" w:hAnsi="Arial"/>
              </w:rPr>
              <w:t xml:space="preserve">ISO 9001:2015  —  §9.3 Riesame di direzione</w:t>
            </w:r>
          </w:p>
        </w:tc>
        <w:tc>
          <w:tcPr>
            <w:tcW w:type="dxa" w:w="3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718096"/>
                <w:sz w:val="18"/>
                <w:szCs w:val="18"/>
                <w:rFonts w:ascii="Arial" w:cs="Arial" w:eastAsia="Arial" w:hAnsi="Arial"/>
              </w:rPr>
              <w:t xml:space="preserve">Numero:</w:t>
            </w:r>
          </w:p>
          <w:p>
            <w:pPr>
              <w:spacing w:before="0" w:after="120"/>
              <w:jc w:val="left"/>
            </w:pPr>
            <w:r>
              <w:rPr>
                <w:b/>
                <w:bCs/>
                <w:color w:val="1A365D"/>
                <w:sz w:val="22"/>
                <w:szCs w:val="22"/>
                <w:rFonts w:ascii="Arial" w:cs="Arial" w:eastAsia="Arial" w:hAnsi="Arial"/>
              </w:rPr>
              <w:t xml:space="preserve">{review_number}</w:t>
            </w:r>
          </w:p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Data: {review_date}</w:t>
            </w:r>
          </w:p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  <w:rFonts w:ascii="Arial" w:cs="Arial" w:eastAsia="Arial" w:hAnsi="Arial"/>
              </w:rPr>
              <w:t xml:space="preserve">Stato: {status_label}</w:t>
            </w:r>
          </w:p>
        </w:tc>
      </w:tr>
    </w:tbl>
    <w:p>
      <w:pPr>
        <w:spacing w:before="0" w:after="120"/>
        <w:jc w:val="left"/>
      </w:pPr>
      <w:r>
        <w:rPr>
          <w:b w:val="false"/>
          <w:bCs w:val="false"/>
          <w:color w:val="000000"/>
          <w:sz w:val="20"/>
          <w:szCs w:val="20"/>
          <w:rFonts w:ascii="Arial" w:cs="Arial" w:eastAsia="Arial" w:hAnsi="Arial"/>
        </w:rPr>
      </w:r>
    </w:p>
    <w:p>
      <w:pPr>
        <w:pStyle w:val="Heading2"/>
        <w:pBdr>
          <w:bottom w:val="single" w:color="2B6CB0" w:sz="4"/>
        </w:pBdr>
        <w:shd w:fill="EBF8FF" w:val="solid"/>
        <w:spacing w:before="280" w:after="80"/>
      </w:pPr>
      <w:r>
        <w:t xml:space="preserve">1 — Dati generali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rFonts w:ascii="Arial" w:cs="Arial" w:eastAsia="Arial" w:hAnsi="Arial"/>
              </w:rPr>
              <w:t xml:space="preserve">Azienda: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{company_name}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rFonts w:ascii="Arial" w:cs="Arial" w:eastAsia="Arial" w:hAnsi="Arial"/>
              </w:rPr>
              <w:t xml:space="preserve">Periodo esaminato: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{period_from} – {period_to}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rFonts w:ascii="Arial" w:cs="Arial" w:eastAsia="Arial" w:hAnsi="Arial"/>
              </w:rPr>
              <w:t xml:space="preserve">Presidente / Responsabile: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{chairperson}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rFonts w:ascii="Arial" w:cs="Arial" w:eastAsia="Arial" w:hAnsi="Arial"/>
              </w:rPr>
              <w:t xml:space="preserve">Data riesame: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{review_date}</w:t>
            </w:r>
          </w:p>
        </w:tc>
      </w:tr>
    </w:tbl>
    <w:p>
      <w:pPr>
        <w:spacing w:before="0" w:after="120"/>
        <w:jc w:val="left"/>
      </w:pPr>
      <w:r>
        <w:rPr>
          <w:b w:val="false"/>
          <w:bCs w:val="false"/>
          <w:color w:val="000000"/>
          <w:sz w:val="20"/>
          <w:szCs w:val="20"/>
          <w:rFonts w:ascii="Arial" w:cs="Arial" w:eastAsia="Arial" w:hAnsi="Arial"/>
        </w:rPr>
      </w:r>
    </w:p>
    <w:p>
      <w:pPr>
        <w:pStyle w:val="Heading2"/>
        <w:pBdr>
          <w:bottom w:val="single" w:color="2B6CB0" w:sz="4"/>
        </w:pBdr>
        <w:shd w:fill="EBF8FF" w:val="solid"/>
        <w:spacing w:before="280" w:after="80"/>
      </w:pPr>
      <w:r>
        <w:t xml:space="preserve">2 — Partecipanti</w:t>
      </w:r>
    </w:p>
    <w:p>
      <w:pPr>
        <w:spacing w:before="0" w:after="120"/>
        <w:jc w:val="left"/>
      </w:pPr>
      <w:r>
        <w:rPr>
          <w:b w:val="false"/>
          <w:bCs w:val="false"/>
          <w:color w:val="000000"/>
          <w:sz w:val="20"/>
          <w:szCs w:val="20"/>
          <w:rFonts w:ascii="Arial" w:cs="Arial" w:eastAsia="Arial" w:hAnsi="Arial"/>
        </w:rPr>
        <w:t xml:space="preserve">{participants_text}</w:t>
      </w:r>
    </w:p>
    <w:p>
      <w:pPr>
        <w:spacing w:before="0" w:after="120"/>
        <w:jc w:val="left"/>
      </w:pPr>
      <w:r>
        <w:rPr>
          <w:b w:val="false"/>
          <w:bCs w:val="false"/>
          <w:color w:val="000000"/>
          <w:sz w:val="20"/>
          <w:szCs w:val="20"/>
          <w:rFonts w:ascii="Arial" w:cs="Arial" w:eastAsia="Arial" w:hAnsi="Arial"/>
        </w:rPr>
      </w:r>
    </w:p>
    <w:p>
      <w:pPr>
        <w:pStyle w:val="Heading2"/>
        <w:pBdr>
          <w:bottom w:val="single" w:color="2B6CB0" w:sz="4"/>
        </w:pBdr>
        <w:shd w:fill="EBF8FF" w:val="solid"/>
        <w:spacing w:before="280" w:after="80"/>
      </w:pPr>
      <w:r>
        <w:t xml:space="preserve">3 — §9.3.2 Input del riesame</w:t>
      </w:r>
    </w:p>
    <w:p>
      <w:pPr>
        <w:spacing w:before="0" w:after="120"/>
        <w:jc w:val="left"/>
      </w:pPr>
      <w:r>
        <w:rPr>
          <w:b w:val="false"/>
          <w:bCs w:val="false"/>
          <w:color w:val="718096"/>
          <w:sz w:val="18"/>
          <w:szCs w:val="18"/>
          <w:rFonts w:ascii="Arial" w:cs="Arial" w:eastAsia="Arial" w:hAnsi="Arial"/>
        </w:rPr>
        <w:t xml:space="preserve">Ai sensi di ISO 9001:2015 §9.3.2, il riesame ha preso in esame i seguenti elementi:</w:t>
      </w:r>
    </w:p>
    <w:p>
      <w:pPr>
        <w:spacing w:before="0" w:after="120"/>
        <w:jc w:val="left"/>
      </w:pPr>
      <w:r>
        <w:rPr>
          <w:b w:val="false"/>
          <w:bCs w:val="false"/>
          <w:color w:val="000000"/>
          <w:sz w:val="20"/>
          <w:szCs w:val="20"/>
          <w:rFonts w:ascii="Arial" w:cs="Arial" w:eastAsia="Arial" w:hAnsi="Arial"/>
        </w:rPr>
      </w:r>
    </w:p>
    <w:tbl>
      <w:tblPr>
        <w:tblW w:type="pct" w:w="100%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1A365D"/>
                <w:sz w:val="18"/>
                <w:szCs w:val="18"/>
                <w:rFonts w:ascii="Arial" w:cs="Arial" w:eastAsia="Arial" w:hAnsi="Arial"/>
              </w:rPr>
              <w:t xml:space="preserve">a) Azioni da precedenti riesami  [§9.3.2 a]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718096"/>
                <w:sz w:val="20"/>
                <w:szCs w:val="20"/>
                <w:rFonts w:ascii="Arial" w:cs="Arial" w:eastAsia="Arial" w:hAnsi="Arial"/>
              </w:rPr>
              <w:t xml:space="preserve">{input_previous_actions}</w:t>
            </w:r>
          </w:p>
        </w:tc>
      </w:tr>
    </w:tbl>
    <w:p>
      <w:pPr>
        <w:spacing w:before="0" w:after="120"/>
        <w:jc w:val="left"/>
      </w:pPr>
      <w:r>
        <w:rPr>
          <w:b w:val="false"/>
          <w:bCs w:val="false"/>
          <w:color w:val="000000"/>
          <w:sz w:val="20"/>
          <w:szCs w:val="20"/>
          <w:rFonts w:ascii="Arial" w:cs="Arial" w:eastAsia="Arial" w:hAnsi="Arial"/>
        </w:rPr>
      </w:r>
    </w:p>
    <w:tbl>
      <w:tblPr>
        <w:tblW w:type="pct" w:w="100%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1A365D"/>
                <w:sz w:val="18"/>
                <w:szCs w:val="18"/>
                <w:rFonts w:ascii="Arial" w:cs="Arial" w:eastAsia="Arial" w:hAnsi="Arial"/>
              </w:rPr>
              <w:t xml:space="preserve">b) Cambiamenti nel contesto rilevanti per il SGQ  [§9.3.2 b]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718096"/>
                <w:sz w:val="20"/>
                <w:szCs w:val="20"/>
                <w:rFonts w:ascii="Arial" w:cs="Arial" w:eastAsia="Arial" w:hAnsi="Arial"/>
              </w:rPr>
              <w:t xml:space="preserve">{input_context_changes}</w:t>
            </w:r>
          </w:p>
        </w:tc>
      </w:tr>
    </w:tbl>
    <w:p>
      <w:pPr>
        <w:spacing w:before="0" w:after="120"/>
        <w:jc w:val="left"/>
      </w:pPr>
      <w:r>
        <w:rPr>
          <w:b w:val="false"/>
          <w:bCs w:val="false"/>
          <w:color w:val="000000"/>
          <w:sz w:val="20"/>
          <w:szCs w:val="20"/>
          <w:rFonts w:ascii="Arial" w:cs="Arial" w:eastAsia="Arial" w:hAnsi="Arial"/>
        </w:rPr>
      </w:r>
    </w:p>
    <w:tbl>
      <w:tblPr>
        <w:tblW w:type="pct" w:w="100%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1A365D"/>
                <w:sz w:val="18"/>
                <w:szCs w:val="18"/>
                <w:rFonts w:ascii="Arial" w:cs="Arial" w:eastAsia="Arial" w:hAnsi="Arial"/>
              </w:rPr>
              <w:t xml:space="preserve">c.6) Risultati degli audit interni  [§9.3.2 c.6]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718096"/>
                <w:sz w:val="20"/>
                <w:szCs w:val="20"/>
                <w:rFonts w:ascii="Arial" w:cs="Arial" w:eastAsia="Arial" w:hAnsi="Arial"/>
              </w:rPr>
              <w:t xml:space="preserve">{input_audits}</w:t>
            </w:r>
          </w:p>
        </w:tc>
      </w:tr>
    </w:tbl>
    <w:p>
      <w:pPr>
        <w:spacing w:before="0" w:after="120"/>
        <w:jc w:val="left"/>
      </w:pPr>
      <w:r>
        <w:rPr>
          <w:b w:val="false"/>
          <w:bCs w:val="false"/>
          <w:color w:val="000000"/>
          <w:sz w:val="20"/>
          <w:szCs w:val="20"/>
          <w:rFonts w:ascii="Arial" w:cs="Arial" w:eastAsia="Arial" w:hAnsi="Arial"/>
        </w:rPr>
      </w:r>
    </w:p>
    <w:tbl>
      <w:tblPr>
        <w:tblW w:type="pct" w:w="100%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1A365D"/>
                <w:sz w:val="18"/>
                <w:szCs w:val="18"/>
                <w:rFonts w:ascii="Arial" w:cs="Arial" w:eastAsia="Arial" w:hAnsi="Arial"/>
              </w:rPr>
              <w:t xml:space="preserve">c.4) Non conformità e azioni correttive  [§9.3.2 c.4]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718096"/>
                <w:sz w:val="20"/>
                <w:szCs w:val="20"/>
                <w:rFonts w:ascii="Arial" w:cs="Arial" w:eastAsia="Arial" w:hAnsi="Arial"/>
              </w:rPr>
              <w:t xml:space="preserve">{input_nc_corrective}</w:t>
            </w:r>
          </w:p>
        </w:tc>
      </w:tr>
    </w:tbl>
    <w:p>
      <w:pPr>
        <w:spacing w:before="0" w:after="120"/>
        <w:jc w:val="left"/>
      </w:pPr>
      <w:r>
        <w:rPr>
          <w:b w:val="false"/>
          <w:bCs w:val="false"/>
          <w:color w:val="000000"/>
          <w:sz w:val="20"/>
          <w:szCs w:val="20"/>
          <w:rFonts w:ascii="Arial" w:cs="Arial" w:eastAsia="Arial" w:hAnsi="Arial"/>
        </w:rPr>
      </w:r>
    </w:p>
    <w:tbl>
      <w:tblPr>
        <w:tblW w:type="pct" w:w="100%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1A365D"/>
                <w:sz w:val="18"/>
                <w:szCs w:val="18"/>
                <w:rFonts w:ascii="Arial" w:cs="Arial" w:eastAsia="Arial" w:hAnsi="Arial"/>
              </w:rPr>
              <w:t xml:space="preserve">c.2) Stato degli obiettivi per la qualità  [§9.3.2 c.2]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718096"/>
                <w:sz w:val="20"/>
                <w:szCs w:val="20"/>
                <w:rFonts w:ascii="Arial" w:cs="Arial" w:eastAsia="Arial" w:hAnsi="Arial"/>
              </w:rPr>
              <w:t xml:space="preserve">{input_objectives}</w:t>
            </w:r>
          </w:p>
        </w:tc>
      </w:tr>
    </w:tbl>
    <w:p>
      <w:pPr>
        <w:spacing w:before="0" w:after="120"/>
        <w:jc w:val="left"/>
      </w:pPr>
      <w:r>
        <w:rPr>
          <w:b w:val="false"/>
          <w:bCs w:val="false"/>
          <w:color w:val="000000"/>
          <w:sz w:val="20"/>
          <w:szCs w:val="20"/>
          <w:rFonts w:ascii="Arial" w:cs="Arial" w:eastAsia="Arial" w:hAnsi="Arial"/>
        </w:rPr>
      </w:r>
    </w:p>
    <w:tbl>
      <w:tblPr>
        <w:tblW w:type="pct" w:w="100%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1A365D"/>
                <w:sz w:val="18"/>
                <w:szCs w:val="18"/>
                <w:rFonts w:ascii="Arial" w:cs="Arial" w:eastAsia="Arial" w:hAnsi="Arial"/>
              </w:rPr>
              <w:t xml:space="preserve">c.3) Prestazioni dei processi e conformità prodotti/servizi  [§9.3.2 c.3]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718096"/>
                <w:sz w:val="20"/>
                <w:szCs w:val="20"/>
                <w:rFonts w:ascii="Arial" w:cs="Arial" w:eastAsia="Arial" w:hAnsi="Arial"/>
              </w:rPr>
              <w:t xml:space="preserve">{input_process_performance}</w:t>
            </w:r>
          </w:p>
        </w:tc>
      </w:tr>
    </w:tbl>
    <w:p>
      <w:pPr>
        <w:spacing w:before="0" w:after="120"/>
        <w:jc w:val="left"/>
      </w:pPr>
      <w:r>
        <w:rPr>
          <w:b w:val="false"/>
          <w:bCs w:val="false"/>
          <w:color w:val="000000"/>
          <w:sz w:val="20"/>
          <w:szCs w:val="20"/>
          <w:rFonts w:ascii="Arial" w:cs="Arial" w:eastAsia="Arial" w:hAnsi="Arial"/>
        </w:rPr>
      </w:r>
    </w:p>
    <w:tbl>
      <w:tblPr>
        <w:tblW w:type="pct" w:w="100%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1A365D"/>
                <w:sz w:val="18"/>
                <w:szCs w:val="18"/>
                <w:rFonts w:ascii="Arial" w:cs="Arial" w:eastAsia="Arial" w:hAnsi="Arial"/>
              </w:rPr>
              <w:t xml:space="preserve">c.1) Soddisfazione del cliente e feedback parti interessate  [§9.3.2 c.1]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718096"/>
                <w:sz w:val="20"/>
                <w:szCs w:val="20"/>
                <w:rFonts w:ascii="Arial" w:cs="Arial" w:eastAsia="Arial" w:hAnsi="Arial"/>
              </w:rPr>
              <w:t xml:space="preserve">{input_customer_satisfaction}</w:t>
            </w:r>
          </w:p>
        </w:tc>
      </w:tr>
    </w:tbl>
    <w:p>
      <w:pPr>
        <w:spacing w:before="0" w:after="120"/>
        <w:jc w:val="left"/>
      </w:pPr>
      <w:r>
        <w:rPr>
          <w:b w:val="false"/>
          <w:bCs w:val="false"/>
          <w:color w:val="000000"/>
          <w:sz w:val="20"/>
          <w:szCs w:val="20"/>
          <w:rFonts w:ascii="Arial" w:cs="Arial" w:eastAsia="Arial" w:hAnsi="Arial"/>
        </w:rPr>
      </w:r>
    </w:p>
    <w:tbl>
      <w:tblPr>
        <w:tblW w:type="pct" w:w="100%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1A365D"/>
                <w:sz w:val="18"/>
                <w:szCs w:val="18"/>
                <w:rFonts w:ascii="Arial" w:cs="Arial" w:eastAsia="Arial" w:hAnsi="Arial"/>
              </w:rPr>
              <w:t xml:space="preserve">c.1) Reclami dei clienti — dettaglio  [§9.3.2 c.1]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718096"/>
                <w:sz w:val="20"/>
                <w:szCs w:val="20"/>
                <w:rFonts w:ascii="Arial" w:cs="Arial" w:eastAsia="Arial" w:hAnsi="Arial"/>
              </w:rPr>
              <w:t xml:space="preserve">{input_complaints}</w:t>
            </w:r>
          </w:p>
        </w:tc>
      </w:tr>
    </w:tbl>
    <w:p>
      <w:pPr>
        <w:spacing w:before="0" w:after="120"/>
        <w:jc w:val="left"/>
      </w:pPr>
      <w:r>
        <w:rPr>
          <w:b w:val="false"/>
          <w:bCs w:val="false"/>
          <w:color w:val="000000"/>
          <w:sz w:val="20"/>
          <w:szCs w:val="20"/>
          <w:rFonts w:ascii="Arial" w:cs="Arial" w:eastAsia="Arial" w:hAnsi="Arial"/>
        </w:rPr>
      </w:r>
    </w:p>
    <w:tbl>
      <w:tblPr>
        <w:tblW w:type="pct" w:w="100%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1A365D"/>
                <w:sz w:val="18"/>
                <w:szCs w:val="18"/>
                <w:rFonts w:ascii="Arial" w:cs="Arial" w:eastAsia="Arial" w:hAnsi="Arial"/>
              </w:rPr>
              <w:t xml:space="preserve">c.7) Prestazioni dei fornitori esterni  [§9.3.2 c.7]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718096"/>
                <w:sz w:val="20"/>
                <w:szCs w:val="20"/>
                <w:rFonts w:ascii="Arial" w:cs="Arial" w:eastAsia="Arial" w:hAnsi="Arial"/>
              </w:rPr>
              <w:t xml:space="preserve">{input_suppliers}</w:t>
            </w:r>
          </w:p>
        </w:tc>
      </w:tr>
    </w:tbl>
    <w:p>
      <w:pPr>
        <w:spacing w:before="0" w:after="120"/>
        <w:jc w:val="left"/>
      </w:pPr>
      <w:r>
        <w:rPr>
          <w:b w:val="false"/>
          <w:bCs w:val="false"/>
          <w:color w:val="000000"/>
          <w:sz w:val="20"/>
          <w:szCs w:val="20"/>
          <w:rFonts w:ascii="Arial" w:cs="Arial" w:eastAsia="Arial" w:hAnsi="Arial"/>
        </w:rPr>
      </w:r>
    </w:p>
    <w:tbl>
      <w:tblPr>
        <w:tblW w:type="pct" w:w="100%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1A365D"/>
                <w:sz w:val="18"/>
                <w:szCs w:val="18"/>
                <w:rFonts w:ascii="Arial" w:cs="Arial" w:eastAsia="Arial" w:hAnsi="Arial"/>
              </w:rPr>
              <w:t xml:space="preserve">d) Adeguatezza delle risorse  [§9.3.2 d]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718096"/>
                <w:sz w:val="20"/>
                <w:szCs w:val="20"/>
                <w:rFonts w:ascii="Arial" w:cs="Arial" w:eastAsia="Arial" w:hAnsi="Arial"/>
              </w:rPr>
              <w:t xml:space="preserve">{input_resources}</w:t>
            </w:r>
          </w:p>
        </w:tc>
      </w:tr>
    </w:tbl>
    <w:p>
      <w:pPr>
        <w:spacing w:before="0" w:after="120"/>
        <w:jc w:val="left"/>
      </w:pPr>
      <w:r>
        <w:rPr>
          <w:b w:val="false"/>
          <w:bCs w:val="false"/>
          <w:color w:val="000000"/>
          <w:sz w:val="20"/>
          <w:szCs w:val="20"/>
          <w:rFonts w:ascii="Arial" w:cs="Arial" w:eastAsia="Arial" w:hAnsi="Arial"/>
        </w:rPr>
      </w:r>
    </w:p>
    <w:tbl>
      <w:tblPr>
        <w:tblW w:type="pct" w:w="100%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1A365D"/>
                <w:sz w:val="18"/>
                <w:szCs w:val="18"/>
                <w:rFonts w:ascii="Arial" w:cs="Arial" w:eastAsia="Arial" w:hAnsi="Arial"/>
              </w:rPr>
              <w:t xml:space="preserve">e) Efficacia delle azioni su rischi e opportunità  [§9.3.2 e]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718096"/>
                <w:sz w:val="20"/>
                <w:szCs w:val="20"/>
                <w:rFonts w:ascii="Arial" w:cs="Arial" w:eastAsia="Arial" w:hAnsi="Arial"/>
              </w:rPr>
              <w:t xml:space="preserve">{input_risk_effectiveness}</w:t>
            </w:r>
          </w:p>
        </w:tc>
      </w:tr>
    </w:tbl>
    <w:p>
      <w:pPr>
        <w:spacing w:before="0" w:after="120"/>
        <w:jc w:val="left"/>
      </w:pPr>
      <w:r>
        <w:rPr>
          <w:b w:val="false"/>
          <w:bCs w:val="false"/>
          <w:color w:val="000000"/>
          <w:sz w:val="20"/>
          <w:szCs w:val="20"/>
          <w:rFonts w:ascii="Arial" w:cs="Arial" w:eastAsia="Arial" w:hAnsi="Arial"/>
        </w:rPr>
      </w:r>
    </w:p>
    <w:tbl>
      <w:tblPr>
        <w:tblW w:type="pct" w:w="100%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1A365D"/>
                <w:sz w:val="18"/>
                <w:szCs w:val="18"/>
                <w:rFonts w:ascii="Arial" w:cs="Arial" w:eastAsia="Arial" w:hAnsi="Arial"/>
              </w:rPr>
              <w:t xml:space="preserve">f) Opportunità di miglioramento  [§9.3.2 f]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718096"/>
                <w:sz w:val="20"/>
                <w:szCs w:val="20"/>
                <w:rFonts w:ascii="Arial" w:cs="Arial" w:eastAsia="Arial" w:hAnsi="Arial"/>
              </w:rPr>
              <w:t xml:space="preserve">{input_improvements}</w:t>
            </w:r>
          </w:p>
        </w:tc>
      </w:tr>
    </w:tbl>
    <w:p>
      <w:pPr>
        <w:spacing w:before="0" w:after="120"/>
        <w:jc w:val="left"/>
      </w:pPr>
      <w:r>
        <w:rPr>
          <w:b w:val="false"/>
          <w:bCs w:val="false"/>
          <w:color w:val="000000"/>
          <w:sz w:val="20"/>
          <w:szCs w:val="20"/>
          <w:rFonts w:ascii="Arial" w:cs="Arial" w:eastAsia="Arial" w:hAnsi="Arial"/>
        </w:rPr>
      </w:r>
    </w:p>
    <w:p>
      <w:pPr>
        <w:pStyle w:val="Heading2"/>
        <w:pBdr>
          <w:bottom w:val="single" w:color="2B6CB0" w:sz="4"/>
        </w:pBdr>
        <w:shd w:fill="EBF8FF" w:val="solid"/>
        <w:spacing w:before="280" w:after="80"/>
      </w:pPr>
      <w:r>
        <w:t xml:space="preserve">4 — §9.3.3 Output del riesame</w:t>
      </w:r>
    </w:p>
    <w:p>
      <w:pPr>
        <w:spacing w:before="0" w:after="120"/>
        <w:jc w:val="left"/>
      </w:pPr>
      <w:r>
        <w:rPr>
          <w:b w:val="false"/>
          <w:bCs w:val="false"/>
          <w:color w:val="718096"/>
          <w:sz w:val="18"/>
          <w:szCs w:val="18"/>
          <w:rFonts w:ascii="Arial" w:cs="Arial" w:eastAsia="Arial" w:hAnsi="Arial"/>
        </w:rPr>
        <w:t xml:space="preserve">Le decisioni e le azioni emerse dal riesame sono le seguenti:</w:t>
      </w:r>
    </w:p>
    <w:p>
      <w:pPr>
        <w:spacing w:before="0" w:after="120"/>
        <w:jc w:val="left"/>
      </w:pPr>
      <w:r>
        <w:rPr>
          <w:b w:val="false"/>
          <w:bCs w:val="false"/>
          <w:color w:val="000000"/>
          <w:sz w:val="20"/>
          <w:szCs w:val="20"/>
          <w:rFonts w:ascii="Arial" w:cs="Arial" w:eastAsia="Arial" w:hAnsi="Arial"/>
        </w:rPr>
      </w:r>
    </w:p>
    <w:tbl>
      <w:tblPr>
        <w:tblW w:type="pct" w:w="100%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1A365D"/>
                <w:sz w:val="18"/>
                <w:szCs w:val="18"/>
                <w:rFonts w:ascii="Arial" w:cs="Arial" w:eastAsia="Arial" w:hAnsi="Arial"/>
              </w:rPr>
              <w:t xml:space="preserve">Opportunità di miglioramento  [§9.3.3 a]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718096"/>
                <w:sz w:val="20"/>
                <w:szCs w:val="20"/>
                <w:rFonts w:ascii="Arial" w:cs="Arial" w:eastAsia="Arial" w:hAnsi="Arial"/>
              </w:rPr>
              <w:t xml:space="preserve">{output_improvements}</w:t>
            </w:r>
          </w:p>
        </w:tc>
      </w:tr>
    </w:tbl>
    <w:p>
      <w:pPr>
        <w:spacing w:before="0" w:after="120"/>
        <w:jc w:val="left"/>
      </w:pPr>
      <w:r>
        <w:rPr>
          <w:b w:val="false"/>
          <w:bCs w:val="false"/>
          <w:color w:val="000000"/>
          <w:sz w:val="20"/>
          <w:szCs w:val="20"/>
          <w:rFonts w:ascii="Arial" w:cs="Arial" w:eastAsia="Arial" w:hAnsi="Arial"/>
        </w:rPr>
      </w:r>
    </w:p>
    <w:tbl>
      <w:tblPr>
        <w:tblW w:type="pct" w:w="100%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1A365D"/>
                <w:sz w:val="18"/>
                <w:szCs w:val="18"/>
                <w:rFonts w:ascii="Arial" w:cs="Arial" w:eastAsia="Arial" w:hAnsi="Arial"/>
              </w:rPr>
              <w:t xml:space="preserve">Modifiche al SGQ  [§9.3.3 b]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718096"/>
                <w:sz w:val="20"/>
                <w:szCs w:val="20"/>
                <w:rFonts w:ascii="Arial" w:cs="Arial" w:eastAsia="Arial" w:hAnsi="Arial"/>
              </w:rPr>
              <w:t xml:space="preserve">{output_sgq_changes}</w:t>
            </w:r>
          </w:p>
        </w:tc>
      </w:tr>
    </w:tbl>
    <w:p>
      <w:pPr>
        <w:spacing w:before="0" w:after="120"/>
        <w:jc w:val="left"/>
      </w:pPr>
      <w:r>
        <w:rPr>
          <w:b w:val="false"/>
          <w:bCs w:val="false"/>
          <w:color w:val="000000"/>
          <w:sz w:val="20"/>
          <w:szCs w:val="20"/>
          <w:rFonts w:ascii="Arial" w:cs="Arial" w:eastAsia="Arial" w:hAnsi="Arial"/>
        </w:rPr>
      </w:r>
    </w:p>
    <w:tbl>
      <w:tblPr>
        <w:tblW w:type="pct" w:w="100%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1A365D"/>
                <w:sz w:val="18"/>
                <w:szCs w:val="18"/>
                <w:rFonts w:ascii="Arial" w:cs="Arial" w:eastAsia="Arial" w:hAnsi="Arial"/>
              </w:rPr>
              <w:t xml:space="preserve">Fabbisogno di risorse  [§9.3.3 c]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718096"/>
                <w:sz w:val="20"/>
                <w:szCs w:val="20"/>
                <w:rFonts w:ascii="Arial" w:cs="Arial" w:eastAsia="Arial" w:hAnsi="Arial"/>
              </w:rPr>
              <w:t xml:space="preserve">{output_resources}</w:t>
            </w:r>
          </w:p>
        </w:tc>
      </w:tr>
    </w:tbl>
    <w:p>
      <w:pPr>
        <w:spacing w:before="0" w:after="120"/>
        <w:jc w:val="left"/>
      </w:pPr>
      <w:r>
        <w:rPr>
          <w:b w:val="false"/>
          <w:bCs w:val="false"/>
          <w:color w:val="000000"/>
          <w:sz w:val="20"/>
          <w:szCs w:val="20"/>
          <w:rFonts w:ascii="Arial" w:cs="Arial" w:eastAsia="Arial" w:hAnsi="Arial"/>
        </w:rPr>
      </w:r>
    </w:p>
    <w:p>
      <w:pPr>
        <w:pStyle w:val="Heading2"/>
        <w:pBdr>
          <w:bottom w:val="single" w:color="2B6CB0" w:sz="4"/>
        </w:pBdr>
        <w:shd w:fill="EBF8FF" w:val="solid"/>
        <w:spacing w:before="280" w:after="80"/>
      </w:pPr>
      <w:r>
        <w:t xml:space="preserve">5 — Note e conclusioni</w:t>
      </w:r>
    </w:p>
    <w:tbl>
      <w:tblPr>
        <w:tblW w:type="pct" w:w="100%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1A365D"/>
                <w:sz w:val="18"/>
                <w:szCs w:val="18"/>
                <w:rFonts w:ascii="Arial" w:cs="Arial" w:eastAsia="Arial" w:hAnsi="Arial"/>
              </w:rPr>
              <w:t xml:space="preserve">Note generali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718096"/>
                <w:sz w:val="20"/>
                <w:szCs w:val="20"/>
                <w:rFonts w:ascii="Arial" w:cs="Arial" w:eastAsia="Arial" w:hAnsi="Arial"/>
              </w:rPr>
              <w:t xml:space="preserve">{notes}</w:t>
            </w:r>
          </w:p>
        </w:tc>
      </w:tr>
    </w:tbl>
    <w:p>
      <w:pPr>
        <w:spacing w:before="0" w:after="120"/>
        <w:jc w:val="left"/>
      </w:pPr>
      <w:r>
        <w:rPr>
          <w:b w:val="false"/>
          <w:bCs w:val="false"/>
          <w:color w:val="000000"/>
          <w:sz w:val="20"/>
          <w:szCs w:val="20"/>
          <w:rFonts w:ascii="Arial" w:cs="Arial" w:eastAsia="Arial" w:hAnsi="Arial"/>
        </w:rPr>
      </w:r>
    </w:p>
    <w:p>
      <w:pPr>
        <w:pStyle w:val="Heading2"/>
        <w:pBdr>
          <w:bottom w:val="single" w:color="2B6CB0" w:sz="4"/>
        </w:pBdr>
        <w:shd w:fill="EBF8FF" w:val="solid"/>
        <w:spacing w:before="280" w:after="80"/>
      </w:pPr>
      <w:r>
        <w:t xml:space="preserve">6 — Firme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rFonts w:ascii="Arial" w:cs="Arial" w:eastAsia="Arial" w:hAnsi="Arial"/>
              </w:rPr>
              <w:t xml:space="preserve">Presidente / Resp. SGQ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Data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Firma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{chairperson}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  <w:t xml:space="preserve">{review_date}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  <w:rFonts w:ascii="Arial" w:cs="Arial" w:eastAsia="Arial" w:hAnsi="Arial"/>
              </w:rPr>
            </w:r>
          </w:p>
        </w:tc>
      </w:tr>
    </w:tbl>
    <w:p>
      <w:pPr>
        <w:spacing w:before="0" w:after="120"/>
        <w:jc w:val="left"/>
      </w:pPr>
      <w:r>
        <w:rPr>
          <w:b w:val="false"/>
          <w:bCs w:val="false"/>
          <w:color w:val="000000"/>
          <w:sz w:val="20"/>
          <w:szCs w:val="20"/>
          <w:rFonts w:ascii="Arial" w:cs="Arial" w:eastAsia="Arial" w:hAnsi="Arial"/>
        </w:rPr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 w:val="false"/>
        <w:bCs w:val="false"/>
        <w:color w:val="718096"/>
        <w:sz w:val="16"/>
        <w:szCs w:val="16"/>
        <w:rFonts w:ascii="Arial" w:cs="Arial" w:eastAsia="Arial" w:hAnsi="Arial"/>
      </w:rPr>
      <w:t xml:space="preserve">Pagina </w:t>
    </w:r>
    <w:r>
      <w:rPr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b w:val="false"/>
        <w:bCs w:val="false"/>
        <w:color w:val="718096"/>
        <w:sz w:val="16"/>
        <w:szCs w:val="16"/>
        <w:rFonts w:ascii="Arial" w:cs="Arial" w:eastAsia="Arial" w:hAnsi="Arial"/>
      </w:rPr>
      <w:t xml:space="preserve"> di </w:t>
    </w:r>
    <w:r>
      <w:rPr>
        <w:color w:val="71809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b w:val="false"/>
        <w:bCs w:val="false"/>
        <w:color w:val="718096"/>
        <w:sz w:val="16"/>
        <w:szCs w:val="16"/>
        <w:rFonts w:ascii="Arial" w:cs="Arial" w:eastAsia="Arial" w:hAnsi="Arial"/>
      </w:rPr>
      <w:t xml:space="preserve">  —  SGQ ISO 9001:2015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20"/>
      <w:jc w:val="right"/>
    </w:pPr>
    <w:r>
      <w:rPr>
        <w:b/>
        <w:bCs/>
        <w:color w:val="1A365D"/>
        <w:sz w:val="18"/>
        <w:szCs w:val="18"/>
        <w:rFonts w:ascii="Arial" w:cs="Arial" w:eastAsia="Arial" w:hAnsi="Arial"/>
      </w:rPr>
      <w:t xml:space="preserve">Riesame di Direzione </w:t>
    </w:r>
    <w:r>
      <w:rPr>
        <w:b w:val="false"/>
        <w:bCs w:val="false"/>
        <w:color w:val="718096"/>
        <w:sz w:val="18"/>
        <w:szCs w:val="18"/>
        <w:rFonts w:ascii="Arial" w:cs="Arial" w:eastAsia="Arial" w:hAnsi="Arial"/>
      </w:rPr>
      <w:t xml:space="preserve">{review_number}  —  {company_name}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rPr>
      <w:b/>
      <w:bCs/>
      <w:color w:val="1A365D"/>
      <w:sz w:val="24"/>
      <w:szCs w:val="24"/>
      <w:rFonts w:ascii="Arial" w:cs="Arial" w:eastAsia="Arial" w:hAnsi="Arial"/>
    </w:rPr>
  </w:style>
  <w:style w:type="paragraph" w:styleId="Heading3">
    <w:name w:val="Heading 3"/>
    <w:rPr>
      <w:b/>
      <w:bCs/>
      <w:color w:val="2B6CB0"/>
      <w:sz w:val="20"/>
      <w:szCs w:val="20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2026-06-23T07:03:09.302Z</dcterms:created>
  <dcterms:modified xsi:type="dcterms:W3CDTF">2026-06-23T07:03:09.302Z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