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55" w:rsidRPr="007305F6" w:rsidRDefault="00014955" w:rsidP="00BF17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bookmarkStart w:id="0" w:name="begin"/>
      <w:bookmarkEnd w:id="0"/>
      <w:r w:rsidRPr="007305F6">
        <w:rPr>
          <w:rFonts w:ascii="Arial" w:eastAsia="Times New Roman" w:hAnsi="Arial" w:cs="Arial"/>
          <w:b/>
          <w:bCs/>
          <w:color w:val="000000"/>
          <w:kern w:val="36"/>
          <w:sz w:val="44"/>
          <w:szCs w:val="32"/>
          <w:lang w:eastAsia="ru-RU"/>
        </w:rPr>
        <w:t>Введение в MDX. Часть 1</w:t>
      </w:r>
    </w:p>
    <w:p w:rsidR="00014955" w:rsidRPr="007305F6" w:rsidRDefault="00014955" w:rsidP="00014955">
      <w:pPr>
        <w:spacing w:before="200" w:after="20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b/>
          <w:bCs/>
          <w:i/>
          <w:iCs/>
          <w:color w:val="000000"/>
          <w:sz w:val="24"/>
          <w:szCs w:val="18"/>
          <w:lang w:eastAsia="ru-RU"/>
        </w:rPr>
        <w:t xml:space="preserve">Полина Трофимова, Алексей </w:t>
      </w:r>
      <w:proofErr w:type="spellStart"/>
      <w:r w:rsidRPr="007305F6">
        <w:rPr>
          <w:rFonts w:ascii="Arial" w:eastAsia="Times New Roman" w:hAnsi="Arial" w:cs="Arial"/>
          <w:b/>
          <w:bCs/>
          <w:i/>
          <w:iCs/>
          <w:color w:val="000000"/>
          <w:sz w:val="24"/>
          <w:szCs w:val="18"/>
          <w:lang w:eastAsia="ru-RU"/>
        </w:rPr>
        <w:t>Шуленин</w:t>
      </w:r>
      <w:proofErr w:type="spellEnd"/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5" w:anchor="01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Предисловие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6" w:anchor="02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Область действия и основное назначение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7" w:anchor="03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Основные понятия многомерной модели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8" w:anchor="04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Пример многомерной модели (куб «Учет рейсов»)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9" w:anchor="05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Кубы и ячейки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10" w:anchor="06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Базовые термины языка MDX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11" w:anchor="07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Пример запроса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12" w:anchor="08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Описание осей результирующего набора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13" w:anchor="09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Функции и выражения языка MDX</w:t>
        </w:r>
      </w:hyperlink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  </w:t>
      </w:r>
      <w:hyperlink r:id="rId14" w:anchor="10" w:history="1"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Навигация по дереву измерений</w:t>
        </w:r>
      </w:hyperlink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  </w:t>
      </w:r>
      <w:hyperlink r:id="rId15" w:anchor="11" w:history="1"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Выражения, не зависящие от уровня</w:t>
        </w:r>
      </w:hyperlink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  </w:t>
      </w:r>
      <w:hyperlink r:id="rId16" w:anchor="12" w:history="1"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На том же уровне (</w:t>
        </w:r>
        <w:proofErr w:type="spellStart"/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CurrentMember</w:t>
        </w:r>
        <w:proofErr w:type="spellEnd"/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 xml:space="preserve">; </w:t>
        </w:r>
        <w:proofErr w:type="spellStart"/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PrevMember</w:t>
        </w:r>
        <w:proofErr w:type="spellEnd"/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)</w:t>
        </w:r>
      </w:hyperlink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  </w:t>
      </w:r>
      <w:hyperlink r:id="rId17" w:anchor="13" w:history="1"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Уровень ниже, уровень выше</w:t>
        </w:r>
      </w:hyperlink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18" w:anchor="14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Другие функции и выражения</w:t>
        </w:r>
      </w:hyperlink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  </w:t>
      </w:r>
      <w:hyperlink r:id="rId19" w:anchor="15" w:history="1">
        <w:r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ORDER</w:t>
        </w:r>
      </w:hyperlink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  </w:t>
      </w:r>
      <w:proofErr w:type="spellStart"/>
      <w:r w:rsidR="00BF174E" w:rsidRPr="007305F6">
        <w:rPr>
          <w:sz w:val="32"/>
        </w:rPr>
        <w:fldChar w:fldCharType="begin"/>
      </w:r>
      <w:r w:rsidR="00BF174E" w:rsidRPr="007305F6">
        <w:rPr>
          <w:sz w:val="32"/>
        </w:rPr>
        <w:instrText xml:space="preserve"> HYPERLINK "http://compress.ru/article.aspx?id=9512" \l "16" </w:instrText>
      </w:r>
      <w:r w:rsidR="00BF174E" w:rsidRPr="007305F6">
        <w:rPr>
          <w:sz w:val="32"/>
        </w:rPr>
        <w:fldChar w:fldCharType="separate"/>
      </w:r>
      <w:r w:rsidRPr="007305F6">
        <w:rPr>
          <w:rFonts w:ascii="Arial" w:eastAsia="Times New Roman" w:hAnsi="Arial" w:cs="Arial"/>
          <w:b/>
          <w:bCs/>
          <w:color w:val="808080"/>
          <w:sz w:val="24"/>
          <w:szCs w:val="18"/>
          <w:u w:val="single"/>
          <w:lang w:eastAsia="ru-RU"/>
        </w:rPr>
        <w:t>NonEmpty</w:t>
      </w:r>
      <w:proofErr w:type="spellEnd"/>
      <w:r w:rsidR="00BF174E" w:rsidRPr="007305F6">
        <w:rPr>
          <w:rFonts w:ascii="Arial" w:eastAsia="Times New Roman" w:hAnsi="Arial" w:cs="Arial"/>
          <w:b/>
          <w:bCs/>
          <w:color w:val="808080"/>
          <w:sz w:val="24"/>
          <w:szCs w:val="18"/>
          <w:u w:val="single"/>
          <w:lang w:eastAsia="ru-RU"/>
        </w:rPr>
        <w:fldChar w:fldCharType="end"/>
      </w:r>
    </w:p>
    <w:p w:rsidR="00014955" w:rsidRPr="007305F6" w:rsidRDefault="007305F6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hyperlink r:id="rId20" w:anchor="17" w:history="1">
        <w:r w:rsidR="00014955" w:rsidRPr="007305F6">
          <w:rPr>
            <w:rFonts w:ascii="Arial" w:eastAsia="Times New Roman" w:hAnsi="Arial" w:cs="Arial"/>
            <w:b/>
            <w:bCs/>
            <w:color w:val="808080"/>
            <w:sz w:val="24"/>
            <w:szCs w:val="18"/>
            <w:u w:val="single"/>
            <w:lang w:eastAsia="ru-RU"/>
          </w:rPr>
          <w:t>Пример визуализации конструирования MDX-запроса в клиентских приложениях</w:t>
        </w:r>
      </w:hyperlink>
    </w:p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1" w:name="01"/>
      <w:bookmarkEnd w:id="1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Предисловие</w:t>
      </w:r>
    </w:p>
    <w:p w:rsidR="00014955" w:rsidRPr="007305F6" w:rsidRDefault="00BF174E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>M</w:t>
      </w:r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DX (</w:t>
      </w:r>
      <w:proofErr w:type="spellStart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MultiDimensional</w:t>
      </w:r>
      <w:proofErr w:type="spellEnd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eXpressions</w:t>
      </w:r>
      <w:proofErr w:type="spellEnd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 — язык запросов к многомерным данным) был впервые введен в рамках спецификации OLE DB </w:t>
      </w:r>
      <w:proofErr w:type="spellStart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for</w:t>
      </w:r>
      <w:proofErr w:type="spellEnd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OLAP для работы с многомерными кубами. MDX — это расширение языка SQL (изначально ориентированного, как известно, на реляционную модель данных), предназначенное для манипуляции многомерным представлением информации, наиболее удобным для задач анализа. Действительно, их синтаксис во многом схож, и для тех читателей, кому довелось работать с SQL, освоение MDX не составит особого труда. Будучи открытым стандартом, MDX является основным инструментом программирования для </w:t>
      </w:r>
      <w:proofErr w:type="spellStart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Microsoft</w:t>
      </w:r>
      <w:proofErr w:type="spellEnd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SQL </w:t>
      </w:r>
      <w:proofErr w:type="spellStart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Server</w:t>
      </w:r>
      <w:proofErr w:type="spellEnd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2000 </w:t>
      </w:r>
      <w:proofErr w:type="spellStart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Analysis</w:t>
      </w:r>
      <w:proofErr w:type="spellEnd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Services</w:t>
      </w:r>
      <w:proofErr w:type="spellEnd"/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. Учитывая актуальность аналитических приложений в современном бизнесе, следует отметить, что знание MDX позволяет значительно упростить их разработку на всех этапах производственного цикла начиная с постановки задачи, так как этот язык специально создавался для указанной предметной области и оперирует привычными для аналитика категориями.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Эта статья носит вводный характер. Не подменяя собой руководство по языку MDX, она знакомит читателя с описанием базовых синтаксических конструкций. Во второй части статьи мы продолжим систематизировать подход к решению практических задач программирования бизнес-логики, с которыми авторы столкнулись в реальных проектах.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014955">
        <w:tc>
          <w:tcPr>
            <w:tcW w:w="2500" w:type="pct"/>
            <w:shd w:val="clear" w:color="auto" w:fill="auto"/>
            <w:vAlign w:val="center"/>
            <w:hideMark/>
          </w:tcPr>
          <w:p w:rsidR="00014955" w:rsidRPr="007305F6" w:rsidRDefault="007305F6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hyperlink r:id="rId21" w:anchor="begin" w:history="1"/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014955" w:rsidRPr="007305F6" w:rsidRDefault="007305F6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hyperlink r:id="rId22" w:anchor="begin" w:history="1"/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2" w:name="02"/>
      <w:bookmarkEnd w:id="2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Область действия и основное назначение</w:t>
      </w:r>
    </w:p>
    <w:p w:rsidR="008C7600" w:rsidRPr="007305F6" w:rsidRDefault="00BF174E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С</w:t>
      </w:r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уществуют два основных аспекта использования MDX (</w:t>
      </w:r>
      <w:hyperlink r:id="rId23" w:history="1">
        <w:r w:rsidR="00014955"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</w:t>
        </w:r>
      </w:hyperlink>
      <w:r w:rsidR="00014955"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). </w:t>
      </w:r>
    </w:p>
    <w:p w:rsidR="00EB4BB6" w:rsidRPr="007305F6" w:rsidRDefault="00EB4BB6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lastRenderedPageBreak/>
        <w:drawing>
          <wp:inline distT="0" distB="0" distL="0" distR="0" wp14:anchorId="30C6B66C" wp14:editId="5251105F">
            <wp:extent cx="3333750" cy="2305050"/>
            <wp:effectExtent l="0" t="0" r="0" b="0"/>
            <wp:docPr id="1" name="Рисунок 1" descr="http://compress.ru/archive/cp/2002/1/37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ress.ru/archive/cp/2002/1/37/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Первым и наиболее распространенным является построение запросов для получения наборов данных, находящихся в многомерной структуре. При построении запроса используется метаинформация, описывающая данные в терминах предметной области.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Вторым аспектом MDX, зачастую недооцениваемым на практике, служит формирование бизнес-модели, на основе которой возможно проведение наиболее полного и емкого анализа данных предприятия или организации. Для достижения этой цели необходимы не только базовые знания языка MDX, но и профессиональное владение предметной областью (будь то финансовый анализ банковской деятельности или управление авиапредприятием).</w:t>
      </w:r>
    </w:p>
    <w:p w:rsidR="00EB4BB6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 графике (</w:t>
      </w:r>
      <w:hyperlink r:id="rId25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2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</w:t>
      </w:r>
    </w:p>
    <w:p w:rsidR="008C7600" w:rsidRPr="007305F6" w:rsidRDefault="008C7600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</w:p>
    <w:p w:rsidR="00EB4BB6" w:rsidRPr="007305F6" w:rsidRDefault="00EB4BB6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0AEDDCC3" wp14:editId="623AECEB">
            <wp:extent cx="3810635" cy="2394585"/>
            <wp:effectExtent l="0" t="0" r="0" b="5715"/>
            <wp:docPr id="2" name="Рисунок 2" descr="http://compress.ru/archive/cp/2002/1/37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ress.ru/archive/cp/2002/1/37/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изображена зависимость возможностей разработчика MDX от изученной им функциональности языка. Следует отметить, </w:t>
      </w:r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что</w:t>
      </w:r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хотя владение базовыми конструкциями языка является необходимым этапом в освоении многомерной модели, основная сила MDX осознается при следующем шаге — овладении моделированием бизнес-логики. Именно здесь происходит качественный скачок в знаниях, осуществляется их систематизация и из набора разрозненных функций и выражений образуется стройная система организации бизнес-логики и формирования запросов. Дальнейшее совершенствование в основном касается оптимизации выполнения запросов. Это также является немаловажным аспектом при построении промышленных аналитических систем.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Благодаря грамотно построенной бизнес-логике значительно упрощается задача построения запросов. Цель разработчика MDX состоит в том, чтобы скрыть от пользователя громоздкую логику формирования расчетных величин —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>будь то обычный нарастающий итог или значение средневзвешенной продукции, предоставив ему возможность выбора этих величин как обычных мер и членов измерений.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Задачи языка можно определить следующим образом:</w:t>
      </w:r>
    </w:p>
    <w:p w:rsidR="00014955" w:rsidRPr="007305F6" w:rsidRDefault="00014955" w:rsidP="00014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MDX «понимает» многомерную модель устройства данных (куб, измерение, мера, ячейка);</w:t>
      </w:r>
    </w:p>
    <w:p w:rsidR="00014955" w:rsidRPr="007305F6" w:rsidRDefault="00014955" w:rsidP="00014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язык позволяет осуществлять навигацию по многомерному пространству и определенным над ним иерархиям;</w:t>
      </w:r>
    </w:p>
    <w:p w:rsidR="00014955" w:rsidRPr="007305F6" w:rsidRDefault="00014955" w:rsidP="00014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MDX нужен не только разработчикам и администраторам — он может быть полезен практически всем пользователям аналитических приложений.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014955">
        <w:tc>
          <w:tcPr>
            <w:tcW w:w="2500" w:type="pct"/>
            <w:shd w:val="clear" w:color="auto" w:fill="auto"/>
            <w:vAlign w:val="center"/>
            <w:hideMark/>
          </w:tcPr>
          <w:p w:rsidR="00014955" w:rsidRPr="007305F6" w:rsidRDefault="007305F6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hyperlink r:id="rId27" w:anchor="begin" w:history="1"/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014955" w:rsidRPr="007305F6" w:rsidRDefault="007305F6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hyperlink r:id="rId28" w:anchor="begin" w:history="1"/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3" w:name="03"/>
      <w:bookmarkEnd w:id="3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Основные понятия многомерной модели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drawing>
          <wp:inline distT="0" distB="0" distL="0" distR="0" wp14:anchorId="099FE989" wp14:editId="56CEF167">
            <wp:extent cx="198120" cy="218440"/>
            <wp:effectExtent l="0" t="0" r="0" b="0"/>
            <wp:docPr id="18" name="Рисунок 18" descr="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оскольку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перевод некоторых терминов, используемых в технологиях OLAP, на русский язык еще не утвердился окончательно, мы опишем необходимый набор ключевых слов, которые будут использованы в статье.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Хранилище данных, ХД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DataWarehouse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DW) — информация, получаемая из различных источников и накапливаемая в течение продолжительного промежутка времени и отражающая основные или наиболее значимые направления деятельности предприятия, а также средства хранения этой информации и обеспечения доступа к ней.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Сервер анализа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Analysis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 — структура хранения многомерных данных и метаданных, в простейшем случае специальным образом организованная, содержащая описания создаваемых запросов и формул и другую аналитическую информацию плюс программные средства для поддержания ее целостности и выполнения запросов.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Куб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Cube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 — часть данных сервера анализа, относящаяся к определенной предметной области, с которой осуществляется работа. Куб представлен набором мер и измерений.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Мера, или факт, или показатель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Measure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 — параметры предметной области, служащие предметом анализа.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Измерение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Dimension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 — понятия предметной области, на основании анализируются меры. Каждое измерение может иметь иерархическую структуру уровней. В частности, измерение Время может включать уровни Год, Квартал, Месяц, Число, а измерение География может включать уровни Весь мир, Страна, Город.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Член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Member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 — единица описания на каждом уровне иерархии. Например, для измерения География. На уровне городов это — Москва, Санкт-Петербург, Киев, Россия, Украина и т.д.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Кортеж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Tuple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  — коллекция членов одного или нескольких разных измерений. Необходим для определения местоположения конкретной ячейки внутри многомерного куба или набора ячеек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), участвующих в запросе.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Множество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 — набор кортежей.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4" w:name="04"/>
      <w:bookmarkEnd w:id="4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Пример многомерной модели (куб «Учет рейсов»)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 wp14:anchorId="54DBACE7" wp14:editId="0A8501C6">
            <wp:extent cx="198120" cy="218440"/>
            <wp:effectExtent l="0" t="0" r="0" b="0"/>
            <wp:docPr id="17" name="Рисунок 17" descr="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 качестве примера многомерной модели данных рассмотрим куб «Учет рейсов», созданный на основе данных, которые поступят из транзакционных приложений, регистрирующих деятельность абстрактного аэропорта. Сами данные (архив многомерной базы «Авиаперевозки.CAB» и резервная копия транзакционной БД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Flights.bak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) находятся на прилагаемом к журналу компакт-диске. Если у вас установлен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Microsoft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SQL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2000, вы можете воспользоваться ими, чтобы практическая работа с примерами была более наглядной. Для работы с приведенными здесь примерами можно использовать модельное клиентское приложение MDX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Sample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Application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в составе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Analysis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Services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Итак, данные оперативных систем погружены в куб для решения задач анализа объемных (не финансовых) результатов работы аэропорта. В этом случае будут анализироваться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пассажиро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- и грузопотоки, поэтому в качестве мер (показателей) куба «Учет рейсов» будут фигурировать данные о количестве пассажиров и весе перевозимых авиалайнерами грузов. Теперь рассмотрим, в каких разрезах необходимо проводить анализ, то есть какие требуются измерения. Представим, что экономической службе аэропорта требуются сравнительные отчеты общих объемов ежемесячных и квартальных перевозок, а также возможность сопоставлять объемы перевозок различных авиакомпаний (для изменения условий контрактов с ними в области льгот и снижения тарифов оплаты по амортизационным взносам). Кроме того, для организации более логичного распределения грузоперевозок представляют интерес и географический анализ, и сравнительные данные различных типов самолетов. Таким образом, в куб включаются следующие измерения и меры:</w:t>
      </w:r>
    </w:p>
    <w:p w:rsidR="00014955" w:rsidRPr="007305F6" w:rsidRDefault="00014955" w:rsidP="00014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Измерения: Авиакомпания, Пункт назначения, Время, Тип самолета;</w:t>
      </w:r>
    </w:p>
    <w:p w:rsidR="00014955" w:rsidRPr="007305F6" w:rsidRDefault="00014955" w:rsidP="00014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Показатели: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Колво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пасс, Вес груза.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5" w:name="05"/>
      <w:bookmarkEnd w:id="5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Кубы и ячейки</w:t>
      </w:r>
    </w:p>
    <w:p w:rsidR="00EB4BB6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drawing>
          <wp:inline distT="0" distB="0" distL="0" distR="0" wp14:anchorId="1005D6FC" wp14:editId="4B153CF7">
            <wp:extent cx="218440" cy="225425"/>
            <wp:effectExtent l="0" t="0" r="0" b="3175"/>
            <wp:docPr id="16" name="Рисунок 16" descr="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ля того чтобы продемонстрировать структуру многомерного куба и объяснить, каким образом организован доступ к ячейкам, обратимся к </w:t>
      </w:r>
      <w:hyperlink r:id="rId32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3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</w:t>
      </w:r>
    </w:p>
    <w:p w:rsidR="00EB4BB6" w:rsidRPr="007305F6" w:rsidRDefault="00EB4BB6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08D0AB26" wp14:editId="484274FF">
            <wp:extent cx="2378710" cy="2352040"/>
            <wp:effectExtent l="0" t="0" r="2540" b="0"/>
            <wp:docPr id="3" name="Рисунок 3" descr="http://compress.ru/archive/cp/2002/1/37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press.ru/archive/cp/2002/1/37/3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на котором изображен трехмерный куб, содержащий данные о количестве пассажиров, весе почты и груза, перевозимых через аэропорт под названием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>«Мягкой посадки», в разрезе времени отправки рейсов и принадлежности самолетов авиакомпаниям.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Модель куба представляет собой набор ячеек, каждая из которых содержит значение одного из показателей (мер) и привязана к одному из значений каждого измерения. Например, данные ячейки содержат следующую информацию: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«43»: 31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мая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а/компанией «Комета» было перевезено 43 пассажира.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«50»: 1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июня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а/к «Орел» доставлено 50 тонн груза.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6" w:name="06"/>
      <w:bookmarkEnd w:id="6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Базовые термины языка MDX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drawing>
          <wp:inline distT="0" distB="0" distL="0" distR="0" wp14:anchorId="1B87FAD3" wp14:editId="4AAE33A3">
            <wp:extent cx="198120" cy="218440"/>
            <wp:effectExtent l="0" t="0" r="0" b="0"/>
            <wp:docPr id="15" name="Рисунок 15" descr="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спользуя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основные понятия и объекты многомерной модели, рассмотренные выше, обратимся к синтаксису языка.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Измерения и меры как частный случай измерений, например [Время], [Тип самолета], [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Measures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].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Analysis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Services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позволяет организовать несколько иерархий для одного измерения. Например, для различных отчетов могут потребоваться [Время</w:t>
      </w:r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].[</w:t>
      </w:r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недели от начала года] и [Время].[по месяцам]. В нашем примере каждое измерение имеет только одну иерархию. Остановимся более подробно на описании измерений в запросе (</w:t>
      </w:r>
      <w:hyperlink r:id="rId35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4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).</w:t>
      </w:r>
    </w:p>
    <w:p w:rsidR="00EB4BB6" w:rsidRPr="007305F6" w:rsidRDefault="00EB4BB6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17FFDCE4" wp14:editId="4DC9E727">
            <wp:extent cx="1628140" cy="2315210"/>
            <wp:effectExtent l="0" t="0" r="0" b="8890"/>
            <wp:docPr id="4" name="Рисунок 4" descr="http://compress.ru/archive/cp/2002/1/37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press.ru/archive/cp/2002/1/37/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Как правило, измерение содержит несколько уровней, по которым производится агрегация показателей.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Например, для измерения «Время» обычно имеются уровни: [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All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] (сумма всех загруженных в ХД дней), [Год] (сумма за год), [Месяц] (агрегация по конкретному дню), [День] (данные непосредственно за день).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Для аналитических систем регистрация временных величин ниже уровня [День] обычно не производится, так как системы поддержки и принятия решений основываются не на оперативном, а на временном, более глобальном, анализе. Измерение [Пункт назначения] разбито на уровни по географической принадлежности пунктов назначения рейсов: [Регион], [Страна], [Город].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Именование измерений производится следующим образом. Все заголовки, включающие специальные символы (пробелы, русские буквы и т.д.), заключаются в квадратные скобки. Для указания необходимого члена измерения можно прописать весь путь к нему, разделяя имена членов каждого уровня точками, например: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31 мая 2000 г [Время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Все время].[2000].[Май].[31].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>Членом измерения может быть значение на любом уровне измерения, в частности значение месяца, года или общее значение [Все время]. Необходимо отметить, что у каждого измерения существует член по умолчанию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default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member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), который используется в случае, если описание измерения в явном виде в запросе не участвует. Обычно в роли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Default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Member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выступает единственный член специального уровня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All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который добавляется автоматически при создании измерения и содержит совокупные результаты по всему данному измерению. Если этот уровень отсутствует (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Advanced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-&gt;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All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Level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=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No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), то в его роли выступает первый член следующего уровня. В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Analysis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Services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(в отличие от OLAP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Services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версии 7.0) значением по умолчанию можно назначить любой член или MDX-выражение измерения.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Чтобы правильно сослаться на член измерения, необходимо описать полный путь к нему по иерархии измерения, начиная с самого верхнего уровня, например: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[Пункт назначения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Все пункты].[Россия].[РФ].[Москва]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Однако если имя члена уникально в пределах измерения, то можно опустить наименования промежуточных уровней: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[Пункт назначения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Москва],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а в случае уникальности среди измерений — и наименование самого измерения: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[Москва],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хотя мы бы не рекомендовали это делать.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Чтобы сослаться на ячейку «43» в примере трехмерного куба, необходимо описать следующий кортеж: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Комета], [Время].[2000].[Май].[31],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.[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пасс]),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Помните, что не вошедшие в кортеж измерения присутствуют в нем неявно за счет наличия членов по умолчанию. Таким образом, данный кортеж в действительности эквивалентен: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Комета], [Время].[2000], [Пункт назначения].[Все пункты], [Тип    самолета].[Все типы], 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пасс])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Порядок перечисления измерений и мер в кортеже не имеет существенного значения. Обратите внимание, что кортеж заключается в круглые скобки, в то время как множество — в фигурные: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{([Время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1997],[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].[Вес груза]), ([Время].[1998],[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].[Вес груза])}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Множество можно не заключать в фигурные скобки, если оно является результатом функции, например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[Пункт назначения].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Members</w:t>
      </w:r>
      <w:proofErr w:type="spellEnd"/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Набор всех членов в интервале задается при помощи двоеточия: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{[Время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1997]:[Время].[1999]}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7" w:name="07"/>
      <w:bookmarkEnd w:id="7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Пример запроса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drawing>
          <wp:inline distT="0" distB="0" distL="0" distR="0" wp14:anchorId="428C2632" wp14:editId="15A22555">
            <wp:extent cx="198120" cy="218440"/>
            <wp:effectExtent l="0" t="0" r="0" b="0"/>
            <wp:docPr id="14" name="Рисунок 14" descr="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родолжим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рассмотрение синтаксиса языка MDX, обратившись к простому запросу. Предположим, требуется получить сведения о ежемесячной перевозке пассажиров авиакомпанией «Орел» за январь и февраль 2000 года: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SELECT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lastRenderedPageBreak/>
        <w:t>{[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Орел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]} ON COLUMNS,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{[2000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Январь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],[2000].[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Февраль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]} ON ROWS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FROM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[Учет рейсов]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WHERE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пасс]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Результатом выполнения этого запроса будет набор данных, представленный на </w:t>
      </w:r>
      <w:hyperlink r:id="rId37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5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.</w:t>
      </w:r>
    </w:p>
    <w:p w:rsidR="00EB4BB6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087EE734" wp14:editId="077867A6">
            <wp:extent cx="1247140" cy="475615"/>
            <wp:effectExtent l="0" t="0" r="0" b="635"/>
            <wp:docPr id="5" name="Рисунок 5" descr="http://compress.ru/archive/cp/2002/1/37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ress.ru/archive/cp/2002/1/37/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00" w:rsidRPr="007305F6" w:rsidRDefault="008C7600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 запросе указаны только измерения «Авиакомпания» и «Время». По измерениям «Тип самолета», «Пункт назначения» члены не были указаны, и было принято значение «По умолчанию» (уровень [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All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]). В этом случае по типам самолетов и городам назначения произведена агрегация значений. Запрос с учетом всех измерений имеет следующий вид: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SELECT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Орел]} ON COLUMNS,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{[Январь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],[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Февраль]} ON ROWS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FROM [Учет рейсов]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WHERE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пасс] 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[Пункт назначения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Все пункты],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[Тип самолета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Все типы ])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Характерным отличием языка MDX от SQL является то, что результатом запроса всегда являются значения одной или нескольких мер. Невозможно получить значения измерений, оторванные от мер (фактов). Например, в случае трех наиболее напряженных по пассажиропотоку маршрутов (</w:t>
      </w:r>
      <w:hyperlink r:id="rId39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6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 запрос имеет следующий вид.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312CEFCC" wp14:editId="23F82A32">
            <wp:extent cx="1416685" cy="676275"/>
            <wp:effectExtent l="0" t="0" r="0" b="9525"/>
            <wp:docPr id="6" name="Рисунок 6" descr="http://compress.ru/archive/cp/2002/1/37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ress.ru/archive/cp/2002/1/37/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SELECT {[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Measures</w:t>
      </w:r>
      <w:proofErr w:type="spellEnd"/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].[</w:t>
      </w:r>
      <w:proofErr w:type="spellStart"/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Колво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пасс]}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on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columns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,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TopCount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(ORDER (FILTER([Пункт назначения].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Members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[Пункт назначения].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CurrentMember.Level.Name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=”Город”), [Пункт назначения].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CurrentMember.Name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BASC), 3, ([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Measures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].[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Колво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пасс])) ON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rowS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FROM [Учет рейсов]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 результирующем наборе помимо перечисленных городов отображается и столбец мер.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8" w:name="08"/>
      <w:bookmarkEnd w:id="8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Описание осей результирующего набора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drawing>
          <wp:inline distT="0" distB="0" distL="0" distR="0" wp14:anchorId="215EC32F" wp14:editId="4B72AFA0">
            <wp:extent cx="211455" cy="218440"/>
            <wp:effectExtent l="0" t="0" r="0" b="0"/>
            <wp:docPr id="13" name="Рисунок 13" descr="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си, по которым мы располагаем результаты MDX-запроса, не обязательно должны совпадать с измерениями куба. Мы можем расположить несколько измерений по одной оси, получив тем самым их декартово произведение. Например, для каждой авиакомпании будут перечислены все типы самолетов, вошедших в результаты запроса. Следовательно, нам необходимо в тексте запроса осуществить привязку множеств к конкретным осям отчета. Несмотря на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 xml:space="preserve">то что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Analysis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Services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позволяет возвращать истинно многомерные наборы данных, для простоты визуализации требуются, как правило, лишь плоские представления. Обычно используются лишь оси столбцов и строк (</w:t>
      </w:r>
      <w:hyperlink r:id="rId42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7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09C866E5" wp14:editId="68200388">
            <wp:extent cx="2182690" cy="1477648"/>
            <wp:effectExtent l="0" t="0" r="8255" b="8255"/>
            <wp:docPr id="7" name="Рисунок 7" descr="http://compress.ru/archive/cp/2002/1/37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press.ru/archive/cp/2002/1/37/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64" cy="148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select … on columns,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… on rows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from cube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where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…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 общем случае результирующий набор может быть многомерным (добавляются оси страниц, разделов, секций).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Каждой оси присваивается номер: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x-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axis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=0; y-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axis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=1; z-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axis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=2…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Для первых пяти осей используются именования и не допускается пропуск осей в запросе: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Columns 0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Rows 1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Pages 2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Sections 3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Chapters 4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Общий вид запроса и его графическое представление, иллюстрирующее размещение данных на нескольких осях, представлены на </w:t>
      </w:r>
      <w:hyperlink r:id="rId44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8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: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2F3455EB" wp14:editId="05D0E63A">
            <wp:extent cx="2867380" cy="2103648"/>
            <wp:effectExtent l="0" t="0" r="0" b="0"/>
            <wp:docPr id="8" name="Рисунок 8" descr="http://compress.ru/archive/cp/2002/1/37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press.ru/archive/cp/2002/1/37/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76" cy="21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select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axis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[,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axis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]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from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cube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where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slicer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[,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slicer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Нельзя располагать одно и то же измерение по разным осям отчета, поскольку такая операция лишена смысла.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9" w:name="09"/>
      <w:bookmarkEnd w:id="9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Функции и выражения языка MDX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 wp14:anchorId="48761EF8" wp14:editId="768EEF1A">
            <wp:extent cx="191135" cy="218440"/>
            <wp:effectExtent l="0" t="0" r="0" b="0"/>
            <wp:docPr id="12" name="Рисунок 12" descr="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Я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зык MDX включает в себя значительное количество функций и выражений, позволяющих обрабатывать многомерные данные в соответствии с бизнес-логикой приложения, </w:t>
      </w:r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например</w:t>
      </w:r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для получения отчетов. Некоторые из них носят избыточный характер, то есть могут быть выражены через другие функции. Это сделано для упрощения конечных формул, поскольку облегчает составление запроса к кубу и делает текст запроса лучше читаемым.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</w:pPr>
      <w:bookmarkStart w:id="10" w:name="10"/>
      <w:bookmarkEnd w:id="10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Навигация по дереву измерений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Набор функций, позволяющих ссылаться на одни члены измерения относительно других, называют функциями навигации. В MDX навигация осуществляется по измерениям, а точкой отсчета является член измерения, обрабатываемый в данный момент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Analysis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Services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(выражение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CurrentMember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), либо указанный в выражении член.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</w:pPr>
      <w:bookmarkStart w:id="11" w:name="11"/>
      <w:bookmarkEnd w:id="11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Выражения, не зависящие от уровня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Существуют два выражения, не зависящие от уровня точки отсчета.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Если требуется запросить все члены измерения независимо от уровня, на котором они расположены, используется функция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Members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Например, требуется получить полную информацию о пассажиропотоке в разрезе географии пунктов следования пассажиров и авиакомпаний-перевозчиков за 2000 год. В этом случае можно сформировать следующий запрос: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SELECT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{[Пункт назначения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Members</w:t>
      </w:r>
      <w:proofErr w:type="spellEnd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} ON ROWS,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Members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}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ON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COLUMNS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FROM 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Учет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рейсов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]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WHERE ([Время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Все Время].[2000],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proofErr w:type="spellStart"/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пасс])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 </w:t>
      </w:r>
      <w:hyperlink r:id="rId47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9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 приведен результат выполнения запроса. </w:t>
      </w:r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Выражение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Members</w:t>
      </w:r>
      <w:proofErr w:type="spellEnd"/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позволило получить все значения измерения [Пункт назначения].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199F402E" wp14:editId="0D6DDDF6">
            <wp:extent cx="3810635" cy="1532890"/>
            <wp:effectExtent l="0" t="0" r="0" b="0"/>
            <wp:docPr id="9" name="Рисунок 9" descr="http://compress.ru/archive/cp/2002/1/37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mpress.ru/archive/cp/2002/1/37/9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DefaultMember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— выражение, позволяющее работать со значением измерения по умолчанию.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  <w:bookmarkStart w:id="12" w:name="_GoBack"/>
            <w:bookmarkEnd w:id="12"/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</w:pPr>
      <w:bookmarkStart w:id="13" w:name="12"/>
      <w:bookmarkEnd w:id="13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На том же уровне (</w:t>
      </w:r>
      <w:proofErr w:type="spellStart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CurrentMember</w:t>
      </w:r>
      <w:proofErr w:type="spellEnd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 xml:space="preserve">; </w:t>
      </w:r>
      <w:proofErr w:type="spellStart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PrevMember</w:t>
      </w:r>
      <w:proofErr w:type="spellEnd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Для того чтобы перемещаться в пределах уровня, на котором находится точка отсчета, используются следующие функции. Ссылку на соседние члены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>измерения без указания имени члена обеспечивают выражения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PrevMember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NextMember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Допустим, требуется создать отчет, отображающий сведения на интересующий пользователя месяц в сравнении с предыдущим. На одну из осей отчета помещаем измерение «Время», месяц «март» (</w:t>
      </w:r>
      <w:hyperlink r:id="rId49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10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5E32793D" wp14:editId="5161F0D3">
            <wp:extent cx="2378710" cy="2029460"/>
            <wp:effectExtent l="0" t="0" r="2540" b="8890"/>
            <wp:docPr id="19" name="Рисунок 19" descr="http://compress.ru/archive/cp/2002/1/37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mpress.ru/archive/cp/2002/1/37/1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Чтобы сослаться в запросе на апрель, применим выражение: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[Время].[2000].[Март].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NextMember</w:t>
      </w:r>
      <w:proofErr w:type="spellEnd"/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Чтобы сослаться на февраль: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[Время].[2000].[Март].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PrevMember</w:t>
      </w:r>
      <w:proofErr w:type="spellEnd"/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Обратиться к члену январь можно, используя выражение: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[Время].[2000].[Март].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PrevMember.PrevMember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,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но удобнее применить более общую функцию: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[Время].[2000].[Март].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Lag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(2)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или: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[Время].[2000].[Март].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Lead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(-2)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Отрицательное число в скобках меняет направление отсчета членов измерения.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А теперь вернемся к нашему примеру. Представим, что главному экономисту аэропорта требуется отчет об объеме грузоперевозок за текущий год по сравнению с предыдущим (</w:t>
      </w:r>
      <w:hyperlink r:id="rId51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11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3560BC6C" wp14:editId="5B29590B">
            <wp:extent cx="4561205" cy="803275"/>
            <wp:effectExtent l="0" t="0" r="0" b="0"/>
            <wp:docPr id="20" name="Рисунок 20" descr="http://compress.ru/archive/cp/2002/1/37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mpress.ru/archive/cp/2002/1/37/1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WITH MEMBER [Measures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Вес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груза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пред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период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]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AS ‘([Measures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Вес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груза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],[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Время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].PREVMEMBER)’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SELECT CROSSJOIN({[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Время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2000], 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Время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 [2001]},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{[Measures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Вес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груза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], [Measures].[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Вес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груза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пред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период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]}) ON ROWS, {[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Авиакомпания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Комета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  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Ласточка]} ON COLUMNS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FROM [Учет рейсов]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Существует еще несколько функций для обращения к членам измерения на том же уровне:</w:t>
      </w:r>
    </w:p>
    <w:p w:rsidR="00014955" w:rsidRPr="007305F6" w:rsidRDefault="00014955" w:rsidP="00014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определение первого и последнего члена в ряду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FirstSibling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LastSibling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;</w:t>
      </w:r>
    </w:p>
    <w:p w:rsidR="00014955" w:rsidRPr="007305F6" w:rsidRDefault="00014955" w:rsidP="00014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определение «кузенов», принадлежащих другому родителю —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Cousin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().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</w:pPr>
      <w:bookmarkStart w:id="14" w:name="13"/>
      <w:bookmarkEnd w:id="14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lastRenderedPageBreak/>
        <w:t>Уровень ниже, уровень выше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Предполагается, что в момент выполнения запроса известны имена членов родителей или потомков интересующего члена. В примере отображены 2-го уровня измерения [Пункт назначения] — Страна и Город. Функциональность выражений, используемых в этой группе, очевидна: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Children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FirstChild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LastChild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— для известного родителя и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Parent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— для известного потомка.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Допустим, требуется регулярно предоставлять отчет о перевозках пассажиров и груза в пределах Российской Федерации (</w:t>
      </w:r>
      <w:hyperlink r:id="rId53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12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).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402F85A3" wp14:editId="7A268F49">
            <wp:extent cx="3810635" cy="2240915"/>
            <wp:effectExtent l="0" t="0" r="0" b="6985"/>
            <wp:docPr id="21" name="Рисунок 21" descr="http://compress.ru/archive/cp/2002/1/37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ompress.ru/archive/cp/2002/1/37/12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Для этого на ось строк поместим измерение [Пункт назначения]. Перечисление одного за другим всех городов России, имеющихся в измерении, могло бы решить поставленную задачу, но это не только приведет к удлинению запроса, но и заложит мину замедленного действия: спустя некоторое время может открыться рейс в город, в который ранее полеты не совершались, а потому его название не было включено в измерение. В результате подготовленный отчет станет неточен. Чтобы гарантировать пользователю актуальность созданных запросов, следует на оси строк расположить выражение (</w:t>
      </w:r>
      <w:hyperlink r:id="rId55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13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8C7600" w:rsidRPr="007305F6" w:rsidRDefault="008C7600" w:rsidP="008C7600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3453DD5B" wp14:editId="105FAD06">
            <wp:extent cx="2859405" cy="1474470"/>
            <wp:effectExtent l="0" t="0" r="0" b="0"/>
            <wp:docPr id="50" name="Рисунок 50" descr="http://compress.ru/archive/cp/2002/1/37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ompress.ru/archive/cp/2002/1/37/13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[Пункт назначения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РФ].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Children</w:t>
      </w:r>
      <w:proofErr w:type="spellEnd"/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Выражения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FirstChild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LastChild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определяют первого и последнего потомка родителя (</w:t>
      </w:r>
      <w:hyperlink r:id="rId57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14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).</w:t>
      </w:r>
    </w:p>
    <w:p w:rsidR="008C7600" w:rsidRPr="007305F6" w:rsidRDefault="00F05ABB" w:rsidP="00F05ABB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417D852A" wp14:editId="076A68C3">
            <wp:extent cx="2859405" cy="1410970"/>
            <wp:effectExtent l="0" t="0" r="0" b="0"/>
            <wp:docPr id="51" name="Рисунок 51" descr="http://compress.ru/archive/cp/2002/1/37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ompress.ru/archive/cp/2002/1/37/14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Чтобы определить родителя известного члена измерения, используется функция 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Parent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(</w:t>
      </w:r>
      <w:hyperlink r:id="rId59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15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).</w:t>
      </w:r>
    </w:p>
    <w:p w:rsidR="00F05ABB" w:rsidRPr="007305F6" w:rsidRDefault="00F05ABB" w:rsidP="00F05ABB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lastRenderedPageBreak/>
        <w:drawing>
          <wp:inline distT="0" distB="0" distL="0" distR="0" wp14:anchorId="1841C5C7" wp14:editId="2E4D1AF7">
            <wp:extent cx="2124710" cy="951230"/>
            <wp:effectExtent l="0" t="0" r="8890" b="1270"/>
            <wp:docPr id="52" name="Рисунок 52" descr="http://compress.ru/archive/cp/2002/1/37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ompress.ru/archive/cp/2002/1/37/15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Например, требуется узнать долю пассажиропотока интересующего пользователя города от общего количества перевезенных по стране пассажиров. Для этого применяем формулу: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Колвопасс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].[Пункт назначения].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CurrentMember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/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пасс].[Пункт назначения].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CurrentMember.Parent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*100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Для того чтобы определить «дедушку» (родителя родителя), </w:t>
      </w:r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например</w:t>
      </w:r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регион для города Алма-Ата, используем выражение: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Алма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-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Ата</w:t>
      </w:r>
      <w:proofErr w:type="spellEnd"/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Parent.Parent</w:t>
      </w:r>
      <w:proofErr w:type="spellEnd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– «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СНГ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».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В общем случае используется функция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Descendants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(), позволяющая ссылаться на члены измерений различных уровней.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15" w:name="14"/>
      <w:bookmarkEnd w:id="15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Другие функции и выражения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drawing>
          <wp:inline distT="0" distB="0" distL="0" distR="0" wp14:anchorId="2CB75825" wp14:editId="10BD5A23">
            <wp:extent cx="211455" cy="218440"/>
            <wp:effectExtent l="0" t="0" r="0" b="0"/>
            <wp:docPr id="11" name="Рисунок 11" descr="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ак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уже отмечалось ранее, на любой оси запроса возможно наличие сразу нескольких измерений. Сочетание членов одного измерения с другим дают пользователю возможность совмещать отчеты, ранее представленные ему раздельно, поскольку именно многомерная модель данных ориентирована на формирование подобных запросов.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Для получения декартова произведения членов измерений существует функция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CrossJoin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Допустим, экономической службе авиапредприятия требуется провести анализ перевозок авиакомпаний в разрезе регионов полетов за текущий и предыдущий годы. Чтобы построить отчет, разместим на оси строк [Пункт назначения].[Все пункты].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Children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 [Авиакомпания].[Все авиакомпании].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Children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а на оси столбцов разместим измерение [Время] (</w:t>
      </w:r>
      <w:hyperlink r:id="rId62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16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F05ABB" w:rsidRPr="007305F6" w:rsidRDefault="00F05ABB" w:rsidP="00F05ABB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4B37AA42" wp14:editId="318B9300">
            <wp:extent cx="2103755" cy="1410970"/>
            <wp:effectExtent l="0" t="0" r="0" b="0"/>
            <wp:docPr id="53" name="Рисунок 53" descr="http://compress.ru/archive/cp/2002/1/37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ompress.ru/archive/cp/2002/1/37/1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SELECT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CROSSJOIN(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{[Пункт назначения].[Все пункты].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Children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},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Все авиакомпании].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Children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})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ON ROWS,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{[Время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Все время].[2000], [Время].[Все время].[2001]} ON COLUMNS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FROM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[Учет рейсов]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Filter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, </w:t>
      </w:r>
      <w:proofErr w:type="spellStart"/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TopCount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),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TopSum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()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 xml:space="preserve">Функция </w:t>
      </w:r>
      <w:proofErr w:type="spellStart"/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CrossJoin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</w:t>
      </w:r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) позволяет увеличить результирующий набор строк за счет пересечения измерений, но нередко возникает необходимость уменьшить поток выходных данных, предъявляя определенные условия к мерам или измерениям. Задачи фильтрации данных занимают в многомерном анализе одно из первых мест по количеству запросов, которые используют функцию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Filter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 некоторые другие функции, служащие для отсечения ненужной информации.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В общем случае построения запроса недостаточно указать, какие измерения будут находиться на осях, а по каким будет произведен срез. Аналитик нуждается в деталях, уточнениях, конкретных данных. Эти возможности предоставляются функцией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Filter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. Ее синтаксис очень прост: необходимо указать набор данных и условное выражение, а возвращены будут данные исходного набора, для которых выполняется указанное в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Filter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() условие. Кроме основной функции фильтрации имеется набор вспомогательных функций: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TopCount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(),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TopSum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(),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BottomCount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(),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BottomSum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().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Сочетание этих функций дает аналитику возможность формировать такие типовые отчеты, как:</w:t>
      </w:r>
    </w:p>
    <w:p w:rsidR="00014955" w:rsidRPr="007305F6" w:rsidRDefault="00014955" w:rsidP="00014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Фильтрация данных по величине показателя</w:t>
      </w:r>
    </w:p>
    <w:p w:rsidR="00014955" w:rsidRPr="007305F6" w:rsidRDefault="00014955" w:rsidP="0001495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(Авиакомпании-перевозчики с объемом перевозок не менее…):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SELECT FILTER({[Авиакомпания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Все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авиакомпа-нии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Children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}, ([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       пасс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])&gt;50) ON ROWS, {[Measures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пасс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]} ON COLUMNS FROM 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Учет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рейсов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</w:t>
      </w:r>
    </w:p>
    <w:p w:rsidR="00014955" w:rsidRPr="007305F6" w:rsidRDefault="00014955" w:rsidP="00014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Фильтрация данных по условию на измерение</w:t>
      </w:r>
    </w:p>
    <w:p w:rsidR="00014955" w:rsidRPr="007305F6" w:rsidRDefault="00014955" w:rsidP="0001495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(Города, содержащие в названиях подстроку):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SELECT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FILTER(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{[Пункт назначения].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members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},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InStr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([Пункт назначения].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CurrentMember.Name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      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“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ск</w:t>
      </w:r>
      <w:proofErr w:type="spellEnd"/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”)&lt;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&gt;0) ON ROWS, {[Measures].[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Вес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груза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], [Measures].[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пасс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]}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       ON COLUMNS FROM 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Учет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рейсов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</w:t>
      </w:r>
    </w:p>
    <w:p w:rsidR="00014955" w:rsidRPr="007305F6" w:rsidRDefault="00014955" w:rsidP="00014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Ведущие и последние в отсортированном списке</w:t>
      </w:r>
    </w:p>
    <w:p w:rsidR="00014955" w:rsidRPr="007305F6" w:rsidRDefault="00014955" w:rsidP="00014955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(Три авиакомпании-перевозчика с наибольшим пассажирооборотом):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SELECT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TopCount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({[Авиакомпания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Все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авиакомпа-нии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Children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}, 3, ([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Measures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       пасс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])) ON ROWS, {[Measures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пасс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]} ON COLUMNS FROM 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Учет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рейсов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val="en-US"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val="en-US"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</w:pPr>
      <w:bookmarkStart w:id="16" w:name="15"/>
      <w:bookmarkEnd w:id="16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ORDER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Итак, все необходимые для анализа данные получены, осталось лишь представить информацию в удобном для пользователя виде. Упорядочивание членов измерений на осях производится при помощи функции ORDER(). В обычной ситуации, когда нужно отсортировать члены одного уровня измерения на оси, ее действие аналогично предикату ORDER языка SQL. Если в запросе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 xml:space="preserve">используются члены нескольких уровней измерения, упорядочивание членов можно производить как с сохранением иерархии уровней, так без нее (так называемый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Break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Hierarchy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ASC | DESC | BASC | BDESC,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BASC – B (Break Hierarchy) ASC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В ряде случаев необходимо анализировать данные без учета иерархии. Рассмотрим это на примерах.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Задача № 1: отсортировать данные о количестве отправленных пассажиров по направлениям полетов по убыванию с сохранением иерархии измерения «Пункт назначения» (</w:t>
      </w:r>
      <w:hyperlink r:id="rId64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17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F05ABB" w:rsidRPr="007305F6" w:rsidRDefault="00F05ABB" w:rsidP="00F05ABB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04AFAD8C" wp14:editId="62A17B32">
            <wp:extent cx="4001135" cy="2124710"/>
            <wp:effectExtent l="0" t="0" r="0" b="8890"/>
            <wp:docPr id="54" name="Рисунок 54" descr="http://compress.ru/archive/cp/2002/1/37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ompress.ru/archive/cp/2002/1/37/17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>SELECT {[Measures</w:t>
      </w:r>
      <w:proofErr w:type="gramStart"/>
      <w:r w:rsidRPr="007305F6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>].[</w:t>
      </w:r>
      <w:proofErr w:type="spellStart"/>
      <w:proofErr w:type="gram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Колво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 xml:space="preserve">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пасс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>]} ON COLUMNS, ORDER({[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Пункт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 xml:space="preserve">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назначения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val="en-US" w:eastAsia="ru-RU"/>
        </w:rPr>
        <w:t xml:space="preserve">].members}, ([Measures].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[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Колво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пасс]), DESC) ON ROWS FROM [Учет рейсов]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Задача № 2: предоставить сведения о количестве пассажиров по направлениям полетов, упорядоченных по убыванию, включая сведения по регионам, странам и городам, независимо от уровня — для выявления нерентабельных направлений (</w:t>
      </w:r>
      <w:hyperlink r:id="rId66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18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):</w:t>
      </w:r>
    </w:p>
    <w:p w:rsidR="00F05ABB" w:rsidRPr="007305F6" w:rsidRDefault="00F05ABB" w:rsidP="00F05ABB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680014DD" wp14:editId="662D4B1C">
            <wp:extent cx="4001135" cy="2124710"/>
            <wp:effectExtent l="0" t="0" r="0" b="8890"/>
            <wp:docPr id="55" name="Рисунок 55" descr="http://compress.ru/archive/cp/2002/1/37/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ompress.ru/archive/cp/2002/1/37/18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Результаты анализа показывают, что полеты в Алма-Ату приносят большую прибыль, чем полеты во Владивосток, хотя полеты в регионе Россия значительно выгоднее полетов в Казахстан.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ind w:firstLine="480"/>
        <w:outlineLvl w:val="2"/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</w:pPr>
      <w:bookmarkStart w:id="17" w:name="16"/>
      <w:bookmarkEnd w:id="17"/>
      <w:proofErr w:type="spellStart"/>
      <w:r w:rsidRPr="007305F6">
        <w:rPr>
          <w:rFonts w:ascii="Arial" w:eastAsia="Times New Roman" w:hAnsi="Arial" w:cs="Arial"/>
          <w:b/>
          <w:bCs/>
          <w:i/>
          <w:iCs/>
          <w:color w:val="666666"/>
          <w:sz w:val="32"/>
          <w:u w:val="single"/>
          <w:lang w:eastAsia="ru-RU"/>
        </w:rPr>
        <w:t>NonEmpty</w:t>
      </w:r>
      <w:proofErr w:type="spellEnd"/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Регулярные загрузки хранилища данных не предполагают, что при каждой загрузке будут предоставляться данные по всем измерениям и показателям. Например, в бархатный сезон рейсы на Адлер осуществляются всеми </w:t>
      </w: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lastRenderedPageBreak/>
        <w:t xml:space="preserve">авиакомпаниями ежедневно, а в зимнее время — лишь два раза в неделю, то есть для измерения «Время» не каждый день января будет заполнен сведениями о полетах на Адлер. Это значит, что появятся «пустые» ячейки, которые являются неинформативными и вряд ли будут интересовать аналитика при работе с отчетом. Необходимо учитывать, что хотя пустоты физически в кубе не хранятся, многомерная модель требует их отображения. Можно исключить пустые строки и столбцы из отчета, применив функцию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NonEmpty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. Допустим, вас интересует напряженность полетов в конкретные дни января по направлениям полетов. Задействовав функцию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NonEmpty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, вы исключаете направления полетов, по которым не осуществлялись рейсы за этот период. Отчет сокращается, а результаты не искажаются.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4955" w:rsidRPr="007305F6" w:rsidTr="007305F6"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014955" w:rsidRPr="007305F6" w:rsidRDefault="00014955" w:rsidP="000149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18"/>
                <w:lang w:eastAsia="ru-RU"/>
              </w:rPr>
            </w:pPr>
          </w:p>
        </w:tc>
      </w:tr>
    </w:tbl>
    <w:p w:rsidR="00014955" w:rsidRPr="007305F6" w:rsidRDefault="00014955" w:rsidP="0001495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</w:pPr>
      <w:bookmarkStart w:id="18" w:name="17"/>
      <w:bookmarkEnd w:id="18"/>
      <w:r w:rsidRPr="007305F6">
        <w:rPr>
          <w:rFonts w:ascii="Arial" w:eastAsia="Times New Roman" w:hAnsi="Arial" w:cs="Arial"/>
          <w:b/>
          <w:bCs/>
          <w:color w:val="000000"/>
          <w:sz w:val="36"/>
          <w:szCs w:val="26"/>
          <w:lang w:eastAsia="ru-RU"/>
        </w:rPr>
        <w:t>Пример визуализации конструирования MDX-запроса в клиентских приложениях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noProof/>
          <w:color w:val="000000"/>
          <w:sz w:val="24"/>
          <w:szCs w:val="18"/>
          <w:lang w:eastAsia="ru-RU"/>
        </w:rPr>
        <w:drawing>
          <wp:inline distT="0" distB="0" distL="0" distR="0" wp14:anchorId="6EE39A8B" wp14:editId="2CACB11F">
            <wp:extent cx="238760" cy="218440"/>
            <wp:effectExtent l="0" t="0" r="8890" b="0"/>
            <wp:docPr id="10" name="Рисунок 10" descr="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ожно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упростить освоение MDX, воспользовавшись удобным и интуитивно понятным интерфейсом конструирования запросов. Аналитик строит отчеты, размышляя о проблеме лишь в предметных терминах, а все специальные функции и выражения скрыты от него за мастерами построения тех ли иных условий. Пользователь переносит мышью необходимые изменения на строки и столбцы формируемого отчета, выделяет нужные для анализа члены измерений с помощью мастеров, накладывает фильтрацию и устанавливает порядок сортировки.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Приложения, содержащие интерфейс для визуального конструирования запросов, доступны аналитику с первого же дня работы с многомерными данными, поскольку они легки в освоении, дают представление о многомерной модели, а также позволяют оценить возможности языка MDX, не изучая подробно весь его синтаксис.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В качестве примера рассмотрим клиентское приложение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DataVision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Analyzer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(разработка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Digital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Design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: www.digdes.com), позволяющее строить отчеты на основе многомерного хранилища данных.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При работе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DataVision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Analyzer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использует метаданные, содержащиеся в его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репозитарии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.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DataVision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Analyzer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предоставляет пользователю возможность построить запрос к OLAP-серверу в терминах конкретной предметной области, указав не только интересующие его данные, но и их размещение по столбцам и строкам результирующей таблицы, а затем просмотреть полученный результат выполнения запроса в табличном и графическом виде (</w:t>
      </w:r>
      <w:hyperlink r:id="rId69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19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).</w:t>
      </w:r>
    </w:p>
    <w:p w:rsidR="00F05ABB" w:rsidRPr="007305F6" w:rsidRDefault="00F05ABB" w:rsidP="00F05ABB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lastRenderedPageBreak/>
        <w:drawing>
          <wp:inline distT="0" distB="0" distL="0" distR="0" wp14:anchorId="7813B804" wp14:editId="278775C7">
            <wp:extent cx="3810635" cy="2764155"/>
            <wp:effectExtent l="0" t="0" r="0" b="0"/>
            <wp:docPr id="56" name="Рисунок 56" descr="http://compress.ru/archive/cp/2002/1/37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ompress.ru/archive/cp/2002/1/37/1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Ранее построенные запросы доступны всем пользователям DV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Analyzer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 могут выполняться неограниченное количество раз. Одной из основных и самых удобных возможностей DV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Analyzer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является экспорт получаемой из OLAP-сервера информации (в виде таблиц или диаграмм) в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Microsoft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Excel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, что позволяет использовать предоставляемые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Excel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инструменты оформления и обработки данных.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С точки зрения построения MDX-запросов DV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Analyzer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является прекрасным инструментом для начала работы с многомерными данными, помогающим пользователю не только разложить измерения куба на строки и столбцы запроса, но настроить различные сортировки, фильтрации и другие условия ограничения вывода данных в отчет, отображая все условия в конструкторе запросов для последующих изменений. На </w:t>
      </w:r>
      <w:hyperlink r:id="rId71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20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и </w:t>
      </w:r>
      <w:hyperlink r:id="rId72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21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 представлены примеры настройки сортировки и фильтрации при помощи соответствующих мастеров.</w:t>
      </w:r>
    </w:p>
    <w:p w:rsidR="00F05ABB" w:rsidRPr="007305F6" w:rsidRDefault="00F05ABB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drawing>
          <wp:inline distT="0" distB="0" distL="0" distR="0" wp14:anchorId="12BE24BE" wp14:editId="23945183">
            <wp:extent cx="5095240" cy="3430270"/>
            <wp:effectExtent l="0" t="0" r="0" b="0"/>
            <wp:docPr id="57" name="Рисунок 57" descr="http://compress.ru/archive/cp/2002/1/37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ompress.ru/archive/cp/2002/1/37/20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ABB" w:rsidRPr="007305F6" w:rsidRDefault="00F05ABB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lastRenderedPageBreak/>
        <w:drawing>
          <wp:inline distT="0" distB="0" distL="0" distR="0" wp14:anchorId="0C07C2D2" wp14:editId="20C9968E">
            <wp:extent cx="3335020" cy="2706370"/>
            <wp:effectExtent l="0" t="0" r="0" b="0"/>
            <wp:docPr id="58" name="Рисунок 58" descr="http://compress.ru/archive/cp/2002/1/37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ompress.ru/archive/cp/2002/1/37/21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Результатом работы с конструктором запросов и выполнения настроек сортировки и фильтрации при помощи мастеров является запрос, который выглядит следующим образом: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SELECT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CROSSJOIN(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{[Тип самолета].[Все типы].[ТУ-134], [Тип самолета].[Все типы].[ТУ-154]},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   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ORDER(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{[Пункт назначения].[Все пункты].[Россия].[РФ], [Пункт назначения].[Все    пункты].[СНГ].[Казахстан],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[Пункт назначения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Все пункты].[СНГ].[Узбекистан]},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   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([Measures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Вес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груза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]), ASC)) ON ROWS, CROSSJOIN({[Measures].[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пасс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]},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   </w:t>
      </w:r>
      <w:proofErr w:type="spell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TopPer-cent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({[Время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].[</w:t>
      </w:r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 xml:space="preserve">Все время].[2001].[1-й квартал], [Время].[Все время].[2001].[2-й    квартал], [Время].[Все время].[2001].[3-й квартал]}, 60, </w:t>
      </w:r>
    </w:p>
    <w:p w:rsidR="00014955" w:rsidRPr="007305F6" w:rsidRDefault="00014955" w:rsidP="0001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</w:pP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([Measures</w:t>
      </w:r>
      <w:proofErr w:type="gramStart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].[</w:t>
      </w:r>
      <w:proofErr w:type="spellStart"/>
      <w:proofErr w:type="gram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Колво</w:t>
      </w:r>
      <w:proofErr w:type="spellEnd"/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  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пасс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]))) ON COLUMNS FROM [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Учет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 xml:space="preserve"> 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eastAsia="ru-RU"/>
        </w:rPr>
        <w:t>рейсов</w:t>
      </w:r>
      <w:r w:rsidRPr="007305F6">
        <w:rPr>
          <w:rFonts w:ascii="Courier New" w:eastAsia="Times New Roman" w:hAnsi="Courier New" w:cs="Courier New"/>
          <w:b/>
          <w:bCs/>
          <w:color w:val="000000"/>
          <w:sz w:val="28"/>
          <w:szCs w:val="20"/>
          <w:lang w:val="en-US" w:eastAsia="ru-RU"/>
        </w:rPr>
        <w:t>]</w:t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Построенные запросы доступны всем пользователям, обладающим соответствующими правами. После выполнения запроса пользователь имеет возможность более подробно проанализировать полученные данные при помощи стандартных OLAP-операций: «Уровень выше/Уровень ниже», «Свернуть/Развернуть», «Выбрать/Исключить», «Заголовок выше/Заголовок ниже» (</w:t>
      </w:r>
      <w:hyperlink r:id="rId75" w:history="1">
        <w:r w:rsidRPr="007305F6">
          <w:rPr>
            <w:rFonts w:ascii="Arial" w:eastAsia="Times New Roman" w:hAnsi="Arial" w:cs="Arial"/>
            <w:color w:val="000000"/>
            <w:sz w:val="24"/>
            <w:szCs w:val="18"/>
            <w:u w:val="single"/>
            <w:lang w:eastAsia="ru-RU"/>
          </w:rPr>
          <w:t>рис. 22</w:t>
        </w:r>
      </w:hyperlink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).</w:t>
      </w:r>
    </w:p>
    <w:p w:rsidR="00F05ABB" w:rsidRPr="007305F6" w:rsidRDefault="00F05ABB" w:rsidP="00F05ABB">
      <w:pPr>
        <w:spacing w:after="0" w:line="240" w:lineRule="auto"/>
        <w:ind w:firstLine="480"/>
        <w:jc w:val="center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noProof/>
          <w:sz w:val="32"/>
          <w:lang w:eastAsia="ru-RU"/>
        </w:rPr>
        <w:lastRenderedPageBreak/>
        <w:drawing>
          <wp:inline distT="0" distB="0" distL="0" distR="0" wp14:anchorId="70A19C20" wp14:editId="02EF6FF7">
            <wp:extent cx="2859405" cy="2579370"/>
            <wp:effectExtent l="0" t="0" r="0" b="0"/>
            <wp:docPr id="59" name="Рисунок 59" descr="http://compress.ru/archive/cp/2002/1/37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ompress.ru/archive/cp/2002/1/37/22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55" w:rsidRPr="007305F6" w:rsidRDefault="00014955" w:rsidP="00014955">
      <w:pPr>
        <w:spacing w:after="0" w:line="240" w:lineRule="auto"/>
        <w:ind w:firstLine="480"/>
        <w:rPr>
          <w:rFonts w:ascii="Arial" w:eastAsia="Times New Roman" w:hAnsi="Arial" w:cs="Arial"/>
          <w:color w:val="000000"/>
          <w:sz w:val="24"/>
          <w:szCs w:val="18"/>
          <w:lang w:eastAsia="ru-RU"/>
        </w:rPr>
      </w:pPr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Кроме того, DV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Analyzer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позволяет пользователям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cоздавать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 xml:space="preserve"> списки электронных рассылок, а также публиковать на </w:t>
      </w:r>
      <w:proofErr w:type="spellStart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Web</w:t>
      </w:r>
      <w:proofErr w:type="spellEnd"/>
      <w:r w:rsidRPr="007305F6">
        <w:rPr>
          <w:rFonts w:ascii="Arial" w:eastAsia="Times New Roman" w:hAnsi="Arial" w:cs="Arial"/>
          <w:color w:val="000000"/>
          <w:sz w:val="24"/>
          <w:szCs w:val="18"/>
          <w:lang w:eastAsia="ru-RU"/>
        </w:rPr>
        <w:t>-сервере выбранные отчеты по расписанию. Все это дает доступ к требуемой информации без необходимости запуска дополнительных приложений и делает данные доступными для удаленных пользователей.</w:t>
      </w:r>
    </w:p>
    <w:p w:rsidR="00257686" w:rsidRPr="007305F6" w:rsidRDefault="00257686">
      <w:pPr>
        <w:rPr>
          <w:sz w:val="32"/>
        </w:rPr>
      </w:pPr>
    </w:p>
    <w:sectPr w:rsidR="00257686" w:rsidRPr="0073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4383"/>
    <w:multiLevelType w:val="multilevel"/>
    <w:tmpl w:val="5FC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01EB"/>
    <w:multiLevelType w:val="multilevel"/>
    <w:tmpl w:val="82C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56A7B"/>
    <w:multiLevelType w:val="multilevel"/>
    <w:tmpl w:val="74C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F6B54"/>
    <w:multiLevelType w:val="multilevel"/>
    <w:tmpl w:val="845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B0E85"/>
    <w:multiLevelType w:val="multilevel"/>
    <w:tmpl w:val="8F06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365CF"/>
    <w:multiLevelType w:val="multilevel"/>
    <w:tmpl w:val="00A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3B29"/>
    <w:multiLevelType w:val="multilevel"/>
    <w:tmpl w:val="B5E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420CB"/>
    <w:multiLevelType w:val="multilevel"/>
    <w:tmpl w:val="A08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B9"/>
    <w:rsid w:val="00014955"/>
    <w:rsid w:val="001F6876"/>
    <w:rsid w:val="00257686"/>
    <w:rsid w:val="007305F6"/>
    <w:rsid w:val="008C7600"/>
    <w:rsid w:val="00BC64B9"/>
    <w:rsid w:val="00BF174E"/>
    <w:rsid w:val="00EB4BB6"/>
    <w:rsid w:val="00F05ABB"/>
    <w:rsid w:val="00F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42BB50-95EB-4E36-BBB1-4256A41F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4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14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9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49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149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14955"/>
    <w:rPr>
      <w:color w:val="0000FF"/>
      <w:u w:val="single"/>
    </w:rPr>
  </w:style>
  <w:style w:type="paragraph" w:customStyle="1" w:styleId="author">
    <w:name w:val="author"/>
    <w:basedOn w:val="a"/>
    <w:rsid w:val="0001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1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4955"/>
  </w:style>
  <w:style w:type="paragraph" w:styleId="HTML">
    <w:name w:val="HTML Preformatted"/>
    <w:basedOn w:val="a"/>
    <w:link w:val="HTML0"/>
    <w:uiPriority w:val="99"/>
    <w:semiHidden/>
    <w:unhideWhenUsed/>
    <w:rsid w:val="0001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9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ource">
    <w:name w:val="source"/>
    <w:basedOn w:val="a"/>
    <w:rsid w:val="0001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149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1495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149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14955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kerio">
    <w:name w:val="kerio"/>
    <w:basedOn w:val="a"/>
    <w:rsid w:val="0001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F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1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7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5797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9334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</w:div>
                <w:div w:id="1532767456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none" w:sz="0" w:space="0" w:color="auto"/>
                    <w:right w:val="single" w:sz="6" w:space="0" w:color="808080"/>
                  </w:divBdr>
                </w:div>
                <w:div w:id="164369066">
                  <w:marLeft w:val="0"/>
                  <w:marRight w:val="0"/>
                  <w:marTop w:val="3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7834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5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1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1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1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3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7006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mpress.ru/article.aspx?id=9512" TargetMode="External"/><Relationship Id="rId18" Type="http://schemas.openxmlformats.org/officeDocument/2006/relationships/hyperlink" Target="http://compress.ru/article.aspx?id=9512" TargetMode="External"/><Relationship Id="rId26" Type="http://schemas.openxmlformats.org/officeDocument/2006/relationships/image" Target="media/image2.gif"/><Relationship Id="rId39" Type="http://schemas.openxmlformats.org/officeDocument/2006/relationships/hyperlink" Target="http://compress.ru/article.aspx?id=9512&amp;part=61ext1" TargetMode="External"/><Relationship Id="rId21" Type="http://schemas.openxmlformats.org/officeDocument/2006/relationships/hyperlink" Target="http://compress.ru/article.aspx?id=9512" TargetMode="External"/><Relationship Id="rId34" Type="http://schemas.openxmlformats.org/officeDocument/2006/relationships/image" Target="media/image7.gif"/><Relationship Id="rId42" Type="http://schemas.openxmlformats.org/officeDocument/2006/relationships/hyperlink" Target="http://compress.ru/article.aspx?id=9512&amp;part=71ext1" TargetMode="External"/><Relationship Id="rId47" Type="http://schemas.openxmlformats.org/officeDocument/2006/relationships/hyperlink" Target="http://compress.ru/article.aspx?id=9512&amp;part=91ext1" TargetMode="External"/><Relationship Id="rId50" Type="http://schemas.openxmlformats.org/officeDocument/2006/relationships/image" Target="media/image16.gif"/><Relationship Id="rId55" Type="http://schemas.openxmlformats.org/officeDocument/2006/relationships/hyperlink" Target="http://compress.ru/article.aspx?id=9512&amp;part=131ext1" TargetMode="External"/><Relationship Id="rId63" Type="http://schemas.openxmlformats.org/officeDocument/2006/relationships/image" Target="media/image23.gif"/><Relationship Id="rId68" Type="http://schemas.openxmlformats.org/officeDocument/2006/relationships/image" Target="media/image26.gif"/><Relationship Id="rId76" Type="http://schemas.openxmlformats.org/officeDocument/2006/relationships/image" Target="media/image30.gif"/><Relationship Id="rId7" Type="http://schemas.openxmlformats.org/officeDocument/2006/relationships/hyperlink" Target="http://compress.ru/article.aspx?id=9512" TargetMode="External"/><Relationship Id="rId71" Type="http://schemas.openxmlformats.org/officeDocument/2006/relationships/hyperlink" Target="http://compress.ru/article.aspx?id=9512&amp;part=201ext1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ress.ru/article.aspx?id=9512" TargetMode="External"/><Relationship Id="rId29" Type="http://schemas.openxmlformats.org/officeDocument/2006/relationships/image" Target="media/image3.gif"/><Relationship Id="rId11" Type="http://schemas.openxmlformats.org/officeDocument/2006/relationships/hyperlink" Target="http://compress.ru/article.aspx?id=9512" TargetMode="External"/><Relationship Id="rId24" Type="http://schemas.openxmlformats.org/officeDocument/2006/relationships/image" Target="media/image1.gif"/><Relationship Id="rId32" Type="http://schemas.openxmlformats.org/officeDocument/2006/relationships/hyperlink" Target="http://compress.ru/article.aspx?id=9512&amp;part=31ext1" TargetMode="External"/><Relationship Id="rId37" Type="http://schemas.openxmlformats.org/officeDocument/2006/relationships/hyperlink" Target="http://compress.ru/article.aspx?id=9512&amp;part=51ext1" TargetMode="External"/><Relationship Id="rId40" Type="http://schemas.openxmlformats.org/officeDocument/2006/relationships/image" Target="media/image10.gif"/><Relationship Id="rId45" Type="http://schemas.openxmlformats.org/officeDocument/2006/relationships/image" Target="media/image13.gif"/><Relationship Id="rId53" Type="http://schemas.openxmlformats.org/officeDocument/2006/relationships/hyperlink" Target="http://compress.ru/article.aspx?id=9512&amp;part=121ext1" TargetMode="External"/><Relationship Id="rId58" Type="http://schemas.openxmlformats.org/officeDocument/2006/relationships/image" Target="media/image20.gif"/><Relationship Id="rId66" Type="http://schemas.openxmlformats.org/officeDocument/2006/relationships/hyperlink" Target="http://compress.ru/article.aspx?id=9512&amp;part=181ext1" TargetMode="External"/><Relationship Id="rId74" Type="http://schemas.openxmlformats.org/officeDocument/2006/relationships/image" Target="media/image29.gif"/><Relationship Id="rId5" Type="http://schemas.openxmlformats.org/officeDocument/2006/relationships/hyperlink" Target="http://compress.ru/article.aspx?id=9512" TargetMode="External"/><Relationship Id="rId15" Type="http://schemas.openxmlformats.org/officeDocument/2006/relationships/hyperlink" Target="http://compress.ru/article.aspx?id=9512" TargetMode="External"/><Relationship Id="rId23" Type="http://schemas.openxmlformats.org/officeDocument/2006/relationships/hyperlink" Target="http://compress.ru/article.aspx?id=9512&amp;part=11ext1" TargetMode="External"/><Relationship Id="rId28" Type="http://schemas.openxmlformats.org/officeDocument/2006/relationships/hyperlink" Target="http://compress.ru/article.aspx?id=9512" TargetMode="External"/><Relationship Id="rId36" Type="http://schemas.openxmlformats.org/officeDocument/2006/relationships/image" Target="media/image8.gif"/><Relationship Id="rId49" Type="http://schemas.openxmlformats.org/officeDocument/2006/relationships/hyperlink" Target="http://compress.ru/article.aspx?id=9512&amp;part=101ext1" TargetMode="External"/><Relationship Id="rId57" Type="http://schemas.openxmlformats.org/officeDocument/2006/relationships/hyperlink" Target="http://compress.ru/article.aspx?id=9512&amp;part=141ext1" TargetMode="External"/><Relationship Id="rId61" Type="http://schemas.openxmlformats.org/officeDocument/2006/relationships/image" Target="media/image22.gif"/><Relationship Id="rId10" Type="http://schemas.openxmlformats.org/officeDocument/2006/relationships/hyperlink" Target="http://compress.ru/article.aspx?id=9512" TargetMode="External"/><Relationship Id="rId19" Type="http://schemas.openxmlformats.org/officeDocument/2006/relationships/hyperlink" Target="http://compress.ru/article.aspx?id=9512" TargetMode="External"/><Relationship Id="rId31" Type="http://schemas.openxmlformats.org/officeDocument/2006/relationships/image" Target="media/image5.gif"/><Relationship Id="rId44" Type="http://schemas.openxmlformats.org/officeDocument/2006/relationships/hyperlink" Target="http://compress.ru/article.aspx?id=9512&amp;part=81ext1" TargetMode="External"/><Relationship Id="rId52" Type="http://schemas.openxmlformats.org/officeDocument/2006/relationships/image" Target="media/image17.gif"/><Relationship Id="rId60" Type="http://schemas.openxmlformats.org/officeDocument/2006/relationships/image" Target="media/image21.gif"/><Relationship Id="rId65" Type="http://schemas.openxmlformats.org/officeDocument/2006/relationships/image" Target="media/image24.gif"/><Relationship Id="rId73" Type="http://schemas.openxmlformats.org/officeDocument/2006/relationships/image" Target="media/image28.gi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mpress.ru/article.aspx?id=9512" TargetMode="External"/><Relationship Id="rId14" Type="http://schemas.openxmlformats.org/officeDocument/2006/relationships/hyperlink" Target="http://compress.ru/article.aspx?id=9512" TargetMode="External"/><Relationship Id="rId22" Type="http://schemas.openxmlformats.org/officeDocument/2006/relationships/hyperlink" Target="http://compress.ru/article.aspx?id=9512" TargetMode="External"/><Relationship Id="rId27" Type="http://schemas.openxmlformats.org/officeDocument/2006/relationships/hyperlink" Target="http://compress.ru/article.aspx?id=9512" TargetMode="External"/><Relationship Id="rId30" Type="http://schemas.openxmlformats.org/officeDocument/2006/relationships/image" Target="media/image4.gif"/><Relationship Id="rId35" Type="http://schemas.openxmlformats.org/officeDocument/2006/relationships/hyperlink" Target="http://compress.ru/article.aspx?id=9512&amp;part=41ext1" TargetMode="External"/><Relationship Id="rId43" Type="http://schemas.openxmlformats.org/officeDocument/2006/relationships/image" Target="media/image12.gif"/><Relationship Id="rId48" Type="http://schemas.openxmlformats.org/officeDocument/2006/relationships/image" Target="media/image15.gif"/><Relationship Id="rId56" Type="http://schemas.openxmlformats.org/officeDocument/2006/relationships/image" Target="media/image19.gif"/><Relationship Id="rId64" Type="http://schemas.openxmlformats.org/officeDocument/2006/relationships/hyperlink" Target="http://compress.ru/article.aspx?id=9512&amp;part=171ext1" TargetMode="External"/><Relationship Id="rId69" Type="http://schemas.openxmlformats.org/officeDocument/2006/relationships/hyperlink" Target="http://compress.ru/article.aspx?id=9512&amp;part=191ext1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compress.ru/article.aspx?id=9512" TargetMode="External"/><Relationship Id="rId51" Type="http://schemas.openxmlformats.org/officeDocument/2006/relationships/hyperlink" Target="http://compress.ru/article.aspx?id=9512&amp;part=111ext1" TargetMode="External"/><Relationship Id="rId72" Type="http://schemas.openxmlformats.org/officeDocument/2006/relationships/hyperlink" Target="http://compress.ru/article.aspx?id=9512&amp;part=211ext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mpress.ru/article.aspx?id=9512" TargetMode="External"/><Relationship Id="rId17" Type="http://schemas.openxmlformats.org/officeDocument/2006/relationships/hyperlink" Target="http://compress.ru/article.aspx?id=9512" TargetMode="External"/><Relationship Id="rId25" Type="http://schemas.openxmlformats.org/officeDocument/2006/relationships/hyperlink" Target="http://compress.ru/article.aspx?id=9512&amp;part=21ext1" TargetMode="External"/><Relationship Id="rId33" Type="http://schemas.openxmlformats.org/officeDocument/2006/relationships/image" Target="media/image6.gif"/><Relationship Id="rId38" Type="http://schemas.openxmlformats.org/officeDocument/2006/relationships/image" Target="media/image9.gif"/><Relationship Id="rId46" Type="http://schemas.openxmlformats.org/officeDocument/2006/relationships/image" Target="media/image14.gif"/><Relationship Id="rId59" Type="http://schemas.openxmlformats.org/officeDocument/2006/relationships/hyperlink" Target="http://compress.ru/article.aspx?id=9512&amp;part=151ext1" TargetMode="External"/><Relationship Id="rId67" Type="http://schemas.openxmlformats.org/officeDocument/2006/relationships/image" Target="media/image25.gif"/><Relationship Id="rId20" Type="http://schemas.openxmlformats.org/officeDocument/2006/relationships/hyperlink" Target="http://compress.ru/article.aspx?id=9512" TargetMode="External"/><Relationship Id="rId41" Type="http://schemas.openxmlformats.org/officeDocument/2006/relationships/image" Target="media/image11.gif"/><Relationship Id="rId54" Type="http://schemas.openxmlformats.org/officeDocument/2006/relationships/image" Target="media/image18.gif"/><Relationship Id="rId62" Type="http://schemas.openxmlformats.org/officeDocument/2006/relationships/hyperlink" Target="http://compress.ru/article.aspx?id=9512&amp;part=161ext1" TargetMode="External"/><Relationship Id="rId70" Type="http://schemas.openxmlformats.org/officeDocument/2006/relationships/image" Target="media/image27.gif"/><Relationship Id="rId75" Type="http://schemas.openxmlformats.org/officeDocument/2006/relationships/hyperlink" Target="http://compress.ru/article.aspx?id=9512&amp;part=221ext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ress.ru/article.aspx?id=95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4782</Words>
  <Characters>27259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Fedorovich Mark</dc:creator>
  <cp:keywords/>
  <dc:description/>
  <cp:lastModifiedBy>Wassja</cp:lastModifiedBy>
  <cp:revision>6</cp:revision>
  <dcterms:created xsi:type="dcterms:W3CDTF">2016-08-28T14:37:00Z</dcterms:created>
  <dcterms:modified xsi:type="dcterms:W3CDTF">2016-08-29T08:10:00Z</dcterms:modified>
</cp:coreProperties>
</file>