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Digital Materiality: The Synthesis of Code, Craft, and Substance</w:t>
      </w:r>
    </w:p>
    <w:p>
      <w:pPr>
        <w:spacing w:after="400"/>
        <w:jc w:val="center"/>
      </w:pPr>
      <w:r>
        <w:rPr>
          <w:i/>
          <w:iCs/>
          <w:sz w:val="20"/>
          <w:szCs w:val="20"/>
        </w:rPr>
        <w:t xml:space="preserve">类型: 报告</w:t>
      </w:r>
    </w:p>
    <w:p>
      <w:pPr>
        <w:spacing w:after="200"/>
        <w:jc w:val="center"/>
      </w:pPr>
      <w:r>
        <w:rPr>
          <w:color w:val="CCCCCC"/>
        </w:rPr>
        <w:t xml:space="preserve">──────────────────────────────────────────────────</w:t>
      </w:r>
    </w:p>
    <w:p>
      <w:pPr>
        <w:pStyle w:val="Heading1"/>
        <w:spacing w:before="200" w:after="100"/>
      </w:pPr>
      <w:r>
        <w:t xml:space="preserve">Digital Materiality: The Synthesis of Code, Craft, and Substance</w:t>
      </w:r>
    </w:p>
    <w:p>
      <w:pPr>
        <w:pStyle w:val="Heading2"/>
        <w:spacing w:before="200" w:after="100"/>
      </w:pPr>
      <w:r>
        <w:t xml:space="preserve">1. The Evolution of Digital-to-Manufacture Workflows</w:t>
      </w:r>
    </w:p>
    <w:p>
      <w:pPr>
        <w:spacing w:before="100" w:after="100"/>
      </w:pPr>
      <w:r>
        <w:t xml:space="preserve">The shift from traditional analog processes to digital inkjet and textile printing has fundamentally restructured the production landscape. Historically, workflows were "convoluted," often requiring a TIFF-per-color exchange. This fragmented approach meant that a single design modification—such as a new colorway—required the regeneration and management of massive files, stifling speed and inflating the cost per square meter.</w:t>
      </w:r>
    </w:p>
    <w:p>
      <w:pPr>
        <w:spacing w:before="100" w:after="100"/>
      </w:pPr>
      <w:r>
        <w:t xml:space="preserve">The modern "design-to-manufacture" approach, centered on the Adobe PDF Print Engine, replaces these disparate assets with a unified document format. This transition allows digital textile mills to compete directly with analog processes in terms of production velocity and economic efficiency. By utilizing PDF as the primary vehicle, designers preserve the integrity of spectral data for spot colors and maintain essential Black Point Compensation (BPC) throughout the fabrication cycle.</w:t>
      </w:r>
    </w:p>
    <w:p>
      <w:pPr>
        <w:spacing w:before="100" w:after="100"/>
      </w:pPr>
      <w:r>
        <w:t xml:space="preserve">Benefits of a Digital-to-Manufacture Workflow:</w:t>
      </w:r>
    </w:p>
    <w:p>
      <w:pPr>
        <w:spacing w:before="50" w:after="50"/>
        <w:ind w:left="720"/>
      </w:pPr>
      <w:r>
        <w:t xml:space="preserve">• Device Independence: Complete autonomy from specific machinery, resolution, or substrate constraints.</w:t>
      </w:r>
    </w:p>
    <w:p>
      <w:pPr>
        <w:spacing w:before="50" w:after="50"/>
        <w:ind w:left="720"/>
      </w:pPr>
      <w:r>
        <w:t xml:space="preserve">• Data Preservation: Total retention of original design intent—including vectors, fonts, and metadata—eliminating the pixelation and detail loss common in compressed JPEG or TIFF-per-color workflows.</w:t>
      </w:r>
    </w:p>
    <w:p>
      <w:pPr>
        <w:spacing w:before="50" w:after="50"/>
        <w:ind w:left="720"/>
      </w:pPr>
      <w:r>
        <w:t xml:space="preserve">• Spectral Integrity: The ability to accurately define and reproduce spot colors using high-fidelity spectral data rather than simplified RGB/CMYK approximations.</w:t>
      </w:r>
    </w:p>
    <w:p>
      <w:pPr>
        <w:spacing w:before="50" w:after="50"/>
        <w:ind w:left="720"/>
      </w:pPr>
      <w:r>
        <w:t xml:space="preserve">• Workflow Simplification: A single file holds all information for various colorways, allowing for streamlined review and digital commenting via standard readers like Acrobat.</w:t>
      </w:r>
    </w:p>
    <w:p>
      <w:pPr>
        <w:spacing w:before="50" w:after="50"/>
        <w:ind w:left="720"/>
      </w:pPr>
      <w:r>
        <w:t xml:space="preserve">• Rapid Prototyping: Facilitates the creation of local strike-offs and samples that precisely match the final high-volume manufactured output.</w:t>
      </w:r>
    </w:p>
    <w:p>
      <w:pPr>
        <w:pStyle w:val="Heading2"/>
        <w:spacing w:before="200" w:after="100"/>
      </w:pPr>
      <w:r>
        <w:t xml:space="preserve">2. Computational Fabrication: Hardware and Logic</w:t>
      </w:r>
    </w:p>
    <w:p>
      <w:pPr>
        <w:spacing w:before="100" w:after="100"/>
      </w:pPr>
      <w:r>
        <w:t xml:space="preserve">Modern digital materiality is realized through a hardware ecosystem that translates digital logic into physical substance. This includes high-performance systems such as the YINGHE A3 360J and versatile CNC routing platforms capable of handling diverse substrates.</w:t>
      </w:r>
    </w:p>
    <w:p>
      <w:pPr>
        <w:pStyle w:val="Heading3"/>
        <w:spacing w:before="200" w:after="100"/>
      </w:pPr>
      <w:r>
        <w:t xml:space="preserve">Microcontroller Analysis and Firmware Stability</w:t>
      </w:r>
    </w:p>
    <w:p>
      <w:pPr>
        <w:spacing w:before="100" w:after="100"/>
      </w:pPr>
      <w:r>
        <w:t xml:space="preserve">The precision of fabrication hardware is dictated by the stability of its microcontroller configuration. In systems like the Cricut architecture, the ATmega microcontroller is typically paired with a 16 MHz crystal. This specific frequency is chosen for timing stability; it ensures that the power and the crystal reach a stable state before the main program executes, effectively preventing "jitter" during high-precision cutting. These systems often utilize the largest possible bootloader size to manage complex firmware and ensure the watchdog timer is enabled, providing a standard safeguard against software hangs during long production runs.</w:t>
      </w:r>
    </w:p>
    <w:p>
      <w:pPr>
        <w:pStyle w:val="Heading3"/>
        <w:spacing w:before="200" w:after="100"/>
      </w:pPr>
      <w:r>
        <w:t xml:space="preserve">Kerf (Slit) Compensation Logic</w:t>
      </w:r>
    </w:p>
    <w:p>
      <w:pPr>
        <w:spacing w:before="100" w:after="100"/>
      </w:pPr>
      <w:r>
        <w:t xml:space="preserve">During CNC fabrication, the physical incision (the slit or kerf) results in a workpiece that is typically 1–3mm smaller than the theoretical drawing. To ensure geometric accuracy, a specialist must apply kerf compensation to offset the cutting path.</w:t>
      </w:r>
    </w:p>
    <w:p>
      <w:pPr>
        <w:spacing w:before="100" w:after="100"/>
      </w:pPr>
      <w:r>
        <w:t xml:space="preserve">Mathematical Logic for Compensation:</w:t>
      </w:r>
    </w:p>
    <w:p>
      <w:pPr>
        <w:spacing w:before="50" w:after="50"/>
        <w:ind w:left="720"/>
      </w:pPr>
      <w:r>
        <w:t xml:space="preserve">• Compensation Radius = (Programmed Dimension - Measured Physical Dimension) / 2</w:t>
      </w:r>
    </w:p>
    <w:p>
      <w:pPr>
        <w:spacing w:before="100" w:after="100"/>
      </w:pPr>
      <w:r>
        <w:t xml:space="preserve">Instructions for Calibration:</w:t>
      </w:r>
    </w:p>
    <w:p>
      <w:pPr>
        <w:spacing w:before="50" w:after="50"/>
        <w:ind w:left="720"/>
      </w:pPr>
      <w:r>
        <w:t xml:space="preserve">1. Forensic Measurement: Cut a test rectangle on scrap material. Compare the physical result to the programmed vector to determine the deviation.</w:t>
      </w:r>
    </w:p>
    <w:p>
      <w:pPr>
        <w:spacing w:before="50" w:after="50"/>
        <w:ind w:left="720"/>
      </w:pPr>
      <w:r>
        <w:t xml:space="preserve">2. Software-Level Offset: Enter the calculated compensation radius into nesting software. This automatically offsets internal and external contours.</w:t>
      </w:r>
    </w:p>
    <w:p>
      <w:pPr>
        <w:spacing w:before="50" w:after="50"/>
        <w:ind w:left="720"/>
      </w:pPr>
      <w:r>
        <w:t xml:space="preserve">3. Numerical System (CNC) Commands: Use G-code commands (G41 for left, G42 for right, G40 to cancel) to define the offset direction.</w:t>
      </w:r>
    </w:p>
    <w:p>
      <w:pPr>
        <w:spacing w:before="50" w:after="50"/>
        <w:ind w:left="720"/>
      </w:pPr>
      <w:r>
        <w:t xml:space="preserve">4. Avoid Redundancy: If software compensation is active, the CNC system offset must be set to zero to prevent double-compensation errors.</w:t>
      </w:r>
    </w:p>
    <w:p>
      <w:pPr>
        <w:spacing w:before="50" w:after="50"/>
        <w:ind w:left="720"/>
      </w:pPr>
      <w:r>
        <w:t xml:space="preserve">5. Small Geometry Nuance: Numerical systems struggle with arcs smaller than the compensation radius. This creates a "negative theoretical radius," resulting in geometric failure. In these instances, the designer must modify the component geometry or prioritize software-level compensation to resolve the error before the file reaches the machine.</w:t>
      </w:r>
    </w:p>
    <w:p>
      <w:pPr>
        <w:pStyle w:val="Heading2"/>
        <w:spacing w:before="200" w:after="100"/>
      </w:pPr>
      <w:r>
        <w:t xml:space="preserve">3. Digitizing Tactility: Software as the Bridge</w:t>
      </w:r>
    </w:p>
    <w:p>
      <w:pPr>
        <w:spacing w:before="100" w:after="100"/>
      </w:pPr>
      <w:r>
        <w:t xml:space="preserve">Software acts as the critical translator between vector art and physical stitch. Advanced embroidery digitizing platforms like Hatch Embroidery 3 are no longer isolated tools but are part of an interoperable ecosystem. Collaboration between Adobe and industry leaders like Aquario Design and NedGraphics ensures that design files move seamlessly through the textile and apparel value chain.</w:t>
      </w:r>
    </w:p>
    <w:p>
      <w:pPr>
        <w:spacing w:before="100" w:after="100"/>
      </w:pPr>
      <w:r>
        <w:t xml:space="preserve">Specialized Fabrication Features:</w:t>
      </w:r>
    </w:p>
    <w:p>
      <w:pPr>
        <w:spacing w:before="50" w:after="50"/>
        <w:ind w:left="720"/>
      </w:pPr>
      <w:r>
        <w:t xml:space="preserve">• Auto-Digitizing: Sophisticated algorithms that convert bitmap and vector art into stitch-ready paths with minimal manual intervention.</w:t>
      </w:r>
    </w:p>
    <w:p>
      <w:pPr>
        <w:spacing w:before="50" w:after="50"/>
        <w:ind w:left="720"/>
      </w:pPr>
      <w:r>
        <w:t xml:space="preserve">• Keyboard Design Collections: Enables the mapping of custom decorative alphabet designs to a standard keyboard for rapid lettering fabrication.</w:t>
      </w:r>
    </w:p>
    <w:p>
      <w:pPr>
        <w:spacing w:before="50" w:after="50"/>
        <w:ind w:left="720"/>
      </w:pPr>
      <w:r>
        <w:t xml:space="preserve">• Multi-hooping Support: A critical feature for large-scale projects that exceed a single embroidery area, allowing the software to manage registration across multiple hoop placements.</w:t>
      </w:r>
    </w:p>
    <w:p>
      <w:pPr>
        <w:spacing w:before="100" w:after="100"/>
      </w:pPr>
      <w:r>
        <w:t xml:space="preserve">Pro-Tip: Wireless Production CyclesImplement wireless transfer devices such as EmbroideryConnect. By eliminating physical media (USB sticks), you reduce manual handling errors and streamline the transfer of designs directly from the workstation to the fabrication unit.</w:t>
      </w:r>
    </w:p>
    <w:p>
      <w:pPr>
        <w:pStyle w:val="Heading2"/>
        <w:spacing w:before="200" w:after="100"/>
      </w:pPr>
      <w:r>
        <w:t xml:space="preserve">4. Sensory-Responsive Architectures: Simulating the Tactile</w:t>
      </w:r>
    </w:p>
    <w:p>
      <w:pPr>
        <w:spacing w:before="100" w:after="100"/>
      </w:pPr>
      <w:r>
        <w:t xml:space="preserve">Advanced UV printing, exemplified by the Holdwin HW-620Pro, allows for "imitation embroidery" by mimicking the visual impact of sewn yarn on hard surfaces like metal, plastic, or leather.</w:t>
      </w:r>
    </w:p>
    <w:p>
      <w:pPr>
        <w:pStyle w:val="Heading3"/>
        <w:spacing w:before="200" w:after="100"/>
      </w:pPr>
      <w:r>
        <w:t xml:space="preserve">Halftone Rendering and Layering</w:t>
      </w:r>
    </w:p>
    <w:p>
      <w:pPr>
        <w:spacing w:before="100" w:after="100"/>
      </w:pPr>
      <w:r>
        <w:t xml:space="preserve">The success of this effect relies on the PDF Print Engine’s rendering algorithms. The RIP software converts vector designs into layered "dot patterns" (the halftone concept). By stacking a solid white base, CMYK color ink, and multiple passes of gloss varnish, the printer builds a 3D texture. At a resolution of 2400 dpi, these layers catch light naturally and create a "bumpy" feel that simulates real stitches.</w:t>
      </w:r>
    </w:p>
    <w:p>
      <w:pPr>
        <w:pStyle w:val="Heading3"/>
        <w:spacing w:before="200" w:after="100"/>
      </w:pPr>
      <w:r>
        <w:t xml:space="preserve">Specialized Tactile Printing 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tcPr>
          <w:p>
            <w:r>
              <w:rPr>
                <w:b/>
                <w:bCs/>
              </w:rPr>
              <w:t xml:space="preserve">Effect</w:t>
            </w:r>
          </w:p>
        </w:tc>
        <w:tc>
          <w:tcPr>
            <w:shd w:fill="E8E8E8"/>
          </w:tcPr>
          <w:p>
            <w:r>
              <w:rPr>
                <w:b/>
                <w:bCs/>
              </w:rPr>
              <w:t xml:space="preserve">Technical Description</w:t>
            </w:r>
          </w:p>
        </w:tc>
      </w:tr>
      <w:tr>
        <w:tc>
          <w:p>
            <w:r>
              <w:t xml:space="preserve">Sponge Effect</w:t>
            </w:r>
          </w:p>
        </w:tc>
        <w:tc>
          <w:p>
            <w:r>
              <w:t xml:space="preserve">Plastisol-based ink with heat-reactive foaming additives that expand to create a 3D "puffy" texture.</w:t>
            </w:r>
          </w:p>
        </w:tc>
      </w:tr>
      <w:tr>
        <w:tc>
          <w:p>
            <w:r>
              <w:t xml:space="preserve">Flock Printing</w:t>
            </w:r>
          </w:p>
        </w:tc>
        <w:tc>
          <w:p>
            <w:r>
              <w:t xml:space="preserve">Deposition of small natural or synthetic fiber particles (cotton, nylon, polyester) onto an adhesive layer for a velvety feel.</w:t>
            </w:r>
          </w:p>
        </w:tc>
      </w:tr>
      <w:tr>
        <w:tc>
          <w:p>
            <w:r>
              <w:t xml:space="preserve">Glow-in-the-Dark</w:t>
            </w:r>
          </w:p>
        </w:tc>
        <w:tc>
          <w:p>
            <w:r>
              <w:t xml:space="preserve">Phosphor-based plastisol inks that absorb light to provide a luminous finish in dark environments.</w:t>
            </w:r>
          </w:p>
        </w:tc>
      </w:tr>
      <w:tr>
        <w:tc>
          <w:p>
            <w:r>
              <w:t xml:space="preserve">Foil Printing</w:t>
            </w:r>
          </w:p>
        </w:tc>
        <w:tc>
          <w:p>
            <w:r>
              <w:t xml:space="preserve">Creates a metallic, reflective finish using specialized foil ink and a dedicated transfer process.</w:t>
            </w:r>
          </w:p>
        </w:tc>
      </w:tr>
    </w:tbl>
    <w:p/>
    <w:p>
      <w:pPr>
        <w:pStyle w:val="Heading2"/>
        <w:spacing w:before="200" w:after="100"/>
      </w:pPr>
      <w:r>
        <w:t xml:space="preserve">5. Precision Calibration and Material Integrity</w:t>
      </w:r>
    </w:p>
    <w:p>
      <w:pPr>
        <w:spacing w:before="100" w:after="100"/>
      </w:pPr>
      <w:r>
        <w:t xml:space="preserve">To achieve "What You See Is What You Get" (WYSIWYG) results, the technologist must reconcile the gap between additive (sRGB) monitor spaces and subtractive (CMYK/CMYO) print spaces.</w:t>
      </w:r>
    </w:p>
    <w:p>
      <w:pPr>
        <w:pStyle w:val="Heading3"/>
        <w:spacing w:before="200" w:after="100"/>
      </w:pPr>
      <w:r>
        <w:t xml:space="preserve">The CMYO Logic</w:t>
      </w:r>
    </w:p>
    <w:p>
      <w:pPr>
        <w:spacing w:before="100" w:after="100"/>
      </w:pPr>
      <w:r>
        <w:t xml:space="preserve">In dye-sublimation, the CMYO (Cyan, Magenta, Yellow, Overcoat) process is the technologist’s hero. The "O" (Overcoat) eliminates the need for a dedicated black channel while providing a critical protective layer against UV light and water, ensuring long-term material integrity.</w:t>
      </w:r>
    </w:p>
    <w:p>
      <w:pPr>
        <w:pStyle w:val="Heading3"/>
        <w:spacing w:before="200" w:after="100"/>
      </w:pPr>
      <w:r>
        <w:t xml:space="preserve">Color Correction and White Balance</w:t>
      </w:r>
    </w:p>
    <w:p>
      <w:pPr>
        <w:spacing w:before="100" w:after="100"/>
      </w:pPr>
      <w:r>
        <w:t xml:space="preserve">Color shifts are often caused by incorrect White Balance settings during the initial capture or design phase. If a print exhibits a yellow cast (typical of halogen lighting), the technician must add the opposite color to find a "true white" reference.</w:t>
      </w:r>
    </w:p>
    <w:p>
      <w:pPr>
        <w:spacing w:before="100" w:after="100"/>
      </w:pPr>
      <w:r>
        <w:t xml:space="preserve">Color Correction Matrix:</w:t>
      </w:r>
    </w:p>
    <w:p>
      <w:pPr>
        <w:spacing w:before="50" w:after="50"/>
        <w:ind w:left="720"/>
      </w:pPr>
      <w:r>
        <w:t xml:space="preserve">• If print is Red: Add Cyan</w:t>
      </w:r>
    </w:p>
    <w:p>
      <w:pPr>
        <w:spacing w:before="50" w:after="50"/>
        <w:ind w:left="720"/>
      </w:pPr>
      <w:r>
        <w:t xml:space="preserve">• If print is Blue: Add Yellow</w:t>
      </w:r>
    </w:p>
    <w:p>
      <w:pPr>
        <w:spacing w:before="50" w:after="50"/>
        <w:ind w:left="720"/>
      </w:pPr>
      <w:r>
        <w:t xml:space="preserve">• If print is Green: Add Magenta</w:t>
      </w:r>
    </w:p>
    <w:p>
      <w:pPr>
        <w:spacing w:before="50" w:after="50"/>
        <w:ind w:left="720"/>
      </w:pPr>
      <w:r>
        <w:t xml:space="preserve">• If print is Cyan: Add Red</w:t>
      </w:r>
    </w:p>
    <w:p>
      <w:pPr>
        <w:spacing w:before="50" w:after="50"/>
        <w:ind w:left="720"/>
      </w:pPr>
      <w:r>
        <w:t xml:space="preserve">• If print is Yellow: Add Blue</w:t>
      </w:r>
    </w:p>
    <w:p>
      <w:pPr>
        <w:spacing w:before="50" w:after="50"/>
        <w:ind w:left="720"/>
      </w:pPr>
      <w:r>
        <w:t xml:space="preserve">• If print is Magenta: Add Green</w:t>
      </w:r>
    </w:p>
    <w:p>
      <w:pPr>
        <w:pStyle w:val="Heading2"/>
        <w:spacing w:before="200" w:after="100"/>
      </w:pPr>
      <w:r>
        <w:t xml:space="preserve">6. Implementation and Scalability</w:t>
      </w:r>
    </w:p>
    <w:p>
      <w:pPr>
        <w:spacing w:before="100" w:after="100"/>
      </w:pPr>
      <w:r>
        <w:t xml:space="preserve">Transitioning to high-performance digital systems is an essential strategy for 2026-standard production. Automation technology and intuitive touchscreen interfaces allow operators with minimal training to achieve high-quality results consistently.</w:t>
      </w:r>
    </w:p>
    <w:p>
      <w:pPr>
        <w:spacing w:before="50" w:after="50"/>
        <w:ind w:left="720"/>
      </w:pPr>
      <w:r>
        <w:t xml:space="preserve">• Productivity: Integration of these systems can yield up to a 30% efficiency gain in complex order fulfillment.</w:t>
      </w:r>
    </w:p>
    <w:p>
      <w:pPr>
        <w:spacing w:before="50" w:after="50"/>
        <w:ind w:left="720"/>
      </w:pPr>
      <w:r>
        <w:t xml:space="preserve">• Connectivity: Essential machinery must support Wi-Fi and Cloud access for remote design library synchronization.</w:t>
      </w:r>
    </w:p>
    <w:p>
      <w:pPr>
        <w:spacing w:before="50" w:after="50"/>
        <w:ind w:left="720"/>
      </w:pPr>
      <w:r>
        <w:t xml:space="preserve">• Environmental Impact: Digitalization offers a significant sustainability advantage; laser cutting reduces material waste by approximately 20% compared to traditional manual or analog cutting methods.</w:t>
      </w:r>
    </w:p>
    <w:p>
      <w:pPr>
        <w:pStyle w:val="Heading2"/>
        <w:spacing w:before="200" w:after="100"/>
      </w:pPr>
      <w:r>
        <w:t xml:space="preserve">7. Technical Glossary and Troubleshooting</w:t>
      </w:r>
    </w:p>
    <w:p>
      <w:pPr>
        <w:pStyle w:val="Heading3"/>
        <w:spacing w:before="200" w:after="100"/>
      </w:pPr>
      <w:r>
        <w:t xml:space="preserve">Glossary of Terms</w:t>
      </w:r>
    </w:p>
    <w:p>
      <w:pPr>
        <w:spacing w:before="50" w:after="50"/>
        <w:ind w:left="720"/>
      </w:pPr>
      <w:r>
        <w:t xml:space="preserve">• RIP (Raster Image Processing): The software engine that converts vector/bitmap art into the raster dot patterns required by the printer.</w:t>
      </w:r>
    </w:p>
    <w:p>
      <w:pPr>
        <w:spacing w:before="50" w:after="50"/>
        <w:ind w:left="720"/>
      </w:pPr>
      <w:r>
        <w:t xml:space="preserve">• ICC Profiles: The "glue" that reassigns colors outside a device's native color space to ensure consistency across different hardware.</w:t>
      </w:r>
    </w:p>
    <w:p>
      <w:pPr>
        <w:spacing w:before="50" w:after="50"/>
        <w:ind w:left="720"/>
      </w:pPr>
      <w:r>
        <w:t xml:space="preserve">• Mercury RIP Architecture: A scalable, dynamic platform that utilizes parallel processing across multiple computers for high-speed rendering of complex graphics.</w:t>
      </w:r>
    </w:p>
    <w:p>
      <w:pPr>
        <w:spacing w:before="50" w:after="50"/>
        <w:ind w:left="720"/>
      </w:pPr>
      <w:r>
        <w:t xml:space="preserve">• Spectral Data: High-fidelity color information that describes how a surface reflects light across the entire visible spectrum.</w:t>
      </w:r>
    </w:p>
    <w:p>
      <w:pPr>
        <w:pStyle w:val="Heading3"/>
        <w:spacing w:before="200" w:after="100"/>
      </w:pPr>
      <w:r>
        <w:t xml:space="preserve">Hardware Troubleshooting FAQ</w:t>
      </w:r>
    </w:p>
    <w:p>
      <w:pPr>
        <w:spacing w:before="100" w:after="100"/>
      </w:pPr>
      <w:r>
        <w:t xml:space="preserve">Q: How do I resolve temporary software freezes or interface lags?Perform a technical reset (restart) and check firmware versioning. Frequent lags often indicate a need for a firmware update to maintain compatibility with updated design software.</w:t>
      </w:r>
    </w:p>
    <w:p>
      <w:pPr>
        <w:spacing w:before="100" w:after="100"/>
      </w:pPr>
      <w:r>
        <w:t xml:space="preserve">Q: Why is my Wi-Fi transfer failing for complex designs?Unstable networks struggle with the high data density of rich graphics. Ensure the machine's Wi-Fi firmware is updated and always maintain a local design backup.</w:t>
      </w:r>
    </w:p>
    <w:p>
      <w:pPr>
        <w:spacing w:before="100" w:after="100"/>
      </w:pPr>
      <w:r>
        <w:t xml:space="preserve">Q: My prints have a persistent artificial tint. How do I fix this?This is a White Balance failure. Do not rely on "auto" settings for critical work. Use a neutral gray or white target card to manually define a reference point, ensuring the camera or scanner correctly identifies the "true white" base before processing.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2026-04-27T17:26:07.386Z</dcterms:created>
  <dcterms:modified xsi:type="dcterms:W3CDTF">2026-04-27T17:26:07.386Z</dcterms:modified>
</cp:coreProperties>
</file>

<file path=docProps/custom.xml><?xml version="1.0" encoding="utf-8"?>
<Properties xmlns="http://schemas.openxmlformats.org/officeDocument/2006/custom-properties" xmlns:vt="http://schemas.openxmlformats.org/officeDocument/2006/docPropsVTypes"/>
</file>