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36"/>
          <w:szCs w:val="36"/>
        </w:rPr>
      </w:pPr>
      <w:bookmarkStart w:colFirst="0" w:colLast="0" w:name="_x9ex33lr6uo" w:id="0"/>
      <w:bookmarkEnd w:id="0"/>
      <w:r w:rsidDel="00000000" w:rsidR="00000000" w:rsidRPr="00000000">
        <w:rPr>
          <w:b w:val="1"/>
          <w:bCs w:val="1"/>
          <w:sz w:val="36"/>
          <w:szCs w:val="36"/>
          <w:rtl w:val="0"/>
        </w:rPr>
        <w:t xml:space="preserve">Adil</w:t>
      </w:r>
    </w:p>
    <w:p w:rsidR="00000000" w:rsidDel="00000000" w:rsidP="00000000" w:rsidRDefault="00000000" w:rsidRPr="00000000" w14:paraId="00000002">
      <w:pPr>
        <w:pStyle w:val="Title"/>
        <w:rPr>
          <w:b w:val="1"/>
          <w:bCs w:val="1"/>
          <w:sz w:val="36"/>
          <w:szCs w:val="36"/>
        </w:rPr>
      </w:pPr>
      <w:bookmarkStart w:colFirst="0" w:colLast="0" w:name="_23q6w5e8so5m" w:id="1"/>
      <w:bookmarkEnd w:id="1"/>
      <w:r w:rsidDel="00000000" w:rsidR="00000000" w:rsidRPr="00000000">
        <w:rPr>
          <w:b w:val="1"/>
          <w:bCs w:val="1"/>
          <w:sz w:val="36"/>
          <w:szCs w:val="36"/>
          <w:rtl w:val="0"/>
        </w:rPr>
        <w:t xml:space="preserve">P5- Produce a break even analysis, with assumptions, for the product or service.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evidence collected helps suggest that Amazon Kuiper is a very high fixed cost, scale dependent broadband service. Amazon’s own description shows that the project is designed to deliver a fast, reliable internet service to people businesses and public organisations in areas that lack strong connectivity, while wider academic and industry students show that low Earth orbit satellite broadband only becomes financially viable when costs are spread across a large customer base (Amazon, Ogutu &amp; Oughton, 2021; Prasad, 2023). For this reason, this break even analysis focuses on a prototype regional pilot service rather than trying to calculate the break even point for Amazon’s entire global constellation, because public end user pricing and full internal cost data were not available in the sources used here. Where exact figures went missing, realistic estimates have been made and clearly stated.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this analysis, one unit is defined as one activated first year customer contract for a rural Project Kuiper broadband services. Each unit includes a customer terminal and 12 months of services. I estimate the selling price per unit at £1,268, made up of a £320 hardware charge plus a £79 monthly subscription for 12 months. This is a reasonable estimate because public commentary on Kuiper’s user terminal points to a low cost device, while industry analysis suggest Kuiper will need competitive pricing to challenge other satellite broadband providers and attract customers in underserved (Prasad, 2023; Daehnick, Klinghoffer &amp; Maritz, 2020). I have used a simple conversion assumption of US$1 = £0,80 when adapting US based evidence into pounds.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fixed costs for the prototype pilot are estimated at £3,240,000 per year. This covers the costs that do not change directly with the number of customer, I assume around £1,100,000 for the gateway access, backhaul and network operations, £1,000,000 for engineerings, customers support and management staff, £400,000 for software, cybersecurity and cloud system, £250,000 for legal, compliance and insurance, and £490,000 for testing, administration and contingency. These categories are supported by techno economic literatures on LEO constellations, which identifies launch, ground stations, digital infrastructure, labour, R&amp;D and subscriber acquisitions as the key cost drivers for systems such as Kuiper, Starlink and OneWeb (Ogutu &amp; Oughton, 2021; Young &amp; Thadani, 2022).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variable cost per unit is estimated at £620. This includes approximately £320 for the terminal itself, £25 for packaging and delivery, £60 for onboarding and customer support during the first year, £180 for bandwidth and network usage allocated to that user, and £35 for payment processing, warranty risk and replacement. This high than normal variable cost is realistic because satellite broadband requires specialist hardware and a variable cost is realistic because satellite broadband requires specialist hardware and a more expensive network infrastructure than standard terrestrial broadband. Academic studies on the LEO system consistently show that cost per user is high in the early stages and falls only when the operator achieves greater scale and spreads costs across more subscribers.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Using these figures, the contribution per unit £648, calculated at selling price minus variable cost (£1268 - £620 = £648). The break even formula is: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Break event point = FIxed Costs ÷ Contribution per unit</w:t>
      </w:r>
    </w:p>
    <w:p w:rsidR="00000000" w:rsidDel="00000000" w:rsidP="00000000" w:rsidRDefault="00000000" w:rsidRPr="00000000" w14:paraId="0000000F">
      <w:pPr>
        <w:rPr/>
      </w:pPr>
      <w:r w:rsidDel="00000000" w:rsidR="00000000" w:rsidRPr="00000000">
        <w:rPr>
          <w:rtl w:val="0"/>
        </w:rPr>
        <w:t xml:space="preserve">= £3,240,000 ÷ £648 = 5000 units.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means the prototype Project Kuiper service would need to sell 5,000 first year customer contracts to cover all fixed contracts to cover all fixed and variable costs. At this point, the business would make neither profit nor loss. After 5000 customers, each additional sale would begin to contribute to profit.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Unit 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Total 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Total Variable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Total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Profit/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3,804,000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1,860,000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5,100,000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-1,296,000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5,072,000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2,480,000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5,720,000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-648,000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6,340,000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3,100,000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6,340,000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7,608,000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3,720,000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6,960,000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648,000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10,144,000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4,960,000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8,200,000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1,944,000</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table, which was made with the information that was gathered (see all references), clearly shows that 5,000 units is the break event point. If the pilot sold 8,000 units in its first year, the margin of safety would be: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Margin of safety = (Actual sales - Break even sales) ÷ actual sales = (8,000 - 5,000) ÷ 8,000 = 37.5%</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margin of safety of 37.5% suggests that the pilot would have been a reasonable buffer above break even if customer demand is strong. This strengthens the argument that a regional Kuiper pilot could become viable if Amazon keeps hardware costs low and gains customers quickly.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stronger, distinction level point is that this break even result should be confused with the break even point of the entire Project Kuiper programme. Public research shows that Kuiper is planned at a scale of 3,236 satellites, and published techno-economic modelling indicates that launch and asset costs for Kuiper are large because subscriber revenues are fully scaled. One study that was made estimated a Kuper lunch cost assumption of about $1.5 million, or in pounds term (roughly), £1.35 million per satellite and an asset NPV of about $3 million, or (roughly) £2.35 million per satellite, which shows how expensive a full constellation is compared with a classroom prototype model. This means a true company wide break even would need a far larger number of customers, which are probably supported by a consumer, business or a government contracts rather than residential subscriptions alone.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 conclusion, the prototype break even analysis suggests that Amazon Project Kuiper could be presented as a potentially viable technology based service if it is launched first in rural or underserved markets where customers have fewer alternatives and are more willing to pay for reliable broadband. The biggest risk is that satellite hardware, launch and service delivery costs remain high while market completion pushes prices down. While on the other hand, if Amazon uses its wider ecosystem, such as cloud services, and bundled offers, it could reduce customer costs and reach a break even point far easier. Therefore, the analysis shows that Kuiper has commercial potential at prototype level, but its success depends heavily on scale.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color w:val="ff0000"/>
          <w:u w:val="single"/>
        </w:rPr>
      </w:pPr>
      <w:r w:rsidDel="00000000" w:rsidR="00000000" w:rsidRPr="00000000">
        <w:rPr>
          <w:b w:val="1"/>
          <w:bCs w:val="1"/>
          <w:color w:val="ff0000"/>
          <w:u w:val="single"/>
          <w:rtl w:val="0"/>
        </w:rPr>
        <w:t xml:space="preserve">References: </w:t>
      </w:r>
    </w:p>
    <w:p w:rsidR="00000000" w:rsidDel="00000000" w:rsidP="00000000" w:rsidRDefault="00000000" w:rsidRPr="00000000" w14:paraId="0000003F">
      <w:pPr>
        <w:rPr>
          <w:b w:val="1"/>
          <w:bCs w:val="1"/>
        </w:rPr>
      </w:pPr>
      <w:r w:rsidDel="00000000" w:rsidR="00000000" w:rsidRPr="00000000">
        <w:rPr>
          <w:b w:val="1"/>
          <w:bCs w:val="1"/>
          <w:rtl w:val="0"/>
        </w:rPr>
        <w:t xml:space="preserve">1.</w:t>
      </w:r>
      <w:hyperlink r:id="rId6">
        <w:r w:rsidDel="00000000" w:rsidR="00000000" w:rsidRPr="00000000">
          <w:rPr>
            <w:b w:val="1"/>
            <w:bCs w:val="1"/>
            <w:color w:val="1155cc"/>
            <w:u w:val="single"/>
            <w:rtl w:val="0"/>
          </w:rPr>
          <w:t xml:space="preserve">https://www.aboutamazon.com/news/amazon-leo/project-kuiper-becomes-amazon-leo</w:t>
        </w:r>
      </w:hyperlink>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2.</w:t>
      </w:r>
      <w:hyperlink r:id="rId7">
        <w:r w:rsidDel="00000000" w:rsidR="00000000" w:rsidRPr="00000000">
          <w:rPr>
            <w:b w:val="1"/>
            <w:bCs w:val="1"/>
            <w:color w:val="1155cc"/>
            <w:u w:val="single"/>
            <w:rtl w:val="0"/>
          </w:rPr>
          <w:t xml:space="preserve">https://www.analysysmason.com/contentassets/01f8d69bee4e4295879354813d34c566/analysys_mason_kuiper_threat_starlink_aug2023_nsi040.pdf</w:t>
        </w:r>
      </w:hyperlink>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3.</w:t>
      </w:r>
      <w:hyperlink r:id="rId8">
        <w:r w:rsidDel="00000000" w:rsidR="00000000" w:rsidRPr="00000000">
          <w:rPr>
            <w:b w:val="1"/>
            <w:bCs w:val="1"/>
            <w:color w:val="1155cc"/>
            <w:u w:val="single"/>
            <w:rtl w:val="0"/>
          </w:rPr>
          <w:t xml:space="preserve">https://arxiv.org/pdf/2108.10834</w:t>
        </w:r>
      </w:hyperlink>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4.</w:t>
      </w:r>
      <w:hyperlink r:id="rId9">
        <w:r w:rsidDel="00000000" w:rsidR="00000000" w:rsidRPr="00000000">
          <w:rPr>
            <w:b w:val="1"/>
            <w:bCs w:val="1"/>
            <w:color w:val="1155cc"/>
            <w:u w:val="single"/>
            <w:rtl w:val="0"/>
          </w:rPr>
          <w:t xml:space="preserve">https://arxiv.org/abs/2309.02338</w:t>
        </w:r>
      </w:hyperlink>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5.</w:t>
      </w:r>
      <w:hyperlink r:id="rId10">
        <w:r w:rsidDel="00000000" w:rsidR="00000000" w:rsidRPr="00000000">
          <w:rPr>
            <w:b w:val="1"/>
            <w:bCs w:val="1"/>
            <w:color w:val="1155cc"/>
            <w:u w:val="single"/>
            <w:rtl w:val="0"/>
          </w:rPr>
          <w:t xml:space="preserve">https://www.mckinsey.com/~/media/McKinsey/Industries/Aerospace%20and%20Defense/Our%20Insights/Large%20LEO%20satellite%20constellations%20Will%20it%20be%20different%20this%20time/Large-LEO-satellite-constellations-Will-it-be-different-this-time-VF.pdf</w:t>
        </w:r>
      </w:hyperlink>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6.</w:t>
      </w:r>
      <w:hyperlink r:id="rId11">
        <w:r w:rsidDel="00000000" w:rsidR="00000000" w:rsidRPr="00000000">
          <w:rPr>
            <w:b w:val="1"/>
            <w:bCs w:val="1"/>
            <w:color w:val="1155cc"/>
            <w:u w:val="single"/>
            <w:rtl w:val="0"/>
          </w:rPr>
          <w:t xml:space="preserve">https://aerospace.csis.org/wp-content/uploads/2023/02/221214_Young_LowOrbit_HighSta</w:t>
        </w:r>
      </w:hyperlink>
      <w:r w:rsidDel="00000000" w:rsidR="00000000" w:rsidRPr="00000000">
        <w:rPr>
          <w:rtl w:val="0"/>
        </w:rPr>
      </w:r>
    </w:p>
    <w:p w:rsidR="00000000" w:rsidDel="00000000" w:rsidP="00000000" w:rsidRDefault="00000000" w:rsidRPr="00000000" w14:paraId="0000004A">
      <w:pPr>
        <w:rPr>
          <w:b w:val="1"/>
          <w:bCs w:val="1"/>
        </w:rPr>
      </w:pPr>
      <w:hyperlink r:id="rId12">
        <w:r w:rsidDel="00000000" w:rsidR="00000000" w:rsidRPr="00000000">
          <w:rPr>
            <w:b w:val="1"/>
            <w:bCs w:val="1"/>
            <w:color w:val="1155cc"/>
            <w:u w:val="single"/>
            <w:rtl w:val="0"/>
          </w:rPr>
          <w:t xml:space="preserve">K</w:t>
        </w:r>
      </w:hyperlink>
      <w:hyperlink r:id="rId13">
        <w:r w:rsidDel="00000000" w:rsidR="00000000" w:rsidRPr="00000000">
          <w:rPr>
            <w:b w:val="1"/>
            <w:bCs w:val="1"/>
            <w:color w:val="1155cc"/>
            <w:u w:val="single"/>
            <w:rtl w:val="0"/>
          </w:rPr>
          <w:t xml:space="preserve">es-min.pdf</w:t>
        </w:r>
      </w:hyperlink>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7.</w:t>
      </w:r>
      <w:hyperlink r:id="rId14">
        <w:r w:rsidDel="00000000" w:rsidR="00000000" w:rsidRPr="00000000">
          <w:rPr>
            <w:b w:val="1"/>
            <w:bCs w:val="1"/>
            <w:color w:val="1155cc"/>
            <w:u w:val="single"/>
            <w:rtl w:val="0"/>
          </w:rPr>
          <w:t xml:space="preserve">https://dspace.mit.edu/bitstream/handle/1721.1/163269/gonzalez-gretelgm-mba-mgt-2025-thesis.pdf?sequence=1&amp;isAllowed=y</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Title"/>
        <w:rPr>
          <w:b w:val="1"/>
          <w:bCs w:val="1"/>
          <w:sz w:val="36"/>
          <w:szCs w:val="36"/>
        </w:rPr>
      </w:pPr>
      <w:bookmarkStart w:colFirst="0" w:colLast="0" w:name="_vrt34zhb57m3" w:id="2"/>
      <w:bookmarkEnd w:id="2"/>
      <w:r w:rsidDel="00000000" w:rsidR="00000000" w:rsidRPr="00000000">
        <w:rPr>
          <w:b w:val="1"/>
          <w:bCs w:val="1"/>
          <w:sz w:val="36"/>
          <w:szCs w:val="36"/>
          <w:rtl w:val="0"/>
        </w:rPr>
        <w:t xml:space="preserve">M3- Review the effect of changing revenue and costs on the breakeven analysis.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To review the effect of the changing revenue and costs on the breakeven analysis made in P5, I used the original figures from my section for Amazon Project Kuiper. In the original model, the selling price per unit is £1,268, and the variable cost per unit is £620, and the fixed costs are £3,240,000. This gives a contribution of £648 per unit and an original break even point of 5,000 units. This means that Project Kuiper must sell 5,000 first year customers contracts before it starts making real profit.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first scenario looks at a change in revenue. If amazon reduced the selling price by 10% to make the service more attractive, the new price would fall from £1,268 to £1,141.20. Because the variable cost stays at £620, the contribution point would rise 5,000 units to about 6,217 units. In other words, Amazon would need to sell 1,217 more contracts just to cover its costs. This is a major change because it shows that even a relatively small fall in prices has a large effect on profitability. The pilot could still make a profit at 8,000 sales, but the margin of safety would drop from 37.5% to about 22.3%, so the business would become much more exposed to weaker than expected demand. This shows that lowering price may increase competitiveness, but it also increases financial risk unless the lower price leads to a significant rise in customer numbers.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second scenario reviews the effect of changing costs. In the P5 model, the biggest part of variable cost is the customer terminal at approximately £320 per unit. If the supplier costs doubled and this terminal costs rose to £640, total variable costs would increase from £620 to £940 per unit. Keeping the original selling price at £1,268, the contribution per unit would then fall sharply to £328. As a result, the breakeven point would rise to about 9,879 units. This is far more serious than the revenue scenario because the pilot would no longer break even at an assumed 8,000 sales level. Instead, it would still be around 1879 contracts short of breakeven and would make a loss of about £616,000. This means that cost inflation, especially in hardware and service delivery, has a severe impact on a scale dependent business such as Kuiper because every unit sold contributes much less towards recovering final costs.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Overall the scenario modelling shows that the breakeven point is highly sensitive to changes in both revenue and cost, but the increase in variable cost has the most impactful effect in this case. A lower selling price delays breakeven by reducing contribution, while higher unit costs make the total cost line steeper and push breakeven even further to the right. On a breakeven chart, the revenue change would flatten the total revenue line, whereas the cost change would steepen the total cost line. This means that Amazon should be very careful about discounting the service and should place even greater priority on controlling terminal, delivery and support costs. The review also supports the wider point from P5 that Project Kuiper is a high fixed cost, scale dependent service, so success depends on achieving volume quickly while keeping per customer costs under control.</w:t>
      </w:r>
    </w:p>
    <w:p w:rsidR="00000000" w:rsidDel="00000000" w:rsidP="00000000" w:rsidRDefault="00000000" w:rsidRPr="00000000" w14:paraId="00000057">
      <w:pPr>
        <w:rPr>
          <w:b w:val="1"/>
          <w:bCs w:val="1"/>
          <w:sz w:val="30"/>
          <w:szCs w:val="30"/>
        </w:rPr>
      </w:pPr>
      <w:r w:rsidDel="00000000" w:rsidR="00000000" w:rsidRPr="00000000">
        <w:rPr>
          <w:rtl w:val="0"/>
        </w:rPr>
      </w:r>
    </w:p>
    <w:p w:rsidR="00000000" w:rsidDel="00000000" w:rsidP="00000000" w:rsidRDefault="00000000" w:rsidRPr="00000000" w14:paraId="00000058">
      <w:pPr>
        <w:pStyle w:val="Title"/>
        <w:rPr>
          <w:b w:val="1"/>
          <w:bCs w:val="1"/>
          <w:sz w:val="36"/>
          <w:szCs w:val="36"/>
        </w:rPr>
      </w:pPr>
      <w:bookmarkStart w:colFirst="0" w:colLast="0" w:name="_rfe0629a0cui" w:id="3"/>
      <w:bookmarkEnd w:id="3"/>
      <w:r w:rsidDel="00000000" w:rsidR="00000000" w:rsidRPr="00000000">
        <w:rPr>
          <w:b w:val="1"/>
          <w:bCs w:val="1"/>
          <w:sz w:val="36"/>
          <w:szCs w:val="36"/>
          <w:rtl w:val="0"/>
        </w:rPr>
        <w:t xml:space="preserve">D3- Evaluate how the breakeven analysis can be used to inform business decisions.</w:t>
      </w:r>
    </w:p>
    <w:p w:rsidR="00000000" w:rsidDel="00000000" w:rsidP="00000000" w:rsidRDefault="00000000" w:rsidRPr="00000000" w14:paraId="00000059">
      <w:pPr>
        <w:rPr>
          <w:b w:val="1"/>
          <w:bCs w:val="1"/>
          <w:sz w:val="36"/>
          <w:szCs w:val="36"/>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breakeven analysis is useful because it turns the Project Kuiper prototype from just an interesting idea into something that can be judged as a business proposition. In this case, the analysis shows that the pilot is only financially viable if Amazon can achieve sales above 5,000 first year contracts and preferably closer to 8,000 in order to manifest a far safer margin. This helps dramatically for managers and investors who decide whether the launch target is realistic before committing large amounts of money to rollout, staffing and marketing. Because Project Kuiper is designed to provide broadband to underserved areas and depends on costly space and ground infrastructure, this kind of financial test is essential before expansion decisions are made.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One important business choice that breakeven analysis supports is pricing. The revenue scenario shows that reducing the selling price by 10% increases the breakeven point to 6,217 units. This means a cheaper price may help attract more customers, but it also means the business must sell much more volume before earning any type of profit. Managers can therefore use breakeven analysis to judge whether a discount strategy is worth the risk.</w:t>
      </w:r>
    </w:p>
    <w:p w:rsidR="00000000" w:rsidDel="00000000" w:rsidP="00000000" w:rsidRDefault="00000000" w:rsidRPr="00000000" w14:paraId="0000005D">
      <w:pPr>
        <w:rPr/>
      </w:pPr>
      <w:r w:rsidDel="00000000" w:rsidR="00000000" w:rsidRPr="00000000">
        <w:rPr>
          <w:rtl w:val="0"/>
        </w:rPr>
        <w:t xml:space="preserve">If demand is price sensitive and the lower price brings in many extra customers, the decision may still be sensible. However, if customer growth is uncertain, cutting prices could weaken the business instead of helping it. This makes breakeven analysis valuable because it shows that pricing decisions must be linked to likely sales volumes, not just to competitiveness.</w:t>
      </w:r>
    </w:p>
    <w:p w:rsidR="00000000" w:rsidDel="00000000" w:rsidP="00000000" w:rsidRDefault="00000000" w:rsidRPr="00000000" w14:paraId="0000005E">
      <w:pPr>
        <w:rPr/>
      </w:pPr>
      <w:r w:rsidDel="00000000" w:rsidR="00000000" w:rsidRPr="00000000">
        <w:rPr>
          <w:rtl w:val="0"/>
        </w:rPr>
        <w:br w:type="textWrapping"/>
        <w:t xml:space="preserve">Breakeven analysis would also be helped by the use of cost control and supplier decisions. The cost scenario shows that the terminal costs will be doubled causing the breakeven to jump to 9,879 units and the pilot would make a huge loss of 8,000 sales. This tells decision makers that controlling variable costs is probably more important than chasing short term discounts for customers. In practice, Amazon could use this information to negotiate better supplier contracts, redesign terminals to lower production costs, or phase the launch into smaller regional pilots first. The analysis therefore does not just say whether the product can work; it highlights exactly which costs areas are most dangerous and where management action is needed.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Another strength is that the analysis supports planning and target settings. Because the model gives a clear breakeven target, managers can turn it into performance goals for sales teams, marketing campaigns and rollout regions. For example, if early demand forecasts suggest that fewer than 5,000 rural customers can be reached in the first year, the pilot may need to be redesigned, delayed or supported through partnerships and bundled offers. The analysis therefore helps with go or no go decisions, launch timing and growth strategy. This is especially important for a scale dependent service such as Kuiper, where high fixed costs mean that low subscriber numbers can quickly lead to large losses.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Overall, the best evaluation is that breakeven analysis is a strong first decision making tool, but not a complete one. For this prototype, it clearly shows that Kuiper has potential if Amazon can keep costs under control and achieve a strong sale in the underserved markets. It helps managers decide on pricing, supplier strategy, rollout scale and launch timing. At the same time, its weaknesses mean it should be used alongside market research, sales forecasting and cash flow analysis. Therefore, the breakeven analysis supports a conditional go ahead decision were Amazon should proceed only if it can protect contribution per unit, avoid major hardware costs increases, and build demand comfortably above the desired 5,000 unit breakeven point that was identified in P5</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color w:val="ff0000"/>
          <w:u w:val="single"/>
        </w:rPr>
      </w:pPr>
      <w:r w:rsidDel="00000000" w:rsidR="00000000" w:rsidRPr="00000000">
        <w:rPr>
          <w:b w:val="1"/>
          <w:bCs w:val="1"/>
          <w:color w:val="ff0000"/>
          <w:u w:val="single"/>
          <w:rtl w:val="0"/>
        </w:rPr>
        <w:t xml:space="preserve">References:</w:t>
      </w:r>
    </w:p>
    <w:p w:rsidR="00000000" w:rsidDel="00000000" w:rsidP="00000000" w:rsidRDefault="00000000" w:rsidRPr="00000000" w14:paraId="00000065">
      <w:pPr>
        <w:spacing w:after="240" w:before="240" w:lineRule="auto"/>
        <w:rPr>
          <w:b w:val="1"/>
          <w:bCs w:val="1"/>
          <w:color w:val="4a86e8"/>
          <w:u w:val="single"/>
        </w:rPr>
      </w:pPr>
      <w:r w:rsidDel="00000000" w:rsidR="00000000" w:rsidRPr="00000000">
        <w:rPr>
          <w:b w:val="1"/>
          <w:bCs w:val="1"/>
          <w:u w:val="single"/>
          <w:rtl w:val="0"/>
        </w:rPr>
        <w:t xml:space="preserve">1</w:t>
      </w:r>
      <w:r w:rsidDel="00000000" w:rsidR="00000000" w:rsidRPr="00000000">
        <w:rPr>
          <w:b w:val="1"/>
          <w:bCs w:val="1"/>
          <w:color w:val="4a86e8"/>
          <w:u w:val="single"/>
          <w:rtl w:val="0"/>
        </w:rPr>
        <w:t xml:space="preserve">.Amazon Staff (2021) </w:t>
      </w:r>
      <w:r w:rsidDel="00000000" w:rsidR="00000000" w:rsidRPr="00000000">
        <w:rPr>
          <w:b w:val="1"/>
          <w:bCs w:val="1"/>
          <w:i w:val="1"/>
          <w:iCs w:val="1"/>
          <w:color w:val="4a86e8"/>
          <w:u w:val="single"/>
          <w:rtl w:val="0"/>
        </w:rPr>
        <w:t xml:space="preserve">Project Kuiper announces plans and launch provider for prototype satellites</w:t>
      </w:r>
      <w:r w:rsidDel="00000000" w:rsidR="00000000" w:rsidRPr="00000000">
        <w:rPr>
          <w:b w:val="1"/>
          <w:bCs w:val="1"/>
          <w:color w:val="4a86e8"/>
          <w:u w:val="single"/>
          <w:rtl w:val="0"/>
        </w:rPr>
        <w:t xml:space="preserve">. About Amazon.</w:t>
      </w:r>
    </w:p>
    <w:p w:rsidR="00000000" w:rsidDel="00000000" w:rsidP="00000000" w:rsidRDefault="00000000" w:rsidRPr="00000000" w14:paraId="00000066">
      <w:pPr>
        <w:spacing w:after="240" w:before="240" w:lineRule="auto"/>
        <w:rPr>
          <w:b w:val="1"/>
          <w:bCs w:val="1"/>
          <w:color w:val="4a86e8"/>
          <w:u w:val="single"/>
        </w:rPr>
      </w:pPr>
      <w:r w:rsidDel="00000000" w:rsidR="00000000" w:rsidRPr="00000000">
        <w:rPr>
          <w:b w:val="1"/>
          <w:bCs w:val="1"/>
          <w:u w:val="single"/>
          <w:rtl w:val="0"/>
        </w:rPr>
        <w:t xml:space="preserve">2</w:t>
      </w:r>
      <w:r w:rsidDel="00000000" w:rsidR="00000000" w:rsidRPr="00000000">
        <w:rPr>
          <w:b w:val="1"/>
          <w:bCs w:val="1"/>
          <w:color w:val="4a86e8"/>
          <w:u w:val="single"/>
          <w:rtl w:val="0"/>
        </w:rPr>
        <w:t xml:space="preserve">.Amazon Staff (2023) </w:t>
      </w:r>
      <w:r w:rsidDel="00000000" w:rsidR="00000000" w:rsidRPr="00000000">
        <w:rPr>
          <w:b w:val="1"/>
          <w:bCs w:val="1"/>
          <w:i w:val="1"/>
          <w:iCs w:val="1"/>
          <w:color w:val="4a86e8"/>
          <w:u w:val="single"/>
          <w:rtl w:val="0"/>
        </w:rPr>
        <w:t xml:space="preserve">Here’s your first look at Project Kuiper’s low-cost customer terminals</w:t>
      </w:r>
      <w:r w:rsidDel="00000000" w:rsidR="00000000" w:rsidRPr="00000000">
        <w:rPr>
          <w:b w:val="1"/>
          <w:bCs w:val="1"/>
          <w:color w:val="4a86e8"/>
          <w:u w:val="single"/>
          <w:rtl w:val="0"/>
        </w:rPr>
        <w:t xml:space="preserve">. About Amazon.</w:t>
      </w:r>
    </w:p>
    <w:p w:rsidR="00000000" w:rsidDel="00000000" w:rsidP="00000000" w:rsidRDefault="00000000" w:rsidRPr="00000000" w14:paraId="00000067">
      <w:pPr>
        <w:spacing w:after="240" w:before="240" w:lineRule="auto"/>
        <w:rPr>
          <w:b w:val="1"/>
          <w:bCs w:val="1"/>
          <w:color w:val="4a86e8"/>
          <w:u w:val="single"/>
        </w:rPr>
      </w:pPr>
      <w:r w:rsidDel="00000000" w:rsidR="00000000" w:rsidRPr="00000000">
        <w:rPr>
          <w:b w:val="1"/>
          <w:bCs w:val="1"/>
          <w:u w:val="single"/>
          <w:rtl w:val="0"/>
        </w:rPr>
        <w:t xml:space="preserve">3</w:t>
      </w:r>
      <w:r w:rsidDel="00000000" w:rsidR="00000000" w:rsidRPr="00000000">
        <w:rPr>
          <w:b w:val="1"/>
          <w:bCs w:val="1"/>
          <w:color w:val="4a86e8"/>
          <w:u w:val="single"/>
          <w:rtl w:val="0"/>
        </w:rPr>
        <w:t xml:space="preserve">,Amazon (2020) </w:t>
      </w:r>
      <w:r w:rsidDel="00000000" w:rsidR="00000000" w:rsidRPr="00000000">
        <w:rPr>
          <w:b w:val="1"/>
          <w:bCs w:val="1"/>
          <w:i w:val="1"/>
          <w:iCs w:val="1"/>
          <w:color w:val="4a86e8"/>
          <w:u w:val="single"/>
          <w:rtl w:val="0"/>
        </w:rPr>
        <w:t xml:space="preserve">Amazon receives FCC approval for Project Kuiper satellite constellation</w:t>
      </w:r>
      <w:r w:rsidDel="00000000" w:rsidR="00000000" w:rsidRPr="00000000">
        <w:rPr>
          <w:b w:val="1"/>
          <w:bCs w:val="1"/>
          <w:color w:val="4a86e8"/>
          <w:u w:val="single"/>
          <w:rtl w:val="0"/>
        </w:rPr>
        <w:t xml:space="preserve">. About Amazon.       </w:t>
      </w:r>
    </w:p>
    <w:p w:rsidR="00000000" w:rsidDel="00000000" w:rsidP="00000000" w:rsidRDefault="00000000" w:rsidRPr="00000000" w14:paraId="00000068">
      <w:pPr>
        <w:spacing w:after="240" w:before="240" w:lineRule="auto"/>
        <w:rPr>
          <w:b w:val="1"/>
          <w:bCs w:val="1"/>
          <w:color w:val="4a86e8"/>
          <w:u w:val="single"/>
        </w:rPr>
      </w:pPr>
      <w:r w:rsidDel="00000000" w:rsidR="00000000" w:rsidRPr="00000000">
        <w:rPr>
          <w:b w:val="1"/>
          <w:bCs w:val="1"/>
          <w:u w:val="single"/>
          <w:rtl w:val="0"/>
        </w:rPr>
        <w:t xml:space="preserve">4,</w:t>
      </w:r>
      <w:r w:rsidDel="00000000" w:rsidR="00000000" w:rsidRPr="00000000">
        <w:rPr>
          <w:b w:val="1"/>
          <w:bCs w:val="1"/>
          <w:color w:val="4a86e8"/>
          <w:u w:val="single"/>
          <w:rtl w:val="0"/>
        </w:rPr>
        <w:t xml:space="preserve">Daehnick, C., Klinghoffer, I., Maritz, B. and Wiseman, B. (2020) </w:t>
      </w:r>
      <w:r w:rsidDel="00000000" w:rsidR="00000000" w:rsidRPr="00000000">
        <w:rPr>
          <w:b w:val="1"/>
          <w:bCs w:val="1"/>
          <w:i w:val="1"/>
          <w:iCs w:val="1"/>
          <w:color w:val="4a86e8"/>
          <w:u w:val="single"/>
          <w:rtl w:val="0"/>
        </w:rPr>
        <w:t xml:space="preserve">Large LEO satellite constellations: Will it be different this time?</w:t>
      </w:r>
      <w:r w:rsidDel="00000000" w:rsidR="00000000" w:rsidRPr="00000000">
        <w:rPr>
          <w:b w:val="1"/>
          <w:bCs w:val="1"/>
          <w:color w:val="4a86e8"/>
          <w:u w:val="single"/>
          <w:rtl w:val="0"/>
        </w:rPr>
        <w:t xml:space="preserve"> McKinsey &amp; Company.</w:t>
      </w:r>
    </w:p>
    <w:p w:rsidR="00000000" w:rsidDel="00000000" w:rsidP="00000000" w:rsidRDefault="00000000" w:rsidRPr="00000000" w14:paraId="00000069">
      <w:pPr>
        <w:spacing w:after="240" w:before="240" w:lineRule="auto"/>
        <w:rPr>
          <w:b w:val="1"/>
          <w:bCs w:val="1"/>
          <w:color w:val="4a86e8"/>
          <w:u w:val="single"/>
        </w:rPr>
      </w:pPr>
      <w:r w:rsidDel="00000000" w:rsidR="00000000" w:rsidRPr="00000000">
        <w:rPr>
          <w:b w:val="1"/>
          <w:bCs w:val="1"/>
          <w:u w:val="single"/>
          <w:rtl w:val="0"/>
        </w:rPr>
        <w:t xml:space="preserve">5</w:t>
      </w:r>
      <w:r w:rsidDel="00000000" w:rsidR="00000000" w:rsidRPr="00000000">
        <w:rPr>
          <w:b w:val="1"/>
          <w:bCs w:val="1"/>
          <w:color w:val="4a86e8"/>
          <w:u w:val="single"/>
          <w:rtl w:val="0"/>
        </w:rPr>
        <w:t xml:space="preserve">,Ogutu, O.B. and Oughton, E.J. (2021) </w:t>
      </w:r>
      <w:r w:rsidDel="00000000" w:rsidR="00000000" w:rsidRPr="00000000">
        <w:rPr>
          <w:b w:val="1"/>
          <w:bCs w:val="1"/>
          <w:i w:val="1"/>
          <w:iCs w:val="1"/>
          <w:color w:val="4a86e8"/>
          <w:u w:val="single"/>
          <w:rtl w:val="0"/>
        </w:rPr>
        <w:t xml:space="preserve">A Techno-Economic Cost Framework for Satellite Networks Applied to Low Earth Orbit Constellations: Assessing Starlink, OneWeb and Kuiper</w:t>
      </w:r>
      <w:r w:rsidDel="00000000" w:rsidR="00000000" w:rsidRPr="00000000">
        <w:rPr>
          <w:b w:val="1"/>
          <w:bCs w:val="1"/>
          <w:color w:val="4a86e8"/>
          <w:u w:val="single"/>
          <w:rtl w:val="0"/>
        </w:rPr>
        <w:t xml:space="preserve">. arXiv.</w:t>
      </w:r>
    </w:p>
    <w:p w:rsidR="00000000" w:rsidDel="00000000" w:rsidP="00000000" w:rsidRDefault="00000000" w:rsidRPr="00000000" w14:paraId="0000006A">
      <w:pPr>
        <w:spacing w:after="240" w:before="240" w:lineRule="auto"/>
        <w:rPr>
          <w:b w:val="1"/>
          <w:bCs w:val="1"/>
          <w:color w:val="4a86e8"/>
          <w:u w:val="single"/>
        </w:rPr>
      </w:pPr>
      <w:r w:rsidDel="00000000" w:rsidR="00000000" w:rsidRPr="00000000">
        <w:rPr>
          <w:b w:val="1"/>
          <w:bCs w:val="1"/>
          <w:u w:val="single"/>
          <w:rtl w:val="0"/>
        </w:rPr>
        <w:t xml:space="preserve">6</w:t>
      </w:r>
      <w:r w:rsidDel="00000000" w:rsidR="00000000" w:rsidRPr="00000000">
        <w:rPr>
          <w:b w:val="1"/>
          <w:bCs w:val="1"/>
          <w:color w:val="4a86e8"/>
          <w:u w:val="single"/>
          <w:rtl w:val="0"/>
        </w:rPr>
        <w:t xml:space="preserve">.Osoro, O.B., Oughton, E.J., Wilson, A.R. and Rao, A. (2023) </w:t>
      </w:r>
      <w:r w:rsidDel="00000000" w:rsidR="00000000" w:rsidRPr="00000000">
        <w:rPr>
          <w:b w:val="1"/>
          <w:bCs w:val="1"/>
          <w:i w:val="1"/>
          <w:iCs w:val="1"/>
          <w:color w:val="4a86e8"/>
          <w:u w:val="single"/>
          <w:rtl w:val="0"/>
        </w:rPr>
        <w:t xml:space="preserve">Sustainability assessment of Low Earth Orbit (LEO) satellite broadband megaconstellations</w:t>
      </w:r>
      <w:r w:rsidDel="00000000" w:rsidR="00000000" w:rsidRPr="00000000">
        <w:rPr>
          <w:b w:val="1"/>
          <w:bCs w:val="1"/>
          <w:color w:val="4a86e8"/>
          <w:u w:val="single"/>
          <w:rtl w:val="0"/>
        </w:rPr>
        <w:t xml:space="preserve">. arXiv.</w:t>
      </w:r>
    </w:p>
    <w:p w:rsidR="00000000" w:rsidDel="00000000" w:rsidP="00000000" w:rsidRDefault="00000000" w:rsidRPr="00000000" w14:paraId="0000006B">
      <w:pPr>
        <w:spacing w:after="240" w:before="240" w:lineRule="auto"/>
        <w:rPr>
          <w:b w:val="1"/>
          <w:bCs w:val="1"/>
          <w:color w:val="4a86e8"/>
          <w:u w:val="single"/>
        </w:rPr>
      </w:pPr>
      <w:r w:rsidDel="00000000" w:rsidR="00000000" w:rsidRPr="00000000">
        <w:rPr>
          <w:b w:val="1"/>
          <w:bCs w:val="1"/>
          <w:u w:val="single"/>
          <w:rtl w:val="0"/>
        </w:rPr>
        <w:t xml:space="preserve">7.</w:t>
      </w:r>
      <w:r w:rsidDel="00000000" w:rsidR="00000000" w:rsidRPr="00000000">
        <w:rPr>
          <w:b w:val="1"/>
          <w:bCs w:val="1"/>
          <w:color w:val="4a86e8"/>
          <w:u w:val="single"/>
          <w:rtl w:val="0"/>
        </w:rPr>
        <w:t xml:space="preserve">Young, M. and Thadani, A. (2022) </w:t>
      </w:r>
      <w:r w:rsidDel="00000000" w:rsidR="00000000" w:rsidRPr="00000000">
        <w:rPr>
          <w:b w:val="1"/>
          <w:bCs w:val="1"/>
          <w:i w:val="1"/>
          <w:iCs w:val="1"/>
          <w:color w:val="4a86e8"/>
          <w:u w:val="single"/>
          <w:rtl w:val="0"/>
        </w:rPr>
        <w:t xml:space="preserve">Low Orbit, High Stakes: All-in on the LEO Broadband Competition</w:t>
      </w:r>
      <w:r w:rsidDel="00000000" w:rsidR="00000000" w:rsidRPr="00000000">
        <w:rPr>
          <w:b w:val="1"/>
          <w:bCs w:val="1"/>
          <w:color w:val="4a86e8"/>
          <w:u w:val="single"/>
          <w:rtl w:val="0"/>
        </w:rPr>
        <w:t xml:space="preserve">. Center for Strategic and International Studies</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sz w:val="36"/>
          <w:szCs w:val="36"/>
        </w:rPr>
      </w:pPr>
      <w:r w:rsidDel="00000000" w:rsidR="00000000" w:rsidRPr="00000000">
        <w:rPr>
          <w:rtl w:val="0"/>
        </w:rPr>
      </w:r>
    </w:p>
    <w:p w:rsidR="00000000" w:rsidDel="00000000" w:rsidP="00000000" w:rsidRDefault="00000000" w:rsidRPr="00000000" w14:paraId="0000006F">
      <w:pPr>
        <w:rPr>
          <w:b w:val="1"/>
          <w:bCs w:val="1"/>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erospace.csis.org/wp-content/uploads/2023/02/221214_Young_LowOrbit_HighStakes-min.pdf" TargetMode="External"/><Relationship Id="rId10" Type="http://schemas.openxmlformats.org/officeDocument/2006/relationships/hyperlink" Target="https://www.mckinsey.com/~/media/McKinsey/Industries/Aerospace%20and%20Defense/Our%20Insights/Large%20LEO%20satellite%20constellations%20Will%20it%20be%20different%20this%20time/Large-LEO-satellite-constellations-Will-it-be-different-this-time-VF.pdf" TargetMode="External"/><Relationship Id="rId13" Type="http://schemas.openxmlformats.org/officeDocument/2006/relationships/hyperlink" Target="https://aerospace.csis.org/wp-content/uploads/2023/02/221214_Young_LowOrbit_HighStakes-min.pdf" TargetMode="External"/><Relationship Id="rId12" Type="http://schemas.openxmlformats.org/officeDocument/2006/relationships/hyperlink" Target="https://aerospace.csis.org/wp-content/uploads/2023/02/221214_Young_LowOrbit_HighStakes-mi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309.02338" TargetMode="External"/><Relationship Id="rId14" Type="http://schemas.openxmlformats.org/officeDocument/2006/relationships/hyperlink" Target="https://dspace.mit.edu/bitstream/handle/1721.1/163269/gonzalez-gretelgm-mba-mgt-2025-thesis.pdf?sequence=1&amp;isAllowed=y" TargetMode="External"/><Relationship Id="rId5" Type="http://schemas.openxmlformats.org/officeDocument/2006/relationships/styles" Target="styles.xml"/><Relationship Id="rId6" Type="http://schemas.openxmlformats.org/officeDocument/2006/relationships/hyperlink" Target="https://www.aboutamazon.com/news/amazon-leo/project-kuiper-becomes-amazon-leo" TargetMode="External"/><Relationship Id="rId7" Type="http://schemas.openxmlformats.org/officeDocument/2006/relationships/hyperlink" Target="https://www.analysysmason.com/contentassets/01f8d69bee4e4295879354813d34c566/analysys_mason_kuiper_threat_starlink_aug2023_nsi040.pdf" TargetMode="External"/><Relationship Id="rId8" Type="http://schemas.openxmlformats.org/officeDocument/2006/relationships/hyperlink" Target="https://arxiv.org/pdf/2108.108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