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32474" w14:textId="61B223DF" w:rsidR="00465842" w:rsidRDefault="00465842" w:rsidP="00465842">
      <w:pPr>
        <w:pStyle w:val="Heading2"/>
      </w:pPr>
      <w:r>
        <w:t>Off Case</w:t>
      </w:r>
    </w:p>
    <w:p w14:paraId="2ABCF927" w14:textId="0AB8DEAC" w:rsidR="007926C9" w:rsidRDefault="007926C9" w:rsidP="007926C9">
      <w:pPr>
        <w:pStyle w:val="Heading3"/>
      </w:pPr>
      <w:r w:rsidRPr="005C7B85">
        <w:lastRenderedPageBreak/>
        <w:t>1NC</w:t>
      </w:r>
      <w:r>
        <w:t xml:space="preserve"> – T</w:t>
      </w:r>
    </w:p>
    <w:p w14:paraId="2EAF0A3C" w14:textId="77777777" w:rsidR="007926C9" w:rsidRDefault="007926C9" w:rsidP="007926C9">
      <w:pPr>
        <w:pStyle w:val="Heading4"/>
      </w:pPr>
      <w:r>
        <w:t xml:space="preserve">Our interpretation is that the </w:t>
      </w:r>
      <w:r w:rsidRPr="0011566F">
        <w:t>affirmative must demonstrate th</w:t>
      </w:r>
      <w:r>
        <w:t xml:space="preserve">e desirability of the resolution </w:t>
      </w:r>
      <w:r w:rsidRPr="0011566F">
        <w:t xml:space="preserve">either in totality or in a particular instance to </w:t>
      </w:r>
      <w:r>
        <w:t>meet the necessary win condition of being topical.</w:t>
      </w:r>
    </w:p>
    <w:p w14:paraId="0C287B10" w14:textId="77777777" w:rsidR="007926C9" w:rsidRPr="00155513" w:rsidRDefault="007926C9" w:rsidP="007926C9">
      <w:pPr>
        <w:pStyle w:val="Heading4"/>
      </w:pPr>
      <w:r w:rsidRPr="00155513">
        <w:t xml:space="preserve">United States federal government means the three branches of </w:t>
      </w:r>
      <w:r w:rsidRPr="00155513">
        <w:rPr>
          <w:u w:val="single"/>
        </w:rPr>
        <w:t>government</w:t>
      </w:r>
    </w:p>
    <w:p w14:paraId="0805D16F" w14:textId="77777777" w:rsidR="007926C9" w:rsidRDefault="007926C9" w:rsidP="007926C9">
      <w:r>
        <w:rPr>
          <w:rStyle w:val="Style13ptBold"/>
        </w:rPr>
        <w:t>USA.gov 13</w:t>
      </w:r>
      <w:r>
        <w:t xml:space="preserve"> "USA.gov is the U.S. government's official web portal</w:t>
      </w:r>
      <w:proofErr w:type="gramStart"/>
      <w:r>
        <w:t>"  http://www.usa.gov/Agencies/federal.shtml</w:t>
      </w:r>
      <w:proofErr w:type="gramEnd"/>
    </w:p>
    <w:p w14:paraId="624040C6" w14:textId="161F07AA" w:rsidR="007926C9" w:rsidRDefault="007926C9" w:rsidP="007926C9">
      <w:pPr>
        <w:pStyle w:val="CardIndented"/>
        <w:ind w:left="0"/>
        <w:rPr>
          <w:rStyle w:val="StyleUnderline"/>
        </w:rPr>
      </w:pPr>
      <w:r w:rsidRPr="007818F5">
        <w:rPr>
          <w:rStyle w:val="StyleUnderline"/>
          <w:highlight w:val="cyan"/>
        </w:rPr>
        <w:t xml:space="preserve">U.S. Federal Government </w:t>
      </w:r>
      <w:r w:rsidR="003E6197">
        <w:rPr>
          <w:rStyle w:val="StyleUnderline"/>
        </w:rPr>
        <w:t>…</w:t>
      </w:r>
      <w:r>
        <w:rPr>
          <w:rStyle w:val="StyleUnderline"/>
        </w:rPr>
        <w:t xml:space="preserve"> power and functions. </w:t>
      </w:r>
    </w:p>
    <w:p w14:paraId="5601E7A3" w14:textId="77777777" w:rsidR="007926C9" w:rsidRDefault="007926C9" w:rsidP="007926C9">
      <w:pPr>
        <w:pStyle w:val="Heading4"/>
      </w:pPr>
      <w:r>
        <w:t xml:space="preserve">Increase means </w:t>
      </w:r>
      <w:r>
        <w:rPr>
          <w:u w:val="single"/>
        </w:rPr>
        <w:t>to make greater</w:t>
      </w:r>
      <w:r>
        <w:t>.</w:t>
      </w:r>
    </w:p>
    <w:p w14:paraId="22202DC9" w14:textId="77777777" w:rsidR="007926C9" w:rsidRPr="00A8145D" w:rsidRDefault="007926C9" w:rsidP="007926C9">
      <w:pPr>
        <w:rPr>
          <w:rStyle w:val="Style13ptBold"/>
        </w:rPr>
      </w:pPr>
      <w:r w:rsidRPr="00A8145D">
        <w:rPr>
          <w:rStyle w:val="Style13ptBold"/>
        </w:rPr>
        <w:t>Merriam-Webster ND</w:t>
      </w:r>
    </w:p>
    <w:p w14:paraId="47893C21" w14:textId="77777777" w:rsidR="007926C9" w:rsidRPr="00A8145D" w:rsidRDefault="007926C9" w:rsidP="007926C9">
      <w:r w:rsidRPr="00A8145D">
        <w:t>“</w:t>
      </w:r>
      <w:proofErr w:type="gramStart"/>
      <w:r w:rsidRPr="00A8145D">
        <w:t>increase</w:t>
      </w:r>
      <w:proofErr w:type="gramEnd"/>
      <w:r>
        <w:t xml:space="preserve">,” Merriam-Webster Dictionary, </w:t>
      </w:r>
      <w:r w:rsidRPr="00A8145D">
        <w:t>https://www.merriam-webster.com/dictionary/increase</w:t>
      </w:r>
    </w:p>
    <w:p w14:paraId="0EAE8E2C" w14:textId="77777777" w:rsidR="007926C9" w:rsidRDefault="007926C9" w:rsidP="007926C9">
      <w:pPr>
        <w:pStyle w:val="Heading4"/>
      </w:pPr>
      <w:r>
        <w:t xml:space="preserve">Interpretation: The </w:t>
      </w:r>
      <w:r>
        <w:rPr>
          <w:u w:val="single"/>
        </w:rPr>
        <w:t>core antitrust laws</w:t>
      </w:r>
      <w:r>
        <w:t xml:space="preserve"> are </w:t>
      </w:r>
      <w:r w:rsidRPr="000A3875">
        <w:rPr>
          <w:u w:val="single"/>
        </w:rPr>
        <w:t>only</w:t>
      </w:r>
      <w:r>
        <w:t xml:space="preserve"> sections 1 and 2 of the Sherman Act and section 7 of the Clayton Act.</w:t>
      </w:r>
    </w:p>
    <w:p w14:paraId="5990ECB3" w14:textId="77777777" w:rsidR="007926C9" w:rsidRDefault="007926C9" w:rsidP="007926C9">
      <w:r w:rsidRPr="00871683">
        <w:rPr>
          <w:rStyle w:val="Style13ptBold"/>
        </w:rPr>
        <w:t>The Antitrust Division 07</w:t>
      </w:r>
      <w:r w:rsidRPr="00871683">
        <w:t xml:space="preserve"> – </w:t>
      </w:r>
      <w:r>
        <w:t>L</w:t>
      </w:r>
      <w:r w:rsidRPr="00871683">
        <w:t>aw enforcement agency that enforces the U.S. antitrust laws</w:t>
      </w:r>
    </w:p>
    <w:p w14:paraId="4E2E8B36" w14:textId="10480C20" w:rsidR="007926C9" w:rsidRDefault="007926C9" w:rsidP="003E6197">
      <w:r>
        <w:t xml:space="preserve">“Antitrust Division Statement </w:t>
      </w:r>
      <w:r w:rsidR="003E6197">
        <w:t>…</w:t>
      </w:r>
      <w:r w:rsidRPr="00871683">
        <w:rPr>
          <w:rStyle w:val="StyleUnderline"/>
        </w:rPr>
        <w:t xml:space="preserve"> to protect competition</w:t>
      </w:r>
      <w:r w:rsidRPr="00871683">
        <w:t>.</w:t>
      </w:r>
    </w:p>
    <w:p w14:paraId="6A9F83EF" w14:textId="77777777" w:rsidR="007926C9" w:rsidRPr="00CF1C22" w:rsidRDefault="007926C9" w:rsidP="007926C9">
      <w:pPr>
        <w:pStyle w:val="Heading4"/>
      </w:pPr>
      <w:r>
        <w:t>“</w:t>
      </w:r>
      <w:proofErr w:type="gramStart"/>
      <w:r>
        <w:t>business</w:t>
      </w:r>
      <w:proofErr w:type="gramEnd"/>
      <w:r>
        <w:t xml:space="preserve"> practices” are a repeated </w:t>
      </w:r>
      <w:r>
        <w:rPr>
          <w:u w:val="single"/>
        </w:rPr>
        <w:t>pattern of conduct</w:t>
      </w:r>
    </w:p>
    <w:p w14:paraId="0495688E" w14:textId="77777777" w:rsidR="007926C9" w:rsidRDefault="007926C9" w:rsidP="007926C9">
      <w:r w:rsidRPr="00896843">
        <w:rPr>
          <w:rStyle w:val="Style13ptBold"/>
        </w:rPr>
        <w:t>Lucas 88</w:t>
      </w:r>
      <w:r>
        <w:t xml:space="preserve"> – Judge, </w:t>
      </w:r>
      <w:r w:rsidRPr="00896843">
        <w:t>California Supreme Court</w:t>
      </w:r>
    </w:p>
    <w:p w14:paraId="72D8C54F" w14:textId="77777777" w:rsidR="007926C9" w:rsidRPr="00896843" w:rsidRDefault="007926C9" w:rsidP="007926C9">
      <w:r>
        <w:t xml:space="preserve">Malcolm Millar Lucas, </w:t>
      </w:r>
      <w:r w:rsidRPr="00896843">
        <w:t>Cal. ex rel. Van De Kamp v. Texaco, 46 Cal. 3d 1147</w:t>
      </w:r>
      <w:r>
        <w:t xml:space="preserve">, </w:t>
      </w:r>
      <w:r w:rsidRPr="00896843">
        <w:t>Supreme Court of California</w:t>
      </w:r>
      <w:r>
        <w:t>, October 1988, LexisNexis</w:t>
      </w:r>
    </w:p>
    <w:p w14:paraId="01164A9C" w14:textId="77777777" w:rsidR="007926C9" w:rsidRPr="004B213A" w:rsidRDefault="007926C9" w:rsidP="007926C9">
      <w:r>
        <w:t>** Italics in original.</w:t>
      </w:r>
    </w:p>
    <w:p w14:paraId="4F38ED28" w14:textId="6D1ED6F3" w:rsidR="007926C9" w:rsidRDefault="007926C9" w:rsidP="007926C9">
      <w:r w:rsidRPr="004B213A">
        <w:rPr>
          <w:rStyle w:val="StyleUnderline"/>
        </w:rPr>
        <w:t xml:space="preserve">The </w:t>
      </w:r>
      <w:r w:rsidRPr="009C7982">
        <w:rPr>
          <w:rStyle w:val="StyleUnderline"/>
          <w:highlight w:val="cyan"/>
        </w:rPr>
        <w:t>statute defines</w:t>
      </w:r>
      <w:r w:rsidRPr="009C7982">
        <w:rPr>
          <w:highlight w:val="cyan"/>
        </w:rPr>
        <w:t xml:space="preserve"> "</w:t>
      </w:r>
      <w:r w:rsidR="003E6197">
        <w:rPr>
          <w:rStyle w:val="StyleUnderline"/>
        </w:rPr>
        <w:t>…</w:t>
      </w:r>
      <w:r w:rsidRPr="004B213A">
        <w:rPr>
          <w:rStyle w:val="Emphasis"/>
        </w:rPr>
        <w:t xml:space="preserve"> of conduct</w:t>
      </w:r>
      <w:r>
        <w:t>" (ibid.).</w:t>
      </w:r>
    </w:p>
    <w:p w14:paraId="55EEF0FF" w14:textId="77777777" w:rsidR="007926C9" w:rsidRPr="00122DD0" w:rsidRDefault="007926C9" w:rsidP="007926C9">
      <w:pPr>
        <w:pStyle w:val="Heading4"/>
      </w:pPr>
      <w:r>
        <w:t>Prohibit means Affirmative teams must completely ban a type of anticompetitive business practices – they don’t</w:t>
      </w:r>
    </w:p>
    <w:p w14:paraId="4AA0474B" w14:textId="77777777" w:rsidR="007926C9" w:rsidRDefault="007926C9" w:rsidP="007926C9">
      <w:r w:rsidRPr="00122DD0">
        <w:rPr>
          <w:rStyle w:val="Style13ptBold"/>
        </w:rPr>
        <w:t>Feldman 86</w:t>
      </w:r>
      <w:r>
        <w:t xml:space="preserve"> – M</w:t>
      </w:r>
      <w:r w:rsidRPr="00122DD0">
        <w:t>ember of Procopio's Native American Law practice</w:t>
      </w:r>
    </w:p>
    <w:p w14:paraId="01DBEE3A" w14:textId="77777777" w:rsidR="007926C9" w:rsidRPr="00122DD0" w:rsidRDefault="007926C9" w:rsidP="007926C9">
      <w:r>
        <w:t xml:space="preserve">Glenn M. Feldman, </w:t>
      </w:r>
      <w:r w:rsidRPr="00122DD0">
        <w:t>On Appeal from the United States Court of Appeals for the Ninth Circuit</w:t>
      </w:r>
      <w:r>
        <w:t xml:space="preserve">, California v. Cabazon Band of Mission Indians, </w:t>
      </w:r>
      <w:r w:rsidRPr="00122DD0">
        <w:t>1986 U.S. S. Ct. Briefs LEXIS 1221</w:t>
      </w:r>
      <w:r>
        <w:t>, Supreme Court of the United States, 1986, LexisNexis</w:t>
      </w:r>
    </w:p>
    <w:p w14:paraId="6D4EE2B6" w14:textId="7961FCAC" w:rsidR="007926C9" w:rsidRDefault="007926C9" w:rsidP="007926C9">
      <w:r w:rsidRPr="00122DD0">
        <w:t xml:space="preserve">In arguing that </w:t>
      </w:r>
      <w:r w:rsidR="003E6197">
        <w:t>…</w:t>
      </w:r>
      <w:r w:rsidRPr="00122DD0">
        <w:t>and not prohibitory.</w:t>
      </w:r>
    </w:p>
    <w:p w14:paraId="065C5071" w14:textId="77777777" w:rsidR="007926C9" w:rsidRDefault="007926C9" w:rsidP="007926C9">
      <w:pPr>
        <w:pStyle w:val="Heading4"/>
      </w:pPr>
      <w:r>
        <w:t>We have three impacts</w:t>
      </w:r>
    </w:p>
    <w:p w14:paraId="1E86ADE2" w14:textId="77777777" w:rsidR="007926C9" w:rsidRDefault="007926C9" w:rsidP="007926C9">
      <w:pPr>
        <w:pStyle w:val="Heading4"/>
        <w:numPr>
          <w:ilvl w:val="0"/>
          <w:numId w:val="11"/>
        </w:numPr>
        <w:tabs>
          <w:tab w:val="num" w:pos="360"/>
        </w:tabs>
        <w:ind w:left="360"/>
      </w:pPr>
      <w:r w:rsidRPr="003C26AC">
        <w:rPr>
          <w:u w:val="single"/>
        </w:rPr>
        <w:t>Fairness</w:t>
      </w:r>
      <w:r>
        <w:t xml:space="preserve"> – The resolution is the only predictable stasis point to determine both affirmative and negative ground, severing the affirmative requirement to defend it denigrates the distribution of burdens that structure the way debate function, making impossible this activity we all seem to enjoy in the first place.</w:t>
      </w:r>
    </w:p>
    <w:p w14:paraId="2FC97EBC" w14:textId="77777777" w:rsidR="007926C9" w:rsidRPr="002134C8" w:rsidRDefault="007926C9" w:rsidP="007926C9">
      <w:pPr>
        <w:pStyle w:val="Heading4"/>
        <w:numPr>
          <w:ilvl w:val="0"/>
          <w:numId w:val="11"/>
        </w:numPr>
        <w:tabs>
          <w:tab w:val="num" w:pos="360"/>
        </w:tabs>
        <w:ind w:left="360"/>
      </w:pPr>
      <w:r>
        <w:rPr>
          <w:u w:val="single"/>
        </w:rPr>
        <w:t xml:space="preserve">Research </w:t>
      </w:r>
      <w:proofErr w:type="gramStart"/>
      <w:r>
        <w:rPr>
          <w:u w:val="single"/>
        </w:rPr>
        <w:t xml:space="preserve">– </w:t>
      </w:r>
      <w:r w:rsidRPr="00881A78">
        <w:t xml:space="preserve"> </w:t>
      </w:r>
      <w:r>
        <w:t>forcing</w:t>
      </w:r>
      <w:proofErr w:type="gramEnd"/>
      <w:r>
        <w:t xml:space="preserve"> teams to defend and negate the resolution creates incentives for in depth research into the scope and content of antitrust. This both makes debaters more reflexive about their assumptions, allows them to better understand a topic that’s core to how our economy functions, and gives debaters valuable skills in understanding and grasping complex topics</w:t>
      </w:r>
    </w:p>
    <w:p w14:paraId="21852713" w14:textId="178D6CA6" w:rsidR="00A95652" w:rsidRDefault="00A95652" w:rsidP="00B55AD5"/>
    <w:p w14:paraId="070FB5D5" w14:textId="77777777" w:rsidR="007926C9" w:rsidRPr="00C61496" w:rsidRDefault="007926C9" w:rsidP="007926C9">
      <w:pPr>
        <w:pStyle w:val="Heading4"/>
      </w:pPr>
      <w:r w:rsidRPr="00C61496">
        <w:t xml:space="preserve">That </w:t>
      </w:r>
      <w:r w:rsidRPr="00C61496">
        <w:rPr>
          <w:u w:val="single"/>
        </w:rPr>
        <w:t>outweighs</w:t>
      </w:r>
      <w:r w:rsidRPr="00C61496">
        <w:t xml:space="preserve"> --- we’re </w:t>
      </w:r>
      <w:r w:rsidRPr="00C61496">
        <w:rPr>
          <w:u w:val="single"/>
        </w:rPr>
        <w:t>cognitively biased</w:t>
      </w:r>
      <w:r w:rsidRPr="00C61496">
        <w:t xml:space="preserve"> to cling to </w:t>
      </w:r>
      <w:r w:rsidRPr="00C61496">
        <w:rPr>
          <w:u w:val="single"/>
        </w:rPr>
        <w:t>preexisting beliefs</w:t>
      </w:r>
      <w:r w:rsidRPr="00C61496">
        <w:t xml:space="preserve">, which breeds </w:t>
      </w:r>
      <w:r w:rsidRPr="00C61496">
        <w:rPr>
          <w:u w:val="single"/>
        </w:rPr>
        <w:t>epistemic arrogance</w:t>
      </w:r>
      <w:r w:rsidRPr="00C61496">
        <w:t xml:space="preserve"> that culminates in </w:t>
      </w:r>
      <w:r w:rsidRPr="00C61496">
        <w:rPr>
          <w:u w:val="single"/>
        </w:rPr>
        <w:t>Trumpism</w:t>
      </w:r>
      <w:r w:rsidRPr="00C61496">
        <w:t xml:space="preserve"> --- only </w:t>
      </w:r>
      <w:r w:rsidRPr="00C61496">
        <w:rPr>
          <w:u w:val="single"/>
        </w:rPr>
        <w:t>submitting beliefs</w:t>
      </w:r>
      <w:r w:rsidRPr="00C61496">
        <w:t xml:space="preserve"> for reexamination by others and </w:t>
      </w:r>
      <w:r w:rsidRPr="00C61496">
        <w:rPr>
          <w:u w:val="single"/>
        </w:rPr>
        <w:t>taking a risk of being wrong</w:t>
      </w:r>
      <w:r w:rsidRPr="00C61496">
        <w:t xml:space="preserve"> </w:t>
      </w:r>
      <w:r>
        <w:t>cultivates scrutiny</w:t>
      </w:r>
      <w:r w:rsidRPr="00C61496">
        <w:t xml:space="preserve">.  </w:t>
      </w:r>
    </w:p>
    <w:p w14:paraId="00BF5691" w14:textId="77777777" w:rsidR="007926C9" w:rsidRDefault="007926C9" w:rsidP="007926C9">
      <w:pPr>
        <w:rPr>
          <w:rStyle w:val="Style13ptBold"/>
        </w:rPr>
      </w:pPr>
      <w:r>
        <w:rPr>
          <w:rStyle w:val="Style13ptBold"/>
        </w:rPr>
        <w:t xml:space="preserve">Resnick 19 </w:t>
      </w:r>
    </w:p>
    <w:p w14:paraId="4768B644" w14:textId="77777777" w:rsidR="007926C9" w:rsidRDefault="007926C9" w:rsidP="007926C9">
      <w:r>
        <w:t xml:space="preserve">Brian Resnick, Science Writer for Vox, “Intellectual humility: the importance of knowing you might be wrong,” Vox. January 4, 2019. </w:t>
      </w:r>
      <w:hyperlink r:id="rId6" w:history="1">
        <w:r>
          <w:rPr>
            <w:rStyle w:val="Hyperlink"/>
          </w:rPr>
          <w:t>https://www.vox.com/science-and-health/2019/1/4/17989224/intellectual-humility-explained-psychology-replication</w:t>
        </w:r>
      </w:hyperlink>
    </w:p>
    <w:p w14:paraId="17253463" w14:textId="77777777" w:rsidR="007926C9" w:rsidRDefault="007926C9" w:rsidP="007926C9">
      <w:r>
        <w:lastRenderedPageBreak/>
        <w:t xml:space="preserve">***Modified with a strikethrough – Raffi </w:t>
      </w:r>
    </w:p>
    <w:p w14:paraId="7D10D9DB" w14:textId="72447134" w:rsidR="007926C9" w:rsidRDefault="007926C9" w:rsidP="003E6197">
      <w:r>
        <w:rPr>
          <w:rStyle w:val="StyleUnderline"/>
        </w:rPr>
        <w:t xml:space="preserve">It’s been fascinating </w:t>
      </w:r>
      <w:r w:rsidR="003E6197">
        <w:rPr>
          <w:rStyle w:val="StyleUnderline"/>
        </w:rPr>
        <w:t>…</w:t>
      </w:r>
      <w:r>
        <w:rPr>
          <w:rStyle w:val="Emphasis"/>
        </w:rPr>
        <w:t xml:space="preserve"> what we believe</w:t>
      </w:r>
      <w:r>
        <w:t xml:space="preserve">. </w:t>
      </w:r>
    </w:p>
    <w:p w14:paraId="04D34024" w14:textId="77777777" w:rsidR="001517F5" w:rsidRDefault="001517F5" w:rsidP="001517F5">
      <w:pPr>
        <w:pStyle w:val="Heading3"/>
      </w:pPr>
      <w:r>
        <w:lastRenderedPageBreak/>
        <w:t>1NC – Dispossession K</w:t>
      </w:r>
    </w:p>
    <w:p w14:paraId="37505F4C" w14:textId="77777777" w:rsidR="001517F5" w:rsidRDefault="001517F5" w:rsidP="001517F5">
      <w:pPr>
        <w:pStyle w:val="Heading4"/>
      </w:pPr>
      <w:r>
        <w:t xml:space="preserve">Settler colonialism is structured by the dispossession of land due to capitalist profit incentives – their focus on the epistemic underpinnings of conquest and settlement </w:t>
      </w:r>
      <w:proofErr w:type="gramStart"/>
      <w:r>
        <w:t>deny</w:t>
      </w:r>
      <w:proofErr w:type="gramEnd"/>
      <w:r>
        <w:t xml:space="preserve"> the </w:t>
      </w:r>
      <w:r>
        <w:rPr>
          <w:u w:val="single"/>
        </w:rPr>
        <w:t>material conditions</w:t>
      </w:r>
      <w:r>
        <w:t xml:space="preserve"> underpinning indigenous genocide</w:t>
      </w:r>
    </w:p>
    <w:p w14:paraId="2164C59F" w14:textId="77777777" w:rsidR="001517F5" w:rsidRDefault="001517F5" w:rsidP="001517F5">
      <w:r w:rsidRPr="005168EE">
        <w:rPr>
          <w:rStyle w:val="Style13ptBold"/>
        </w:rPr>
        <w:t>Camfield 19</w:t>
      </w:r>
      <w:r>
        <w:t xml:space="preserve"> – Professor of labor studies and sociology at the University of Manitoba. He has a PhD in Social and Political Thought from York University.</w:t>
      </w:r>
    </w:p>
    <w:p w14:paraId="31FE2487" w14:textId="77777777" w:rsidR="001517F5" w:rsidRDefault="001517F5" w:rsidP="001517F5">
      <w:r>
        <w:t xml:space="preserve">David Camfield, “Settler Colonialism and </w:t>
      </w:r>
      <w:proofErr w:type="spellStart"/>
      <w:r>
        <w:t>Labour</w:t>
      </w:r>
      <w:proofErr w:type="spellEnd"/>
      <w:r>
        <w:t xml:space="preserve"> Studies in Canada: A Preliminary Exploration,” </w:t>
      </w:r>
      <w:proofErr w:type="spellStart"/>
      <w:r>
        <w:rPr>
          <w:i/>
          <w:iCs/>
        </w:rPr>
        <w:t>Labour</w:t>
      </w:r>
      <w:proofErr w:type="spellEnd"/>
      <w:r>
        <w:rPr>
          <w:i/>
          <w:iCs/>
        </w:rPr>
        <w:t>/Le Travail</w:t>
      </w:r>
      <w:r>
        <w:t>, vol. 83, Spring 2019, pp. 152-154</w:t>
      </w:r>
    </w:p>
    <w:p w14:paraId="7DCC189E" w14:textId="77777777" w:rsidR="001517F5" w:rsidRPr="0063346D" w:rsidRDefault="001517F5" w:rsidP="001517F5"/>
    <w:p w14:paraId="49B37BE2" w14:textId="792E5B8D" w:rsidR="001517F5" w:rsidRPr="0063346D" w:rsidRDefault="001517F5" w:rsidP="003E6197">
      <w:pPr>
        <w:rPr>
          <w:szCs w:val="16"/>
        </w:rPr>
      </w:pPr>
      <w:proofErr w:type="gramStart"/>
      <w:r w:rsidRPr="0063346D">
        <w:rPr>
          <w:szCs w:val="16"/>
        </w:rPr>
        <w:t>In light of</w:t>
      </w:r>
      <w:proofErr w:type="gramEnd"/>
      <w:r w:rsidRPr="0063346D">
        <w:rPr>
          <w:szCs w:val="16"/>
        </w:rPr>
        <w:t xml:space="preserve"> these </w:t>
      </w:r>
      <w:r w:rsidR="003E6197">
        <w:rPr>
          <w:szCs w:val="16"/>
        </w:rPr>
        <w:t>…</w:t>
      </w:r>
      <w:r w:rsidRPr="0063346D">
        <w:rPr>
          <w:rStyle w:val="StyleUnderline"/>
        </w:rPr>
        <w:t xml:space="preserve">society, </w:t>
      </w:r>
      <w:r w:rsidRPr="00774DA4">
        <w:rPr>
          <w:rStyle w:val="Emphasis"/>
          <w:highlight w:val="yellow"/>
        </w:rPr>
        <w:t>and restitution</w:t>
      </w:r>
      <w:r w:rsidRPr="0063346D">
        <w:rPr>
          <w:szCs w:val="16"/>
        </w:rPr>
        <w:t xml:space="preserve">.”30 </w:t>
      </w:r>
    </w:p>
    <w:p w14:paraId="05A47807" w14:textId="77777777" w:rsidR="001517F5" w:rsidRDefault="001517F5" w:rsidP="001517F5">
      <w:pPr>
        <w:pStyle w:val="Heading4"/>
      </w:pPr>
      <w:r>
        <w:t xml:space="preserve">Theorizing settler colonialism through the relationship between land and the political economy is key – </w:t>
      </w:r>
      <w:r w:rsidRPr="008C38CC">
        <w:t>their</w:t>
      </w:r>
      <w:r>
        <w:t xml:space="preserve"> theory of conquest as an ongoing process of genocide rather than a historically situated relationship of land dispossession fractures indigenous resistance</w:t>
      </w:r>
    </w:p>
    <w:p w14:paraId="119D5FBD" w14:textId="77777777" w:rsidR="001517F5" w:rsidRDefault="001517F5" w:rsidP="001517F5">
      <w:proofErr w:type="spellStart"/>
      <w:r w:rsidRPr="008C38CC">
        <w:rPr>
          <w:rStyle w:val="Style13ptBold"/>
        </w:rPr>
        <w:t>Ioris</w:t>
      </w:r>
      <w:proofErr w:type="spellEnd"/>
      <w:r w:rsidRPr="008C38CC">
        <w:rPr>
          <w:rStyle w:val="Style13ptBold"/>
        </w:rPr>
        <w:t xml:space="preserve"> 20</w:t>
      </w:r>
      <w:r>
        <w:t xml:space="preserve"> – Reader in human geography at the School of Geography and Planning at Cardiff University.</w:t>
      </w:r>
    </w:p>
    <w:p w14:paraId="5D6E9C2B" w14:textId="77777777" w:rsidR="001517F5" w:rsidRPr="008C38CC" w:rsidRDefault="001517F5" w:rsidP="001517F5">
      <w:r>
        <w:t xml:space="preserve">Antonio </w:t>
      </w:r>
      <w:proofErr w:type="spellStart"/>
      <w:r>
        <w:t>Ioris</w:t>
      </w:r>
      <w:proofErr w:type="spellEnd"/>
      <w:r>
        <w:t>, “Indigeneity and Political Economy: Class and Ethnicity of the Guarani-</w:t>
      </w:r>
      <w:proofErr w:type="spellStart"/>
      <w:r>
        <w:t>Kaiowa</w:t>
      </w:r>
      <w:proofErr w:type="spellEnd"/>
      <w:r>
        <w:t xml:space="preserve">,” </w:t>
      </w:r>
      <w:r>
        <w:rPr>
          <w:i/>
          <w:iCs/>
        </w:rPr>
        <w:t>Capital and Class</w:t>
      </w:r>
      <w:r>
        <w:t xml:space="preserve">, 21 September 2020, pp. 3-8, </w:t>
      </w:r>
      <w:r w:rsidRPr="008C38CC">
        <w:t>https://journals.sagepub.com/doi/full/10.1177/0309816820959828</w:t>
      </w:r>
    </w:p>
    <w:p w14:paraId="7769F489" w14:textId="77777777" w:rsidR="001517F5" w:rsidRDefault="001517F5" w:rsidP="001517F5"/>
    <w:p w14:paraId="545D1CDB" w14:textId="3EA28467" w:rsidR="001517F5" w:rsidRDefault="001517F5" w:rsidP="003E6197">
      <w:pPr>
        <w:rPr>
          <w:szCs w:val="16"/>
        </w:rPr>
      </w:pPr>
      <w:r w:rsidRPr="00AE4EEE">
        <w:rPr>
          <w:szCs w:val="16"/>
        </w:rPr>
        <w:t xml:space="preserve">A Political Economy </w:t>
      </w:r>
      <w:r w:rsidR="003E6197">
        <w:rPr>
          <w:szCs w:val="16"/>
        </w:rPr>
        <w:t>…</w:t>
      </w:r>
      <w:r w:rsidRPr="00774DA4">
        <w:rPr>
          <w:rStyle w:val="Emphasis"/>
          <w:highlight w:val="yellow"/>
        </w:rPr>
        <w:t xml:space="preserve"> the subject process</w:t>
      </w:r>
      <w:r w:rsidRPr="00774DA4">
        <w:rPr>
          <w:szCs w:val="16"/>
          <w:highlight w:val="yellow"/>
        </w:rPr>
        <w:t>.</w:t>
      </w:r>
      <w:r w:rsidRPr="00AE4EEE">
        <w:rPr>
          <w:szCs w:val="16"/>
        </w:rPr>
        <w:t xml:space="preserve"> </w:t>
      </w:r>
    </w:p>
    <w:p w14:paraId="1328E603" w14:textId="77777777" w:rsidR="001517F5" w:rsidRDefault="001517F5" w:rsidP="001517F5">
      <w:pPr>
        <w:pStyle w:val="Heading4"/>
      </w:pPr>
      <w:r>
        <w:t>The alternative is to affirm a scholarly praxis of decolonization – the alt explicitly aligns with indigenous demands to give back the land</w:t>
      </w:r>
    </w:p>
    <w:p w14:paraId="230CBC83" w14:textId="77777777" w:rsidR="001517F5" w:rsidRDefault="001517F5" w:rsidP="001517F5">
      <w:r w:rsidRPr="00B028CC">
        <w:rPr>
          <w:rStyle w:val="Style13ptBold"/>
        </w:rPr>
        <w:t>Michael 19</w:t>
      </w:r>
      <w:r>
        <w:t xml:space="preserve"> – M.A. in Communication Studies from Baylor University.</w:t>
      </w:r>
    </w:p>
    <w:p w14:paraId="3AA8A2A4" w14:textId="77777777" w:rsidR="001517F5" w:rsidRDefault="001517F5" w:rsidP="001517F5">
      <w:r>
        <w:t xml:space="preserve">Robert Joshua Michael, “Chapter Two,” </w:t>
      </w:r>
      <w:r w:rsidRPr="00B028CC">
        <w:rPr>
          <w:i/>
          <w:iCs/>
        </w:rPr>
        <w:t>Articulating a Decolonial Materialist Rhetoric</w:t>
      </w:r>
      <w:r>
        <w:t xml:space="preserve">, Master’s Thesis, May 2019, pp. 45-48, </w:t>
      </w:r>
      <w:r w:rsidRPr="00B028CC">
        <w:t>https://baylor-ir.tdl.org/bitstream/handle/2104/10708/MICHAEL-THESIS-2019.pdf?sequence=1</w:t>
      </w:r>
    </w:p>
    <w:p w14:paraId="72743821" w14:textId="77777777" w:rsidR="001517F5" w:rsidRPr="002C3A27" w:rsidRDefault="001517F5" w:rsidP="001517F5">
      <w:pPr>
        <w:tabs>
          <w:tab w:val="left" w:pos="3288"/>
        </w:tabs>
      </w:pPr>
    </w:p>
    <w:p w14:paraId="1942BE6F" w14:textId="6C068681" w:rsidR="001517F5" w:rsidRDefault="001517F5" w:rsidP="003E6197">
      <w:pPr>
        <w:rPr>
          <w:szCs w:val="16"/>
        </w:rPr>
      </w:pPr>
      <w:r w:rsidRPr="00774DA4">
        <w:rPr>
          <w:rStyle w:val="Emphasis"/>
          <w:highlight w:val="yellow"/>
        </w:rPr>
        <w:t xml:space="preserve">Central to the </w:t>
      </w:r>
      <w:r w:rsidR="003E6197">
        <w:rPr>
          <w:rStyle w:val="Emphasis"/>
        </w:rPr>
        <w:t>…</w:t>
      </w:r>
      <w:r w:rsidRPr="002C751F">
        <w:rPr>
          <w:szCs w:val="16"/>
        </w:rPr>
        <w:t xml:space="preserve"> for further analysis.</w:t>
      </w:r>
    </w:p>
    <w:p w14:paraId="6395CC80" w14:textId="77777777" w:rsidR="001517F5" w:rsidRDefault="001517F5" w:rsidP="007926C9"/>
    <w:p w14:paraId="278DD421" w14:textId="41DC85A8" w:rsidR="007926C9" w:rsidRDefault="00465842" w:rsidP="00465842">
      <w:pPr>
        <w:pStyle w:val="Heading2"/>
      </w:pPr>
      <w:r>
        <w:lastRenderedPageBreak/>
        <w:t>Case</w:t>
      </w:r>
    </w:p>
    <w:p w14:paraId="5D124DDA" w14:textId="77777777" w:rsidR="001517F5" w:rsidRDefault="001517F5" w:rsidP="001517F5">
      <w:pPr>
        <w:pStyle w:val="Heading3"/>
      </w:pPr>
      <w:r>
        <w:lastRenderedPageBreak/>
        <w:t>1NC – Refusal Fails</w:t>
      </w:r>
    </w:p>
    <w:p w14:paraId="22419DA8" w14:textId="77777777" w:rsidR="001517F5" w:rsidRDefault="001517F5" w:rsidP="001517F5">
      <w:pPr>
        <w:pStyle w:val="Heading4"/>
      </w:pPr>
      <w:r>
        <w:t>The aff is not radical. Refusal does not produce the material changes that ameliorate social problems.</w:t>
      </w:r>
    </w:p>
    <w:p w14:paraId="4A49FA5E" w14:textId="77777777" w:rsidR="001517F5" w:rsidRDefault="001517F5" w:rsidP="001517F5">
      <w:proofErr w:type="spellStart"/>
      <w:r w:rsidRPr="00E8101F">
        <w:rPr>
          <w:rStyle w:val="Style13ptBold"/>
        </w:rPr>
        <w:t>Rosiek</w:t>
      </w:r>
      <w:proofErr w:type="spellEnd"/>
      <w:r w:rsidRPr="00E8101F">
        <w:rPr>
          <w:rStyle w:val="Style13ptBold"/>
        </w:rPr>
        <w:t>, 20</w:t>
      </w:r>
      <w:r>
        <w:t xml:space="preserve"> – </w:t>
      </w:r>
      <w:r w:rsidRPr="00E8101F">
        <w:t>professor of Education Studies at the University of Oregon</w:t>
      </w:r>
    </w:p>
    <w:p w14:paraId="1316B4CE" w14:textId="77777777" w:rsidR="001517F5" w:rsidRDefault="001517F5" w:rsidP="001517F5">
      <w:r>
        <w:t>Jerry Lee, “</w:t>
      </w:r>
      <w:r w:rsidRPr="00E8101F">
        <w:t xml:space="preserve">Unrepresentable Justice: Looking for a </w:t>
      </w:r>
      <w:proofErr w:type="spellStart"/>
      <w:r w:rsidRPr="00E8101F">
        <w:t>Postqualitative</w:t>
      </w:r>
      <w:proofErr w:type="spellEnd"/>
      <w:r w:rsidRPr="00E8101F">
        <w:t xml:space="preserve"> Theory of Social Change</w:t>
      </w:r>
      <w:r>
        <w:t xml:space="preserve">.” </w:t>
      </w:r>
      <w:r w:rsidRPr="00E8101F">
        <w:rPr>
          <w:i/>
          <w:iCs/>
        </w:rPr>
        <w:t>Qualitative Inquiry</w:t>
      </w:r>
      <w:r>
        <w:t xml:space="preserve">, 1–6. </w:t>
      </w:r>
      <w:r w:rsidRPr="00E8101F">
        <w:t>https://doi.org/10.1177/1077800420922263</w:t>
      </w:r>
    </w:p>
    <w:p w14:paraId="6922EF57" w14:textId="77777777" w:rsidR="001517F5" w:rsidRPr="00E8101F" w:rsidRDefault="001517F5" w:rsidP="001517F5">
      <w:pPr>
        <w:rPr>
          <w:sz w:val="18"/>
          <w:szCs w:val="20"/>
        </w:rPr>
      </w:pPr>
      <w:r w:rsidRPr="00E8101F">
        <w:rPr>
          <w:sz w:val="18"/>
          <w:szCs w:val="20"/>
        </w:rPr>
        <w:t>Abstract</w:t>
      </w:r>
    </w:p>
    <w:p w14:paraId="0914FBBC" w14:textId="7D6E6FD7" w:rsidR="001517F5" w:rsidRPr="001D0753" w:rsidRDefault="001517F5" w:rsidP="003E6197">
      <w:r w:rsidRPr="00E8101F">
        <w:t xml:space="preserve">I believe </w:t>
      </w:r>
      <w:proofErr w:type="spellStart"/>
      <w:r w:rsidRPr="00E8101F">
        <w:rPr>
          <w:rStyle w:val="StyleUnderline"/>
        </w:rPr>
        <w:t>posthumanist</w:t>
      </w:r>
      <w:proofErr w:type="spellEnd"/>
      <w:r w:rsidRPr="00E8101F">
        <w:rPr>
          <w:rStyle w:val="StyleUnderline"/>
        </w:rPr>
        <w:t xml:space="preserve"> </w:t>
      </w:r>
      <w:r w:rsidR="003E6197">
        <w:rPr>
          <w:rStyle w:val="StyleUnderline"/>
        </w:rPr>
        <w:t>…</w:t>
      </w:r>
      <w:r w:rsidRPr="00E8101F">
        <w:t xml:space="preserve"> to definitively represent.</w:t>
      </w:r>
    </w:p>
    <w:p w14:paraId="44005D91" w14:textId="77777777" w:rsidR="001517F5" w:rsidRPr="001517F5" w:rsidRDefault="001517F5" w:rsidP="001517F5"/>
    <w:p w14:paraId="47E85135" w14:textId="37148C3B" w:rsidR="00DB454B" w:rsidRDefault="00DB454B" w:rsidP="001517F5">
      <w:pPr>
        <w:pStyle w:val="Heading3"/>
      </w:pPr>
      <w:r>
        <w:lastRenderedPageBreak/>
        <w:t>1NC – Antitrust Good</w:t>
      </w:r>
    </w:p>
    <w:p w14:paraId="08AB48E2" w14:textId="6C71E14A" w:rsidR="00DB454B" w:rsidRPr="00C32AEF" w:rsidRDefault="00DB454B" w:rsidP="00DB454B">
      <w:pPr>
        <w:pStyle w:val="Heading4"/>
      </w:pPr>
      <w:r>
        <w:t>Antitrust focus is good – economics is interrelated with racialized violence, which makes antitrust a key lens to address it</w:t>
      </w:r>
    </w:p>
    <w:p w14:paraId="2E17AB7E" w14:textId="77777777" w:rsidR="00DB454B" w:rsidRDefault="00DB454B" w:rsidP="00DB454B">
      <w:r w:rsidRPr="001540A1">
        <w:rPr>
          <w:rStyle w:val="Style13ptBold"/>
        </w:rPr>
        <w:t>Greer and Rice 21</w:t>
      </w:r>
      <w:r>
        <w:t xml:space="preserve"> – </w:t>
      </w:r>
      <w:proofErr w:type="spellStart"/>
      <w:r>
        <w:t>Jeremie</w:t>
      </w:r>
      <w:proofErr w:type="spellEnd"/>
      <w:r>
        <w:t xml:space="preserve"> Greer and Solana Rice are Co-founders and Co-executives of Liberation in a Generation, a national movement-support organization working to build the power of people of color to transform the economy.</w:t>
      </w:r>
    </w:p>
    <w:p w14:paraId="5D1ACCC0" w14:textId="77777777" w:rsidR="00DB454B" w:rsidRDefault="00DB454B" w:rsidP="00DB454B">
      <w:proofErr w:type="spellStart"/>
      <w:r>
        <w:t>Jeremie</w:t>
      </w:r>
      <w:proofErr w:type="spellEnd"/>
      <w:r>
        <w:t xml:space="preserve"> Greer and Solana Rice, “Anti-Monopoly Activism: Reclaiming Power Through Racial Justice,” </w:t>
      </w:r>
      <w:r>
        <w:rPr>
          <w:i/>
          <w:iCs/>
        </w:rPr>
        <w:t>Liberation in a Generation</w:t>
      </w:r>
      <w:r>
        <w:t xml:space="preserve">, March 2021, pp. 3-14, </w:t>
      </w:r>
      <w:r w:rsidRPr="00880D09">
        <w:t>https://www.liberationinageneration.org/wp-content/uploads/2021/03/Anti-Monopoly-Activism_032021.pdf</w:t>
      </w:r>
      <w:r>
        <w:t>.</w:t>
      </w:r>
    </w:p>
    <w:p w14:paraId="682DC2A1" w14:textId="77777777" w:rsidR="00DB454B" w:rsidRPr="0055612A" w:rsidRDefault="00DB454B" w:rsidP="00DB454B"/>
    <w:p w14:paraId="2A548CD3" w14:textId="74A88873" w:rsidR="00DB454B" w:rsidRPr="00DB454B" w:rsidRDefault="00DB454B" w:rsidP="003E6197">
      <w:pPr>
        <w:rPr>
          <w:u w:val="single"/>
        </w:rPr>
      </w:pPr>
      <w:proofErr w:type="gramStart"/>
      <w:r w:rsidRPr="00810BB5">
        <w:rPr>
          <w:szCs w:val="16"/>
        </w:rPr>
        <w:t>In spite of</w:t>
      </w:r>
      <w:proofErr w:type="gramEnd"/>
      <w:r w:rsidRPr="00810BB5">
        <w:rPr>
          <w:szCs w:val="16"/>
        </w:rPr>
        <w:t xml:space="preserve"> </w:t>
      </w:r>
      <w:r w:rsidR="003E6197">
        <w:rPr>
          <w:szCs w:val="16"/>
        </w:rPr>
        <w:t>…</w:t>
      </w:r>
      <w:r w:rsidRPr="0055612A">
        <w:rPr>
          <w:rStyle w:val="Emphasis"/>
        </w:rPr>
        <w:t xml:space="preserve"> and car title lenders</w:t>
      </w:r>
      <w:r w:rsidRPr="0055612A">
        <w:rPr>
          <w:rStyle w:val="StyleUnderline"/>
        </w:rPr>
        <w:t>.</w:t>
      </w:r>
    </w:p>
    <w:p w14:paraId="3FF75AC5" w14:textId="22E86145" w:rsidR="001517F5" w:rsidRPr="001817FD" w:rsidRDefault="001517F5" w:rsidP="001517F5">
      <w:pPr>
        <w:pStyle w:val="Heading3"/>
      </w:pPr>
      <w:r>
        <w:lastRenderedPageBreak/>
        <w:t>1NC – Pessimism Bad</w:t>
      </w:r>
    </w:p>
    <w:p w14:paraId="0F620139" w14:textId="77777777" w:rsidR="001517F5" w:rsidRDefault="001517F5" w:rsidP="001517F5">
      <w:pPr>
        <w:pStyle w:val="Heading4"/>
      </w:pPr>
      <w:bookmarkStart w:id="0" w:name="_Hlk64551872"/>
      <w:r>
        <w:t xml:space="preserve">Their structural reading relies on </w:t>
      </w:r>
      <w:r w:rsidRPr="00A60D91">
        <w:rPr>
          <w:u w:val="single"/>
        </w:rPr>
        <w:t>pessimistic “traps”</w:t>
      </w:r>
      <w:r>
        <w:t xml:space="preserve"> – those are diametrically opposed to </w:t>
      </w:r>
      <w:r w:rsidRPr="00A60D91">
        <w:rPr>
          <w:u w:val="single"/>
        </w:rPr>
        <w:t>Indigenous agency</w:t>
      </w:r>
      <w:r>
        <w:t xml:space="preserve"> and efforts to reassert nationhood both here and abroad</w:t>
      </w:r>
    </w:p>
    <w:p w14:paraId="3DD5B063" w14:textId="77777777" w:rsidR="001517F5" w:rsidRDefault="001517F5" w:rsidP="001517F5">
      <w:r w:rsidRPr="00A60D91">
        <w:rPr>
          <w:rStyle w:val="Style13ptBold"/>
        </w:rPr>
        <w:t>Lightfoot</w:t>
      </w:r>
      <w:r>
        <w:t xml:space="preserve">, PhD, Canada Research Chair of Global Indigenous Rights and Politics at the University of British Columbia, her research focuses on Indigenous global politics, especially Indigenous rights and their implementation in global, </w:t>
      </w:r>
      <w:proofErr w:type="gramStart"/>
      <w:r>
        <w:t>national</w:t>
      </w:r>
      <w:proofErr w:type="gramEnd"/>
      <w:r>
        <w:t xml:space="preserve"> and regional contexts, Dr. Lightfoot is Anishinaabe from the Lake Superior Band of Ojibwe, </w:t>
      </w:r>
      <w:r w:rsidRPr="00A60D91">
        <w:rPr>
          <w:rStyle w:val="Style13ptBold"/>
        </w:rPr>
        <w:t>‘20</w:t>
      </w:r>
    </w:p>
    <w:p w14:paraId="49DCA726" w14:textId="77777777" w:rsidR="001517F5" w:rsidRDefault="001517F5" w:rsidP="001517F5">
      <w:r>
        <w:t xml:space="preserve">Sheryl, “The Pessimism Traps of Indigenous Resurgence,” Chapter 10 in </w:t>
      </w:r>
      <w:r w:rsidRPr="002A6121">
        <w:rPr>
          <w:i/>
          <w:iCs/>
        </w:rPr>
        <w:t>Pessimism in International Relations</w:t>
      </w:r>
      <w:r>
        <w:t xml:space="preserve">, Eds. </w:t>
      </w:r>
      <w:r w:rsidRPr="00A60D91">
        <w:t>Stevens, T., &amp; Michelsen, N.</w:t>
      </w:r>
      <w:r>
        <w:t xml:space="preserve">, Palgrave) </w:t>
      </w:r>
    </w:p>
    <w:p w14:paraId="310526D6" w14:textId="77777777" w:rsidR="001517F5" w:rsidRDefault="001517F5" w:rsidP="001517F5"/>
    <w:p w14:paraId="6A1C1657" w14:textId="7CDDF9AB" w:rsidR="001517F5" w:rsidRDefault="001517F5" w:rsidP="003E6197">
      <w:pPr>
        <w:rPr>
          <w:u w:val="single"/>
        </w:rPr>
      </w:pPr>
      <w:r w:rsidRPr="00980C30">
        <w:rPr>
          <w:u w:val="single"/>
        </w:rPr>
        <w:t>Despite</w:t>
      </w:r>
      <w:r w:rsidRPr="00980C30">
        <w:t xml:space="preserve"> </w:t>
      </w:r>
      <w:proofErr w:type="gramStart"/>
      <w:r w:rsidRPr="00980C30">
        <w:t>all of</w:t>
      </w:r>
      <w:proofErr w:type="gramEnd"/>
      <w:r w:rsidRPr="00980C30">
        <w:t xml:space="preserve"> </w:t>
      </w:r>
      <w:r w:rsidR="003E6197">
        <w:t>…</w:t>
      </w:r>
      <w:r w:rsidRPr="005F6468">
        <w:rPr>
          <w:rStyle w:val="Emphasis"/>
        </w:rPr>
        <w:t>towards better futures</w:t>
      </w:r>
      <w:r w:rsidRPr="002A6121">
        <w:rPr>
          <w:u w:val="single"/>
        </w:rPr>
        <w:t>.</w:t>
      </w:r>
    </w:p>
    <w:bookmarkEnd w:id="0"/>
    <w:p w14:paraId="20589FB8" w14:textId="6AFC4840" w:rsidR="00465842" w:rsidRDefault="001517F5" w:rsidP="00465842">
      <w:pPr>
        <w:pStyle w:val="Heading3"/>
      </w:pPr>
      <w:r>
        <w:lastRenderedPageBreak/>
        <w:t>1NC</w:t>
      </w:r>
      <w:r w:rsidR="00465842">
        <w:t xml:space="preserve"> – Institutional Engagement Key</w:t>
      </w:r>
    </w:p>
    <w:p w14:paraId="02F407D3" w14:textId="77777777" w:rsidR="00465842" w:rsidRDefault="00465842" w:rsidP="00465842">
      <w:pPr>
        <w:pStyle w:val="Heading4"/>
      </w:pPr>
      <w:r>
        <w:t>Alt forecloses best opportunity to transform Indigenous-state relations – state-based rights claims are transformational, but legal/policy engagement is key</w:t>
      </w:r>
    </w:p>
    <w:p w14:paraId="66DCE30C" w14:textId="77777777" w:rsidR="00465842" w:rsidRDefault="00465842" w:rsidP="00465842">
      <w:r w:rsidRPr="009F2CE4">
        <w:rPr>
          <w:rStyle w:val="Style13ptBold"/>
        </w:rPr>
        <w:t>Lightfoot 16</w:t>
      </w:r>
      <w:r>
        <w:t xml:space="preserve"> – Senior advisor to the president on Indigenous Affairs and Canada Research Chair in Global Indigenous Rights and Politics at the University of British Columbia. She is Anishinaabe, a citizen of the Lake Superior Band of Ojibwe, enrolled at the Keweenaw Bay Indian Community in Baraga, Michigan.</w:t>
      </w:r>
    </w:p>
    <w:p w14:paraId="42FF2272" w14:textId="77777777" w:rsidR="00465842" w:rsidRDefault="00465842" w:rsidP="00465842">
      <w:r>
        <w:t xml:space="preserve">Sheryl Lightfoot, “8: The transformative potential of Indigenous rights,” </w:t>
      </w:r>
      <w:r>
        <w:rPr>
          <w:i/>
          <w:iCs/>
        </w:rPr>
        <w:t>Global Indigenous Politics</w:t>
      </w:r>
      <w:r>
        <w:t xml:space="preserve">, Routledge 2016, pp. 206-211, </w:t>
      </w:r>
      <w:r w:rsidRPr="009F2CE4">
        <w:t>https://sci-hub.se/https://doi.org/10.4324/9781315670669</w:t>
      </w:r>
      <w:r>
        <w:t>.</w:t>
      </w:r>
    </w:p>
    <w:p w14:paraId="50D94D26" w14:textId="77777777" w:rsidR="00465842" w:rsidRPr="00583B55" w:rsidRDefault="00465842" w:rsidP="00465842"/>
    <w:p w14:paraId="14991AF6" w14:textId="726D478E" w:rsidR="00465842" w:rsidRPr="000C659E" w:rsidRDefault="00465842" w:rsidP="003E6197">
      <w:pPr>
        <w:rPr>
          <w:szCs w:val="16"/>
        </w:rPr>
      </w:pPr>
      <w:r w:rsidRPr="00FA0BDB">
        <w:rPr>
          <w:szCs w:val="16"/>
        </w:rPr>
        <w:t xml:space="preserve">Implementation of Indigenous </w:t>
      </w:r>
      <w:r w:rsidR="003E6197">
        <w:rPr>
          <w:szCs w:val="16"/>
        </w:rPr>
        <w:t>…</w:t>
      </w:r>
      <w:r w:rsidRPr="00260D8E">
        <w:rPr>
          <w:rStyle w:val="Emphasis"/>
          <w:highlight w:val="yellow"/>
        </w:rPr>
        <w:t xml:space="preserve"> hopeful global future</w:t>
      </w:r>
      <w:r w:rsidRPr="00260D8E">
        <w:rPr>
          <w:szCs w:val="16"/>
          <w:highlight w:val="yellow"/>
        </w:rPr>
        <w:t>.</w:t>
      </w:r>
    </w:p>
    <w:p w14:paraId="31DC80C3" w14:textId="538A7743" w:rsidR="00465842" w:rsidRDefault="001517F5" w:rsidP="00465842">
      <w:pPr>
        <w:pStyle w:val="Heading3"/>
      </w:pPr>
      <w:r>
        <w:lastRenderedPageBreak/>
        <w:t xml:space="preserve">1NC </w:t>
      </w:r>
      <w:r w:rsidR="00465842">
        <w:t>– Structural Lens Bad</w:t>
      </w:r>
    </w:p>
    <w:p w14:paraId="73447D3F" w14:textId="77777777" w:rsidR="00465842" w:rsidRDefault="00465842" w:rsidP="00465842">
      <w:pPr>
        <w:pStyle w:val="Heading4"/>
      </w:pPr>
      <w:r>
        <w:t xml:space="preserve">Viewing settler colonialism as a structure </w:t>
      </w:r>
      <w:proofErr w:type="spellStart"/>
      <w:r>
        <w:t>exceptionalizes</w:t>
      </w:r>
      <w:proofErr w:type="spellEnd"/>
      <w:r>
        <w:t xml:space="preserve"> it, reproducing colonial thought and ignoring contingent and complex historical formations</w:t>
      </w:r>
    </w:p>
    <w:p w14:paraId="2585DF60" w14:textId="77777777" w:rsidR="00465842" w:rsidRDefault="00465842" w:rsidP="00465842">
      <w:proofErr w:type="spellStart"/>
      <w:r w:rsidRPr="00E50303">
        <w:rPr>
          <w:rStyle w:val="Style13ptBold"/>
        </w:rPr>
        <w:t>Vimalassery</w:t>
      </w:r>
      <w:proofErr w:type="spellEnd"/>
      <w:r w:rsidRPr="00E50303">
        <w:rPr>
          <w:rStyle w:val="Style13ptBold"/>
        </w:rPr>
        <w:t xml:space="preserve"> et al 16</w:t>
      </w:r>
      <w:r>
        <w:t xml:space="preserve"> – Assistant professor of history at Texas Tech. He teaches courses on the frontier, race, capitalism, slavery, indigenous peoples, migration, and imperialism.</w:t>
      </w:r>
    </w:p>
    <w:p w14:paraId="1BD71CF3" w14:textId="77777777" w:rsidR="00465842" w:rsidRPr="00E50303" w:rsidRDefault="00465842" w:rsidP="00465842">
      <w:r>
        <w:t xml:space="preserve">Manu </w:t>
      </w:r>
      <w:proofErr w:type="spellStart"/>
      <w:r>
        <w:t>Vimalassery</w:t>
      </w:r>
      <w:proofErr w:type="spellEnd"/>
      <w:r>
        <w:t xml:space="preserve">, Juliana Hu Pegues, and Alyosha Goldstein, “Introduction: On Colonial Unknowing,” </w:t>
      </w:r>
      <w:r>
        <w:rPr>
          <w:i/>
          <w:iCs/>
        </w:rPr>
        <w:t>Theory &amp; Event</w:t>
      </w:r>
      <w:r>
        <w:t xml:space="preserve">, vol. 19, no. 4, 2016, </w:t>
      </w:r>
      <w:r w:rsidRPr="00E50303">
        <w:t>https://muse.jhu.edu/article/633283#bio_wrap</w:t>
      </w:r>
      <w:r>
        <w:t>.</w:t>
      </w:r>
    </w:p>
    <w:p w14:paraId="267E5D29" w14:textId="77777777" w:rsidR="00465842" w:rsidRPr="008B39B7" w:rsidRDefault="00465842" w:rsidP="00465842"/>
    <w:p w14:paraId="61601CD8" w14:textId="24B52F48" w:rsidR="00465842" w:rsidRDefault="00465842" w:rsidP="003E6197">
      <w:pPr>
        <w:rPr>
          <w:szCs w:val="16"/>
        </w:rPr>
      </w:pPr>
      <w:r w:rsidRPr="007A1D8D">
        <w:rPr>
          <w:szCs w:val="16"/>
        </w:rPr>
        <w:t>Structures and Events</w:t>
      </w:r>
      <w:r w:rsidR="003E6197">
        <w:rPr>
          <w:szCs w:val="16"/>
        </w:rPr>
        <w:t>…</w:t>
      </w:r>
      <w:r w:rsidRPr="008B39B7">
        <w:rPr>
          <w:rStyle w:val="Emphasis"/>
        </w:rPr>
        <w:t xml:space="preserve">colonial </w:t>
      </w:r>
      <w:r w:rsidRPr="00C13059">
        <w:rPr>
          <w:rStyle w:val="Emphasis"/>
          <w:highlight w:val="yellow"/>
        </w:rPr>
        <w:t>sovereignty claims</w:t>
      </w:r>
      <w:r w:rsidRPr="007A1D8D">
        <w:rPr>
          <w:szCs w:val="16"/>
        </w:rPr>
        <w:t>.</w:t>
      </w:r>
    </w:p>
    <w:p w14:paraId="3F3F7DC9" w14:textId="5EE61FE1" w:rsidR="00465842" w:rsidRDefault="00465842" w:rsidP="00465842">
      <w:pPr>
        <w:pStyle w:val="Heading4"/>
      </w:pPr>
      <w:r>
        <w:t xml:space="preserve">It's </w:t>
      </w:r>
      <w:r>
        <w:rPr>
          <w:u w:val="single"/>
        </w:rPr>
        <w:t>substantively wrong</w:t>
      </w:r>
      <w:r>
        <w:t xml:space="preserve"> – shifts over time in the effects of colonization prove settlement is contingent</w:t>
      </w:r>
    </w:p>
    <w:p w14:paraId="01C95068" w14:textId="77777777" w:rsidR="00465842" w:rsidRDefault="00465842" w:rsidP="00465842">
      <w:proofErr w:type="spellStart"/>
      <w:r w:rsidRPr="00637ABC">
        <w:rPr>
          <w:rStyle w:val="Style13ptBold"/>
        </w:rPr>
        <w:t>Rowse</w:t>
      </w:r>
      <w:proofErr w:type="spellEnd"/>
      <w:r w:rsidRPr="00637ABC">
        <w:rPr>
          <w:rStyle w:val="Style13ptBold"/>
        </w:rPr>
        <w:t xml:space="preserve"> 14</w:t>
      </w:r>
      <w:r>
        <w:t xml:space="preserve"> – Professorial Fellow at the University of Western Sydney. He is the author of several books on Australian indigenous affairs.</w:t>
      </w:r>
    </w:p>
    <w:p w14:paraId="231E44BB" w14:textId="77777777" w:rsidR="00465842" w:rsidRPr="00637ABC" w:rsidRDefault="00465842" w:rsidP="00465842">
      <w:r>
        <w:t xml:space="preserve">Tim </w:t>
      </w:r>
      <w:proofErr w:type="spellStart"/>
      <w:r>
        <w:t>Rowse</w:t>
      </w:r>
      <w:proofErr w:type="spellEnd"/>
      <w:r>
        <w:t xml:space="preserve">, “Indigenous Heterogeneity,” </w:t>
      </w:r>
      <w:r>
        <w:rPr>
          <w:i/>
          <w:iCs/>
        </w:rPr>
        <w:t>Australian Historical Studies</w:t>
      </w:r>
      <w:r>
        <w:t xml:space="preserve">, vol. 45, no. 3, 19 September 2014, pp. 297-310, </w:t>
      </w:r>
      <w:r w:rsidRPr="00637ABC">
        <w:t>https://sci-hub.se/https://www.tandfonline.com/doi/abs/10.1080/1031461X.2014.946523</w:t>
      </w:r>
      <w:r>
        <w:t>.</w:t>
      </w:r>
    </w:p>
    <w:p w14:paraId="5B3F6E16" w14:textId="77777777" w:rsidR="00465842" w:rsidRPr="00637ABC" w:rsidRDefault="00465842" w:rsidP="00465842"/>
    <w:p w14:paraId="0E446F4E" w14:textId="3F80AD4C" w:rsidR="00465842" w:rsidRDefault="00465842" w:rsidP="002C3308">
      <w:pPr>
        <w:rPr>
          <w:rStyle w:val="Emphasis"/>
        </w:rPr>
      </w:pPr>
      <w:r w:rsidRPr="00637ABC">
        <w:rPr>
          <w:rStyle w:val="Emphasis"/>
        </w:rPr>
        <w:t xml:space="preserve">ONE OF THE </w:t>
      </w:r>
      <w:r w:rsidR="002C3308">
        <w:rPr>
          <w:rStyle w:val="Emphasis"/>
        </w:rPr>
        <w:t>…</w:t>
      </w:r>
      <w:r w:rsidRPr="0050592A">
        <w:rPr>
          <w:rStyle w:val="Emphasis"/>
        </w:rPr>
        <w:t>and projected futures.</w:t>
      </w:r>
    </w:p>
    <w:p w14:paraId="3361EDB5" w14:textId="2E591C25" w:rsidR="00465842" w:rsidRDefault="001517F5" w:rsidP="00465842">
      <w:pPr>
        <w:pStyle w:val="Heading3"/>
      </w:pPr>
      <w:r>
        <w:lastRenderedPageBreak/>
        <w:t>1NC</w:t>
      </w:r>
      <w:r w:rsidR="00465842">
        <w:t xml:space="preserve"> – Not a Monolith</w:t>
      </w:r>
    </w:p>
    <w:p w14:paraId="4EE8FB5D" w14:textId="77777777" w:rsidR="00465842" w:rsidRPr="00CD390C" w:rsidRDefault="00465842" w:rsidP="00465842">
      <w:pPr>
        <w:pStyle w:val="Heading4"/>
      </w:pPr>
      <w:r>
        <w:t xml:space="preserve">Their arguments that the settler state </w:t>
      </w:r>
      <w:r>
        <w:rPr>
          <w:u w:val="single"/>
        </w:rPr>
        <w:t>has never</w:t>
      </w:r>
      <w:r>
        <w:t xml:space="preserve"> and </w:t>
      </w:r>
      <w:r>
        <w:rPr>
          <w:u w:val="single"/>
        </w:rPr>
        <w:t>can never</w:t>
      </w:r>
      <w:r>
        <w:t xml:space="preserve"> do anything good in this context is reductive and obscures the possibilities for effective resistance</w:t>
      </w:r>
    </w:p>
    <w:p w14:paraId="5B000AFB" w14:textId="77777777" w:rsidR="00465842" w:rsidRDefault="00465842" w:rsidP="00465842">
      <w:r>
        <w:t xml:space="preserve">Shit is complex, historically contingent, and </w:t>
      </w:r>
      <w:r>
        <w:rPr>
          <w:u w:val="single"/>
        </w:rPr>
        <w:t>not homogeneous</w:t>
      </w:r>
    </w:p>
    <w:p w14:paraId="2BB2241D" w14:textId="77777777" w:rsidR="00465842" w:rsidRDefault="00465842" w:rsidP="00465842">
      <w:r w:rsidRPr="003A483F">
        <w:rPr>
          <w:rStyle w:val="Style13ptBold"/>
        </w:rPr>
        <w:t>Ford 12</w:t>
      </w:r>
      <w:r>
        <w:t xml:space="preserve"> –</w:t>
      </w:r>
      <w:r w:rsidRPr="003A483F">
        <w:t xml:space="preserve"> Associate Professor in History at the University of New South Wales.</w:t>
      </w:r>
    </w:p>
    <w:p w14:paraId="6C2039B5" w14:textId="77777777" w:rsidR="00465842" w:rsidRPr="003A483F" w:rsidRDefault="00465842" w:rsidP="00465842">
      <w:pPr>
        <w:rPr>
          <w:i/>
        </w:rPr>
      </w:pPr>
      <w:r>
        <w:t xml:space="preserve">(Lisa, with Tim </w:t>
      </w:r>
      <w:proofErr w:type="spellStart"/>
      <w:r>
        <w:t>Rowse</w:t>
      </w:r>
      <w:proofErr w:type="spellEnd"/>
      <w:r>
        <w:t xml:space="preserve">, </w:t>
      </w:r>
      <w:r w:rsidRPr="003A483F">
        <w:rPr>
          <w:i/>
        </w:rPr>
        <w:t>Between Indigenous and Settler Governance</w:t>
      </w:r>
      <w:r>
        <w:t xml:space="preserve">, introduction. </w:t>
      </w:r>
      <w:r w:rsidRPr="003A483F">
        <w:t>https://www.taylorfrancis.com/books/9780203085028</w:t>
      </w:r>
      <w:r>
        <w:t>)</w:t>
      </w:r>
    </w:p>
    <w:p w14:paraId="2B52D868" w14:textId="19814329" w:rsidR="00465842" w:rsidRDefault="00465842" w:rsidP="00465842">
      <w:r w:rsidRPr="00CD390C">
        <w:rPr>
          <w:rStyle w:val="StyleUnderline"/>
        </w:rPr>
        <w:t xml:space="preserve">In 2007, </w:t>
      </w:r>
      <w:r w:rsidRPr="00276932">
        <w:rPr>
          <w:rStyle w:val="StyleUnderline"/>
          <w:highlight w:val="cyan"/>
        </w:rPr>
        <w:t xml:space="preserve">Australia, </w:t>
      </w:r>
      <w:r w:rsidR="002C3308">
        <w:rPr>
          <w:rStyle w:val="StyleUnderline"/>
        </w:rPr>
        <w:t>…</w:t>
      </w:r>
      <w:r w:rsidRPr="003A483F">
        <w:rPr>
          <w:rStyle w:val="StyleUnderline"/>
        </w:rPr>
        <w:t xml:space="preserve"> and indigenous governance</w:t>
      </w:r>
      <w:r w:rsidRPr="003A483F">
        <w:t>.</w:t>
      </w:r>
    </w:p>
    <w:p w14:paraId="0FC27DD4" w14:textId="77777777" w:rsidR="00465842" w:rsidRPr="007D2D84" w:rsidRDefault="00465842" w:rsidP="00465842">
      <w:pPr>
        <w:rPr>
          <w:b/>
          <w:iCs/>
          <w:u w:val="single"/>
          <w:bdr w:val="single" w:sz="8" w:space="0" w:color="auto"/>
        </w:rPr>
      </w:pPr>
    </w:p>
    <w:sectPr w:rsidR="00465842" w:rsidRPr="007D2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0B66EB9"/>
    <w:multiLevelType w:val="hybridMultilevel"/>
    <w:tmpl w:val="262A7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5037529">
    <w:abstractNumId w:val="10"/>
  </w:num>
  <w:num w:numId="2" w16cid:durableId="1430850205">
    <w:abstractNumId w:val="8"/>
  </w:num>
  <w:num w:numId="3" w16cid:durableId="350111078">
    <w:abstractNumId w:val="7"/>
  </w:num>
  <w:num w:numId="4" w16cid:durableId="780026872">
    <w:abstractNumId w:val="6"/>
  </w:num>
  <w:num w:numId="5" w16cid:durableId="375393224">
    <w:abstractNumId w:val="5"/>
  </w:num>
  <w:num w:numId="6" w16cid:durableId="1390570233">
    <w:abstractNumId w:val="9"/>
  </w:num>
  <w:num w:numId="7" w16cid:durableId="887493544">
    <w:abstractNumId w:val="4"/>
  </w:num>
  <w:num w:numId="8" w16cid:durableId="1941529214">
    <w:abstractNumId w:val="3"/>
  </w:num>
  <w:num w:numId="9" w16cid:durableId="1891574720">
    <w:abstractNumId w:val="2"/>
  </w:num>
  <w:num w:numId="10" w16cid:durableId="1907446080">
    <w:abstractNumId w:val="1"/>
  </w:num>
  <w:num w:numId="11" w16cid:durableId="659967737">
    <w:abstractNumId w:val="11"/>
  </w:num>
  <w:num w:numId="12" w16cid:durableId="523447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5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926C9"/>
    <w:rsid w:val="000139A3"/>
    <w:rsid w:val="00100833"/>
    <w:rsid w:val="00104529"/>
    <w:rsid w:val="00105942"/>
    <w:rsid w:val="00107396"/>
    <w:rsid w:val="00144A4C"/>
    <w:rsid w:val="001517F5"/>
    <w:rsid w:val="00176AB0"/>
    <w:rsid w:val="00177B7D"/>
    <w:rsid w:val="0018322D"/>
    <w:rsid w:val="001B5776"/>
    <w:rsid w:val="001E527A"/>
    <w:rsid w:val="001F78CE"/>
    <w:rsid w:val="00251FC7"/>
    <w:rsid w:val="002855A7"/>
    <w:rsid w:val="002B146A"/>
    <w:rsid w:val="002B5E17"/>
    <w:rsid w:val="002C3308"/>
    <w:rsid w:val="00315690"/>
    <w:rsid w:val="00316B75"/>
    <w:rsid w:val="00325646"/>
    <w:rsid w:val="003460F2"/>
    <w:rsid w:val="0036655D"/>
    <w:rsid w:val="0038158C"/>
    <w:rsid w:val="003902BA"/>
    <w:rsid w:val="003A09E2"/>
    <w:rsid w:val="003E6197"/>
    <w:rsid w:val="00407037"/>
    <w:rsid w:val="004605D6"/>
    <w:rsid w:val="00465842"/>
    <w:rsid w:val="004C60E8"/>
    <w:rsid w:val="004E3579"/>
    <w:rsid w:val="004E728B"/>
    <w:rsid w:val="004F39E0"/>
    <w:rsid w:val="00537BD5"/>
    <w:rsid w:val="0057268A"/>
    <w:rsid w:val="00587163"/>
    <w:rsid w:val="005D2912"/>
    <w:rsid w:val="006065BD"/>
    <w:rsid w:val="00645FA9"/>
    <w:rsid w:val="00647866"/>
    <w:rsid w:val="00665003"/>
    <w:rsid w:val="006A2AD0"/>
    <w:rsid w:val="006C2375"/>
    <w:rsid w:val="006D4ECC"/>
    <w:rsid w:val="00722258"/>
    <w:rsid w:val="007243E5"/>
    <w:rsid w:val="00766EA0"/>
    <w:rsid w:val="00774DA4"/>
    <w:rsid w:val="007926C9"/>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93D5D"/>
    <w:rsid w:val="00DA1C92"/>
    <w:rsid w:val="00DA25D4"/>
    <w:rsid w:val="00DA6538"/>
    <w:rsid w:val="00DB454B"/>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8AB6F"/>
  <w15:chartTrackingRefBased/>
  <w15:docId w15:val="{3F58F2DA-3863-4793-B62D-53B624DA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3E6197"/>
    <w:pPr>
      <w:spacing w:after="0" w:line="240" w:lineRule="auto"/>
    </w:pPr>
    <w:rPr>
      <w:rFonts w:ascii="Arial" w:eastAsiaTheme="minorEastAsia" w:hAnsi="Arial" w:cs="Arial"/>
      <w:sz w:val="16"/>
      <w:szCs w:val="24"/>
    </w:rPr>
  </w:style>
  <w:style w:type="paragraph" w:styleId="Heading1">
    <w:name w:val="heading 1"/>
    <w:aliases w:val="Pocket"/>
    <w:basedOn w:val="Normal"/>
    <w:next w:val="Normal"/>
    <w:link w:val="Heading1Char"/>
    <w:uiPriority w:val="9"/>
    <w:qFormat/>
    <w:rsid w:val="003E619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32"/>
    </w:rPr>
  </w:style>
  <w:style w:type="paragraph" w:styleId="Heading2">
    <w:name w:val="heading 2"/>
    <w:aliases w:val="Hat"/>
    <w:basedOn w:val="Normal"/>
    <w:next w:val="Normal"/>
    <w:link w:val="Heading2Char"/>
    <w:uiPriority w:val="9"/>
    <w:unhideWhenUsed/>
    <w:qFormat/>
    <w:rsid w:val="003E6197"/>
    <w:pPr>
      <w:keepNext/>
      <w:keepLines/>
      <w:pageBreakBefore/>
      <w:spacing w:before="480"/>
      <w:jc w:val="center"/>
      <w:outlineLvl w:val="1"/>
    </w:pPr>
    <w:rPr>
      <w:rFonts w:eastAsiaTheme="majorEastAsia" w:cstheme="majorBidi"/>
      <w:b/>
      <w:bCs/>
      <w:sz w:val="34"/>
      <w:szCs w:val="44"/>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9"/>
    <w:unhideWhenUsed/>
    <w:qFormat/>
    <w:rsid w:val="003E6197"/>
    <w:pPr>
      <w:keepNext/>
      <w:keepLines/>
      <w:pageBreakBefore/>
      <w:spacing w:before="200"/>
      <w:jc w:val="center"/>
      <w:outlineLvl w:val="2"/>
    </w:pPr>
    <w:rPr>
      <w:rFonts w:eastAsiaTheme="majorEastAsia" w:cstheme="majorBidi"/>
      <w:b/>
      <w:bCs/>
      <w:sz w:val="28"/>
      <w:szCs w:val="32"/>
      <w:u w:val="single"/>
    </w:rPr>
  </w:style>
  <w:style w:type="paragraph" w:styleId="Heading4">
    <w:name w:val="heading 4"/>
    <w:aliases w:val="Tag,Big card,body,small text,Normal Tag,heading 2, Ch,Ch,no read,No Spacing1121,No Spacing111111,No Spacing211,No Spacing12,No Spacing2111,No Spacing11,No Spacing111,No Spacing112,tags,No Spacing11111,small space,Dont use,ta,Car,CD - Cite,t,Ta"/>
    <w:basedOn w:val="Normal"/>
    <w:next w:val="Normal"/>
    <w:link w:val="Heading4Char"/>
    <w:uiPriority w:val="9"/>
    <w:unhideWhenUsed/>
    <w:qFormat/>
    <w:rsid w:val="003E6197"/>
    <w:pPr>
      <w:keepNext/>
      <w:keepLines/>
      <w:spacing w:before="200"/>
      <w:outlineLvl w:val="3"/>
    </w:pPr>
    <w:rPr>
      <w:rFonts w:eastAsiaTheme="majorEastAsia" w:cstheme="majorBidi"/>
      <w:b/>
      <w:bCs/>
      <w:sz w:val="24"/>
      <w:szCs w:val="26"/>
    </w:rPr>
  </w:style>
  <w:style w:type="character" w:default="1" w:styleId="DefaultParagraphFont">
    <w:name w:val="Default Paragraph Font"/>
    <w:uiPriority w:val="1"/>
    <w:semiHidden/>
    <w:unhideWhenUsed/>
    <w:rsid w:val="003E619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E6197"/>
  </w:style>
  <w:style w:type="character" w:customStyle="1" w:styleId="Heading1Char">
    <w:name w:val="Heading 1 Char"/>
    <w:aliases w:val="Pocket Char"/>
    <w:basedOn w:val="DefaultParagraphFont"/>
    <w:link w:val="Heading1"/>
    <w:uiPriority w:val="9"/>
    <w:rsid w:val="003E6197"/>
    <w:rPr>
      <w:rFonts w:ascii="Arial" w:eastAsiaTheme="majorEastAsia" w:hAnsi="Arial" w:cstheme="majorBidi"/>
      <w:b/>
      <w:bCs/>
      <w:sz w:val="40"/>
      <w:szCs w:val="32"/>
    </w:rPr>
  </w:style>
  <w:style w:type="character" w:customStyle="1" w:styleId="Heading2Char">
    <w:name w:val="Heading 2 Char"/>
    <w:aliases w:val="Hat Char"/>
    <w:basedOn w:val="DefaultParagraphFont"/>
    <w:link w:val="Heading2"/>
    <w:uiPriority w:val="9"/>
    <w:rsid w:val="003E6197"/>
    <w:rPr>
      <w:rFonts w:ascii="Arial" w:eastAsiaTheme="majorEastAsia" w:hAnsi="Arial" w:cstheme="majorBidi"/>
      <w:b/>
      <w:bCs/>
      <w:sz w:val="34"/>
      <w:szCs w:val="44"/>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1,Heading 3 Char1 Char Char Char,no Char"/>
    <w:basedOn w:val="DefaultParagraphFont"/>
    <w:link w:val="Heading3"/>
    <w:uiPriority w:val="9"/>
    <w:rsid w:val="003E6197"/>
    <w:rPr>
      <w:rFonts w:ascii="Arial" w:eastAsiaTheme="majorEastAsia" w:hAnsi="Arial" w:cstheme="majorBidi"/>
      <w:b/>
      <w:bCs/>
      <w:sz w:val="28"/>
      <w:szCs w:val="32"/>
      <w:u w:val="single"/>
    </w:rPr>
  </w:style>
  <w:style w:type="character" w:customStyle="1" w:styleId="Heading4Char">
    <w:name w:val="Heading 4 Char"/>
    <w:aliases w:val="Tag Char,Big card Char,body Char,small text Char,Normal Tag Char,heading 2 Char, Ch Char,Ch Char,no read Char,No Spacing1121 Char,No Spacing111111 Char,No Spacing211 Char,No Spacing12 Char,No Spacing2111 Char,No Spacing11 Char,tags Char"/>
    <w:basedOn w:val="DefaultParagraphFont"/>
    <w:link w:val="Heading4"/>
    <w:uiPriority w:val="9"/>
    <w:rsid w:val="003E6197"/>
    <w:rPr>
      <w:rFonts w:ascii="Arial" w:eastAsiaTheme="majorEastAsia" w:hAnsi="Arial" w:cstheme="majorBidi"/>
      <w:b/>
      <w:bCs/>
      <w:sz w:val="24"/>
      <w:szCs w:val="26"/>
    </w:rPr>
  </w:style>
  <w:style w:type="character" w:styleId="Emphasis">
    <w:name w:val="Emphasis"/>
    <w:aliases w:val="Evidence,Minimized,minimized,Highlighted,tag2,Size 10,emphasis in card,CD Card,ED - Tag,Underlined,emphasis,Emphasis!!,Qualifications,normal card text,Shrunk,qualifications in card,qualifications,Style1,B,Debate,Text 8,small,bold underline,Box"/>
    <w:basedOn w:val="DefaultParagraphFont"/>
    <w:link w:val="textbold"/>
    <w:uiPriority w:val="20"/>
    <w:qFormat/>
    <w:rsid w:val="003E6197"/>
    <w:rPr>
      <w:rFonts w:ascii="Arial" w:hAnsi="Arial" w:cs="Arial"/>
      <w:b/>
      <w:i w:val="0"/>
      <w:iCs/>
      <w:sz w:val="20"/>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3E6197"/>
    <w:rPr>
      <w:b/>
      <w:sz w:val="22"/>
      <w:u w:val="single"/>
    </w:rPr>
  </w:style>
  <w:style w:type="character" w:customStyle="1" w:styleId="StyleUnderline">
    <w:name w:val="Style Underline"/>
    <w:aliases w:val="Underline,Style Bold Underline,apple-style-span + 6 pt,Kern at 16 pt,Bold,Intense Emphasis1,Intense Emphasis2,HHeading 3 + 12 pt,Intense Emphasis3,Cards + Font: 12 pt Char,ci,Bold Cite Char,Citation Char Char Char,c,Bo,Intense Emphasis11"/>
    <w:basedOn w:val="DefaultParagraphFont"/>
    <w:uiPriority w:val="1"/>
    <w:qFormat/>
    <w:rsid w:val="003E6197"/>
    <w:rPr>
      <w:b/>
      <w:sz w:val="20"/>
      <w:u w:val="single"/>
    </w:rPr>
  </w:style>
  <w:style w:type="character" w:styleId="Hyperlink">
    <w:name w:val="Hyperlink"/>
    <w:aliases w:val="heading 1 (block title),Important,Read,Internet Link,Analytic Text,Card Text,Internet link,Underline Char Char Char Char1,Heading 3 Char Char Char Char Char Char Char Char Char Char1,Char Char1,F2 - Heading 1 Char1,AHeading 1 Char1,Block Char1"/>
    <w:basedOn w:val="DefaultParagraphFont"/>
    <w:uiPriority w:val="99"/>
    <w:unhideWhenUsed/>
    <w:rsid w:val="003E6197"/>
    <w:rPr>
      <w:color w:val="auto"/>
      <w:u w:val="none"/>
    </w:rPr>
  </w:style>
  <w:style w:type="character" w:styleId="FollowedHyperlink">
    <w:name w:val="FollowedHyperlink"/>
    <w:basedOn w:val="DefaultParagraphFont"/>
    <w:uiPriority w:val="99"/>
    <w:semiHidden/>
    <w:unhideWhenUsed/>
    <w:rsid w:val="003E6197"/>
    <w:rPr>
      <w:color w:val="auto"/>
      <w:u w:val="none"/>
    </w:rPr>
  </w:style>
  <w:style w:type="paragraph" w:customStyle="1" w:styleId="textbold">
    <w:name w:val="text bold"/>
    <w:basedOn w:val="Normal"/>
    <w:link w:val="Emphasis"/>
    <w:uiPriority w:val="20"/>
    <w:qFormat/>
    <w:rsid w:val="007926C9"/>
    <w:pPr>
      <w:pBdr>
        <w:top w:val="single" w:sz="4" w:space="0" w:color="auto"/>
        <w:left w:val="single" w:sz="4" w:space="0" w:color="auto"/>
        <w:bottom w:val="single" w:sz="4" w:space="0" w:color="auto"/>
        <w:right w:val="single" w:sz="4" w:space="0" w:color="auto"/>
      </w:pBdr>
      <w:spacing w:line="254" w:lineRule="auto"/>
      <w:ind w:left="720"/>
      <w:jc w:val="both"/>
    </w:pPr>
    <w:rPr>
      <w:rFonts w:eastAsiaTheme="minorHAnsi"/>
      <w:b/>
      <w:iCs/>
      <w:sz w:val="20"/>
      <w:szCs w:val="22"/>
      <w:u w:val="single"/>
      <w:bdr w:val="single" w:sz="12" w:space="0" w:color="auto"/>
    </w:rPr>
  </w:style>
  <w:style w:type="paragraph" w:customStyle="1" w:styleId="CardIndented">
    <w:name w:val="Card (Indented)"/>
    <w:basedOn w:val="Normal"/>
    <w:link w:val="CardIndentedChar"/>
    <w:qFormat/>
    <w:rsid w:val="007926C9"/>
    <w:pPr>
      <w:ind w:left="288"/>
    </w:pPr>
  </w:style>
  <w:style w:type="character" w:customStyle="1" w:styleId="CardIndentedChar">
    <w:name w:val="Card (Indented) Char"/>
    <w:basedOn w:val="DefaultParagraphFont"/>
    <w:link w:val="CardIndented"/>
    <w:rsid w:val="007926C9"/>
    <w:rPr>
      <w:rFonts w:ascii="Arial" w:hAnsi="Arial" w:cs="Arial"/>
    </w:rPr>
  </w:style>
  <w:style w:type="paragraph" w:styleId="DocumentMap">
    <w:name w:val="Document Map"/>
    <w:basedOn w:val="Normal"/>
    <w:link w:val="DocumentMapChar"/>
    <w:uiPriority w:val="99"/>
    <w:semiHidden/>
    <w:unhideWhenUsed/>
    <w:rsid w:val="003E6197"/>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E6197"/>
    <w:rPr>
      <w:rFonts w:ascii="Lucida Grande" w:eastAsiaTheme="minorEastAsia"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vox.com/science-and-health/2019/1/4/17989224/intellectual-humility-explained-psychology-replic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laireandersonmcelligot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19</TotalTime>
  <Pages>11</Pages>
  <Words>1317</Words>
  <Characters>7507</Characters>
  <Application>Microsoft Office Word</Application>
  <DocSecurity>0</DocSecurity>
  <Lines>62</Lines>
  <Paragraphs>17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Off Case</vt:lpstr>
      <vt:lpstr>        1NC – T</vt:lpstr>
      <vt:lpstr>        1NC – Dispossession K</vt:lpstr>
      <vt:lpstr>    Case</vt:lpstr>
      <vt:lpstr>        1NC – Refusal Fails</vt:lpstr>
      <vt:lpstr>        1NC – Pessimism Bad</vt:lpstr>
      <vt:lpstr>        1NC – Institutional Engagement Key</vt:lpstr>
    </vt:vector>
  </TitlesOfParts>
  <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Greer</dc:creator>
  <cp:keywords>5.1.1</cp:keywords>
  <dc:description/>
  <cp:lastModifiedBy>Claire Anderson McElligott</cp:lastModifiedBy>
  <cp:revision>8</cp:revision>
  <dcterms:created xsi:type="dcterms:W3CDTF">2022-04-01T13:26:00Z</dcterms:created>
  <dcterms:modified xsi:type="dcterms:W3CDTF">2022-04-01T14:22:00Z</dcterms:modified>
</cp:coreProperties>
</file>