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EAF2" w14:textId="4929B389" w:rsidR="004C5C44" w:rsidRPr="00F563A2" w:rsidRDefault="004C5C44" w:rsidP="004C5C44">
      <w:pPr>
        <w:pStyle w:val="Heading2"/>
      </w:pPr>
      <w:r>
        <w:t xml:space="preserve">1ac – msu mm – </w:t>
      </w:r>
      <w:r w:rsidR="002E7976">
        <w:t>texas</w:t>
      </w:r>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Jeffrey Traczynski &amp; Victoria Udalova, Nurse Practitioner Independence, Health Care Utilization, and Health Outcomes, 58 J. HEALTH ECON. 90, 103-04 (2018)</w:t>
      </w:r>
      <w:r w:rsidRPr="00D0149B">
        <w:rPr>
          <w:sz w:val="4"/>
          <w:szCs w:val="4"/>
        </w:rPr>
        <w:t>; see also John A. Graves, Pranita Mishra, Robert S. Dittus, Ravi Parikh, Jennifer Perloff &amp; Peter I. Buerhaus,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r w:rsidRPr="00D0149B">
        <w:rPr>
          <w:rStyle w:val="StyleUnderline"/>
          <w:sz w:val="4"/>
          <w:szCs w:val="4"/>
          <w:u w:val="none"/>
        </w:rPr>
        <w:t>Traczynski &amp; Udalova,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See, e.g., Sara Markowitz, E. Kathleen Adams, Mary Jane Lewitt &amp; Anne L. Dunlop, Competitive Effects of Scope of Practice Restrictions: Public Health or Public Harm?,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Part  [*895]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r w:rsidRPr="00696C35">
        <w:rPr>
          <w:rStyle w:val="StyleUnderline"/>
        </w:rPr>
        <w:t>Traczynski</w:t>
      </w:r>
      <w:r>
        <w:t xml:space="preserve"> &amp; Udalova,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4BE1766B"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PatientEngagementHIT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Thomas, a practicing nurse practitioner herself, told PatientEngagementHIT.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6E7275F4" w:rsidR="004C5C44" w:rsidRPr="002118F0" w:rsidRDefault="004C5C44" w:rsidP="004C5C44">
      <w:pPr>
        <w:rPr>
          <w:rStyle w:val="StyleUnderline"/>
        </w:rPr>
      </w:pPr>
      <w:r w:rsidRPr="00CB31BD">
        <w:rPr>
          <w:sz w:val="16"/>
        </w:rPr>
        <w:t>“</w:t>
      </w:r>
      <w:r w:rsidRPr="002118F0">
        <w:rPr>
          <w:rStyle w:val="StyleUnderline"/>
        </w:rPr>
        <w:t>So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w:t>
      </w:r>
      <w:r w:rsidRPr="00A73E18">
        <w:t xml:space="preserve"> </w:t>
      </w:r>
      <w:r w:rsidRPr="00A73E18">
        <w:rPr>
          <w:strike/>
        </w:rPr>
        <w:t>she</w:t>
      </w:r>
      <w:r w:rsidR="00A73E18" w:rsidRPr="00A73E18">
        <w:t xml:space="preserve"> </w:t>
      </w:r>
      <w:r w:rsidR="00A73E18">
        <w:rPr>
          <w:rStyle w:val="StyleUnderline"/>
        </w:rPr>
        <w:t>[</w:t>
      </w:r>
      <w:r w:rsidR="00A73E18" w:rsidRPr="00A73E18">
        <w:rPr>
          <w:rStyle w:val="StyleUnderline"/>
          <w:highlight w:val="cyan"/>
        </w:rPr>
        <w:t>they]</w:t>
      </w:r>
      <w:r w:rsidRPr="00A73E18">
        <w:rPr>
          <w:rStyle w:val="StyleUnderline"/>
          <w:highlight w:val="cyan"/>
        </w:rPr>
        <w:t xml:space="preserve"> can afford </w:t>
      </w:r>
      <w:r w:rsidRPr="002542D0">
        <w:rPr>
          <w:rStyle w:val="StyleUnderline"/>
          <w:highlight w:val="cyan"/>
        </w:rPr>
        <w:t>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through the combined force of the civil rights movement, the Civil Rights Act of 1964, a number of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105BCCAB" w14:textId="77777777" w:rsidR="004C5C44" w:rsidRPr="00423733" w:rsidRDefault="004C5C44" w:rsidP="004C5C44">
      <w:pPr>
        <w:rPr>
          <w:sz w:val="4"/>
          <w:szCs w:val="4"/>
        </w:rPr>
      </w:pPr>
      <w:r w:rsidRPr="00423733">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health</w:t>
      </w:r>
      <w:r w:rsidRPr="00AA643F">
        <w:rPr>
          <w:rStyle w:val="StyleUnderline"/>
        </w:rPr>
        <w:t>-care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all of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73E18">
        <w:t xml:space="preserve"> </w:t>
      </w:r>
      <w:r w:rsidRPr="002F7A94">
        <w:rPr>
          <w:rStyle w:val="StyleUnderline"/>
          <w:i/>
          <w:highlight w:val="green"/>
        </w:rPr>
        <w:t>in</w:t>
      </w:r>
      <w:r w:rsidRPr="00A73E18">
        <w:t xml:space="preserve"> </w:t>
      </w:r>
      <w:r w:rsidRPr="00AA643F">
        <w:rPr>
          <w:sz w:val="16"/>
        </w:rPr>
        <w:t>any</w:t>
      </w:r>
      <w:r w:rsidRPr="00A73E18">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A73E18">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(eg,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As a consequence,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These are the questions I brought with me as I spent two and a half years following a group of providers at a place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faced on a daily basis</w:t>
      </w:r>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So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 xml:space="preserve">people who </w:t>
      </w:r>
      <w:r w:rsidRPr="00F943CB">
        <w:rPr>
          <w:rStyle w:val="StyleUnderline"/>
          <w:highlight w:val="green"/>
        </w:rPr>
        <w:t>are</w:t>
      </w:r>
      <w:r w:rsidRPr="00F943CB">
        <w:rPr>
          <w:rStyle w:val="StyleUnderline"/>
        </w:rPr>
        <w:t xml:space="preserve"> poor, disabled, or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fairly high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there is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r>
        <w:rPr>
          <w:u w:val="single"/>
        </w:rPr>
        <w:t>transformatively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More Than Medicine :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0CF872D" w14:textId="77777777" w:rsidR="004C5C44" w:rsidRPr="000A0A12" w:rsidRDefault="004C5C44" w:rsidP="004C5C44">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Indeed, clinical communication represents the struggle for dominance between the physician and patient. Roter and McNeilis (2003) assert:</w:t>
      </w:r>
    </w:p>
    <w:p w14:paraId="7ED2CF5B" w14:textId="77777777" w:rsidR="004C5C44" w:rsidRPr="00B1717E" w:rsidRDefault="004C5C44" w:rsidP="004C5C44">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McNeilis,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56D90BD8" w:rsidR="004C5C44" w:rsidRPr="009423AD" w:rsidRDefault="007B369E" w:rsidP="004C5C44">
      <w:pPr>
        <w:pStyle w:val="Heading4"/>
      </w:pPr>
      <w:r>
        <w:t>The United States Federal Government should significantly increase prohibitions on anticompetitive business practices by the private sector shielded by application of state action immunity.</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inherently transformative</w:t>
      </w:r>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1960’s</w:t>
      </w:r>
      <w:r w:rsidRPr="00691C58">
        <w:rPr>
          <w:rStyle w:val="StyleUnderline"/>
        </w:rPr>
        <w:t>..</w:t>
      </w:r>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Twenty three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communities of syndemic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r w:rsidRPr="008C24C9">
        <w:rPr>
          <w:rStyle w:val="StyleUnderline"/>
        </w:rPr>
        <w:t>—“</w:t>
      </w:r>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r w:rsidRPr="00EB3C71">
        <w:rPr>
          <w:rFonts w:ascii="Arial" w:hAnsi="Arial" w:cs="Arial"/>
          <w:sz w:val="4"/>
          <w:szCs w:val="4"/>
        </w:rPr>
        <w:t> </w:t>
      </w:r>
      <w:r w:rsidRPr="00EB3C71">
        <w:rPr>
          <w:rFonts w:cs="Arial Narrow"/>
          <w:sz w:val="4"/>
          <w:szCs w:val="4"/>
        </w:rPr>
        <w:t>”</w:t>
      </w:r>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1997:ix).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EB3C71">
        <w:rPr>
          <w:rFonts w:ascii="Arial" w:hAnsi="Arial" w:cs="Arial"/>
          <w:sz w:val="4"/>
          <w:szCs w:val="4"/>
        </w:rPr>
        <w:t> </w:t>
      </w:r>
      <w:r w:rsidRPr="00EB3C71">
        <w:rPr>
          <w:rFonts w:cs="Arial Narrow"/>
          <w:sz w:val="4"/>
          <w:szCs w:val="4"/>
        </w:rPr>
        <w:t>”</w:t>
      </w:r>
      <w:r w:rsidRPr="00EB3C71">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deed or word—is never linked to violence but rather </w:t>
      </w:r>
      <w:r w:rsidRPr="00E24BD0">
        <w:rPr>
          <w:rStyle w:val="StyleUnderline"/>
        </w:rPr>
        <w:t>interpreted in an economic, symbolic, or psychologist register</w:t>
      </w:r>
      <w:r w:rsidRPr="000700AD">
        <w:rPr>
          <w:sz w:val="10"/>
        </w:rPr>
        <w:t xml:space="preserve">…. [P]hysical violence … is never related to that other violence—of exclusion, discrimination, and humiliation” (Fassin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we should pay closer attention to the “multiplicity of violences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(Bufacchi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(Adimora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postsocialist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EB3C71">
        <w:rPr>
          <w:rFonts w:ascii="Arial" w:hAnsi="Arial" w:cs="Arial"/>
          <w:sz w:val="4"/>
          <w:szCs w:val="4"/>
        </w:rPr>
        <w:t> </w:t>
      </w:r>
      <w:r w:rsidRPr="00EB3C71">
        <w:rPr>
          <w:rFonts w:cs="Arial Narrow"/>
          <w:sz w:val="4"/>
          <w:szCs w:val="4"/>
        </w:rPr>
        <w:t>”</w:t>
      </w:r>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r w:rsidRPr="002F7A94">
        <w:rPr>
          <w:rStyle w:val="Emphasis"/>
          <w:highlight w:val="green"/>
        </w:rPr>
        <w:t>syndemics</w:t>
      </w:r>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syndemics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xml:space="preserve">” (Singer 2009b:xv).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r w:rsidRPr="00D2724B">
        <w:rPr>
          <w:rStyle w:val="Style13ptBold"/>
        </w:rPr>
        <w:t>Parento 12</w:t>
      </w:r>
      <w:r>
        <w:rPr>
          <w:rStyle w:val="Style13ptBold"/>
        </w:rPr>
        <w:t xml:space="preserve"> </w:t>
      </w: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can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r w:rsidRPr="00051681">
        <w:rPr>
          <w:rStyle w:val="StyleUnderline"/>
        </w:rPr>
        <w:t xml:space="preserve">What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infra Part III.B.3),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that</w:t>
      </w:r>
      <w:r w:rsidRPr="00F2207F">
        <w:rPr>
          <w:sz w:val="10"/>
        </w:rPr>
        <w:t xml:space="preserve"> coercive </w:t>
      </w:r>
      <w:r w:rsidRPr="00F2207F">
        <w:rPr>
          <w:rStyle w:val="Emphasis"/>
        </w:rPr>
        <w:t xml:space="preserve">legal mechanisms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2B2E58A" w14:textId="77777777" w:rsidR="00640DB6" w:rsidRPr="00DC03A5" w:rsidRDefault="00640DB6" w:rsidP="00640DB6">
      <w:pPr>
        <w:pStyle w:val="Heading4"/>
      </w:pPr>
      <w:r>
        <w:t xml:space="preserve">Restrictive SOP specifically causes </w:t>
      </w:r>
      <w:r w:rsidRPr="00DC03A5">
        <w:rPr>
          <w:u w:val="single"/>
        </w:rPr>
        <w:t>practitioner burnout</w:t>
      </w:r>
    </w:p>
    <w:p w14:paraId="741CA676" w14:textId="77777777" w:rsidR="00640DB6" w:rsidRPr="002D343F" w:rsidRDefault="00640DB6" w:rsidP="00640DB6">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3" w:history="1">
        <w:r w:rsidRPr="00E6580F">
          <w:rPr>
            <w:rStyle w:val="Hyperlink"/>
          </w:rPr>
          <w:t>https://doi.org/10.1002/hec.4438)//NRG</w:t>
        </w:r>
      </w:hyperlink>
    </w:p>
    <w:p w14:paraId="0A2AFA13" w14:textId="36BBDDBE" w:rsidR="00640DB6" w:rsidRDefault="00640DB6" w:rsidP="00640DB6">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399A3473" w14:textId="77777777" w:rsidR="001A4248" w:rsidRDefault="001A4248" w:rsidP="001A4248">
      <w:pPr>
        <w:pStyle w:val="Heading4"/>
        <w:shd w:val="clear" w:color="auto" w:fill="FFFFFF"/>
        <w:spacing w:line="278" w:lineRule="atLeast"/>
        <w:rPr>
          <w:rFonts w:cs="Calibri"/>
          <w:color w:val="222222"/>
          <w:sz w:val="26"/>
          <w:szCs w:val="26"/>
        </w:rPr>
      </w:pPr>
      <w:r>
        <w:rPr>
          <w:rFonts w:cs="Calibri"/>
          <w:color w:val="222222"/>
          <w:sz w:val="26"/>
          <w:szCs w:val="26"/>
          <w:u w:val="single"/>
        </w:rPr>
        <w:t>No link</w:t>
      </w:r>
      <w:r>
        <w:rPr>
          <w:rFonts w:cs="Calibri"/>
          <w:color w:val="222222"/>
          <w:sz w:val="26"/>
          <w:szCs w:val="26"/>
        </w:rPr>
        <w:t> – NPs are a </w:t>
      </w:r>
      <w:r>
        <w:rPr>
          <w:rFonts w:cs="Calibri"/>
          <w:color w:val="222222"/>
          <w:sz w:val="26"/>
          <w:szCs w:val="26"/>
          <w:u w:val="single"/>
        </w:rPr>
        <w:t>counterbalance</w:t>
      </w:r>
      <w:r>
        <w:rPr>
          <w:rFonts w:cs="Calibri"/>
          <w:color w:val="222222"/>
          <w:sz w:val="26"/>
          <w:szCs w:val="26"/>
        </w:rPr>
        <w:t> to patient mistrust</w:t>
      </w:r>
    </w:p>
    <w:p w14:paraId="6BDAE9A7" w14:textId="77777777" w:rsidR="001A4248" w:rsidRDefault="001A4248" w:rsidP="001A4248">
      <w:pPr>
        <w:pStyle w:val="NormalWeb"/>
        <w:shd w:val="clear" w:color="auto" w:fill="FFFFFF"/>
        <w:spacing w:before="60" w:beforeAutospacing="0" w:after="60" w:afterAutospacing="0" w:line="235" w:lineRule="atLeast"/>
        <w:rPr>
          <w:rFonts w:ascii="Calibri" w:hAnsi="Calibri"/>
          <w:color w:val="222222"/>
          <w:sz w:val="22"/>
          <w:szCs w:val="22"/>
        </w:rPr>
      </w:pPr>
      <w:r>
        <w:rPr>
          <w:rFonts w:ascii="Calibri" w:hAnsi="Calibri"/>
          <w:b/>
          <w:bCs/>
          <w:color w:val="222222"/>
          <w:sz w:val="26"/>
          <w:szCs w:val="26"/>
        </w:rPr>
        <w:t>Benkert et al 9</w:t>
      </w:r>
      <w:r>
        <w:rPr>
          <w:rFonts w:ascii="Calibri" w:hAnsi="Calibri"/>
          <w:color w:val="222222"/>
          <w:sz w:val="22"/>
          <w:szCs w:val="22"/>
        </w:rPr>
        <w:t> (Ramona Benkert, PhD, ANP-C1, Lambda, Associate Professor, College of Nursing, Wayne State University; Barbara Hollie, MSN, ANP-C2, Doctoral Student; Cheryl K. Nordstrom, PhD3, Assistant Professor, Research, College of Nursing, Wayne State University; Bethany Wickson, MSN, FNP-C4, Nurse Practitioner, Detroit Receiving Hospital/University Health Center; and Lisa Bins-Emerick, MSN, ANP-C5, Nurse Practitioner, Rosa Parks Geriatric Center of Excellence, University Physician Group; “Trust, Mistrust, Racial Identity and Patient Satisfaction in Urban African American Primary Care Patients of Nurse Practitioners,” Journal of Nursing Scholarship, 41(2), 2009, pp.217-218, DOI: 10.1111/j.1547-5069.2009.01273.x)</w:t>
      </w:r>
    </w:p>
    <w:p w14:paraId="4842AF9E" w14:textId="77777777" w:rsidR="001A4248" w:rsidRDefault="001A4248" w:rsidP="001A4248">
      <w:pPr>
        <w:shd w:val="clear" w:color="auto" w:fill="FFFFFF"/>
        <w:spacing w:line="235" w:lineRule="atLeast"/>
        <w:rPr>
          <w:color w:val="222222"/>
          <w:sz w:val="22"/>
        </w:rPr>
      </w:pPr>
      <w:r>
        <w:rPr>
          <w:color w:val="222222"/>
          <w:sz w:val="22"/>
        </w:rPr>
        <w:t>Conclusions</w:t>
      </w:r>
    </w:p>
    <w:p w14:paraId="4158154B" w14:textId="77777777" w:rsidR="001A4248" w:rsidRDefault="001A4248" w:rsidP="001A4248">
      <w:pPr>
        <w:shd w:val="clear" w:color="auto" w:fill="FFFFFF"/>
        <w:spacing w:line="235" w:lineRule="atLeast"/>
        <w:rPr>
          <w:color w:val="222222"/>
          <w:sz w:val="22"/>
        </w:rPr>
      </w:pPr>
      <w:r>
        <w:rPr>
          <w:color w:val="222222"/>
          <w:sz w:val="16"/>
          <w:szCs w:val="16"/>
        </w:rPr>
        <w:t>The </w:t>
      </w:r>
      <w:r>
        <w:rPr>
          <w:color w:val="222222"/>
          <w:sz w:val="22"/>
          <w:shd w:val="clear" w:color="auto" w:fill="00FFFF"/>
        </w:rPr>
        <w:t>findings indicate</w:t>
      </w:r>
      <w:r>
        <w:rPr>
          <w:color w:val="222222"/>
          <w:sz w:val="22"/>
        </w:rPr>
        <w:t> that </w:t>
      </w:r>
      <w:r>
        <w:rPr>
          <w:color w:val="222222"/>
          <w:sz w:val="22"/>
          <w:shd w:val="clear" w:color="auto" w:fill="00FFFF"/>
        </w:rPr>
        <w:t>African Americans </w:t>
      </w:r>
      <w:r>
        <w:rPr>
          <w:b/>
          <w:bCs/>
          <w:color w:val="222222"/>
          <w:sz w:val="22"/>
          <w:bdr w:val="single" w:sz="8" w:space="0" w:color="auto" w:frame="1"/>
          <w:shd w:val="clear" w:color="auto" w:fill="00FFFF"/>
        </w:rPr>
        <w:t>simultaneously held</w:t>
      </w:r>
      <w:r>
        <w:rPr>
          <w:color w:val="222222"/>
          <w:sz w:val="22"/>
        </w:rPr>
        <w:t> moderate levels of cultural and </w:t>
      </w:r>
      <w:r>
        <w:rPr>
          <w:b/>
          <w:bCs/>
          <w:color w:val="222222"/>
          <w:sz w:val="22"/>
          <w:bdr w:val="single" w:sz="8" w:space="0" w:color="auto" w:frame="1"/>
          <w:shd w:val="clear" w:color="auto" w:fill="00FFFF"/>
        </w:rPr>
        <w:t>medical mistrust</w:t>
      </w:r>
      <w:r>
        <w:rPr>
          <w:color w:val="222222"/>
          <w:sz w:val="22"/>
          <w:shd w:val="clear" w:color="auto" w:fill="00FFFF"/>
        </w:rPr>
        <w:t> and </w:t>
      </w:r>
      <w:r>
        <w:rPr>
          <w:b/>
          <w:bCs/>
          <w:color w:val="222222"/>
          <w:sz w:val="22"/>
          <w:bdr w:val="single" w:sz="8" w:space="0" w:color="auto" w:frame="1"/>
          <w:shd w:val="clear" w:color="auto" w:fill="00FFFF"/>
        </w:rPr>
        <w:t>high trust and satisfaction with their NPs</w:t>
      </w:r>
      <w:r>
        <w:rPr>
          <w:color w:val="222222"/>
          <w:sz w:val="16"/>
          <w:szCs w:val="16"/>
        </w:rPr>
        <w:t>. While it is promising to find that </w:t>
      </w:r>
      <w:r>
        <w:rPr>
          <w:color w:val="222222"/>
          <w:sz w:val="22"/>
        </w:rPr>
        <w:t>NPs can </w:t>
      </w:r>
      <w:r>
        <w:rPr>
          <w:b/>
          <w:bCs/>
          <w:color w:val="222222"/>
          <w:sz w:val="22"/>
          <w:bdr w:val="single" w:sz="8" w:space="0" w:color="auto" w:frame="1"/>
          <w:shd w:val="clear" w:color="auto" w:fill="00FFFF"/>
        </w:rPr>
        <w:t>overcome mistrust</w:t>
      </w:r>
      <w:r>
        <w:rPr>
          <w:color w:val="222222"/>
          <w:sz w:val="22"/>
          <w:shd w:val="clear" w:color="auto" w:fill="00FFFF"/>
        </w:rPr>
        <w:t> of European Americans and the healthcare system</w:t>
      </w:r>
      <w:r>
        <w:rPr>
          <w:color w:val="222222"/>
          <w:sz w:val="16"/>
          <w:szCs w:val="16"/>
        </w:rPr>
        <w:t>, the </w:t>
      </w:r>
      <w:r>
        <w:rPr>
          <w:color w:val="222222"/>
          <w:sz w:val="22"/>
        </w:rPr>
        <w:t>findings also indicate that African Americans</w:t>
      </w:r>
      <w:r>
        <w:rPr>
          <w:color w:val="222222"/>
          <w:sz w:val="16"/>
          <w:szCs w:val="16"/>
        </w:rPr>
        <w:t> (and other ethnic and racial groups) </w:t>
      </w:r>
      <w:r>
        <w:rPr>
          <w:color w:val="222222"/>
          <w:sz w:val="22"/>
        </w:rPr>
        <w:t>are not monolithic</w:t>
      </w:r>
      <w:r>
        <w:rPr>
          <w:color w:val="222222"/>
          <w:sz w:val="16"/>
          <w:szCs w:val="16"/>
        </w:rPr>
        <w:t>. </w:t>
      </w:r>
      <w:r>
        <w:rPr>
          <w:color w:val="222222"/>
          <w:sz w:val="22"/>
          <w:shd w:val="clear" w:color="auto" w:fill="00FFFF"/>
        </w:rPr>
        <w:t>The</w:t>
      </w:r>
      <w:r>
        <w:rPr>
          <w:color w:val="222222"/>
          <w:sz w:val="16"/>
          <w:szCs w:val="16"/>
        </w:rPr>
        <w:t> dynamic client singularity </w:t>
      </w:r>
      <w:r>
        <w:rPr>
          <w:color w:val="222222"/>
          <w:sz w:val="22"/>
          <w:shd w:val="clear" w:color="auto" w:fill="00FFFF"/>
        </w:rPr>
        <w:t>variable of </w:t>
      </w:r>
      <w:r>
        <w:rPr>
          <w:b/>
          <w:bCs/>
          <w:color w:val="222222"/>
          <w:sz w:val="22"/>
          <w:bdr w:val="single" w:sz="8" w:space="0" w:color="auto" w:frame="1"/>
          <w:shd w:val="clear" w:color="auto" w:fill="00FFFF"/>
        </w:rPr>
        <w:t>racial identity</w:t>
      </w:r>
      <w:r>
        <w:rPr>
          <w:color w:val="222222"/>
          <w:sz w:val="22"/>
        </w:rPr>
        <w:t> attitudes </w:t>
      </w:r>
      <w:r>
        <w:rPr>
          <w:color w:val="222222"/>
          <w:sz w:val="22"/>
          <w:shd w:val="clear" w:color="auto" w:fill="00FFFF"/>
        </w:rPr>
        <w:t>had an </w:t>
      </w:r>
      <w:r>
        <w:rPr>
          <w:b/>
          <w:bCs/>
          <w:color w:val="222222"/>
          <w:sz w:val="22"/>
          <w:bdr w:val="single" w:sz="8" w:space="0" w:color="auto" w:frame="1"/>
          <w:shd w:val="clear" w:color="auto" w:fill="00FFFF"/>
        </w:rPr>
        <w:t>equally significant effect</w:t>
      </w:r>
      <w:r>
        <w:rPr>
          <w:color w:val="222222"/>
          <w:sz w:val="22"/>
          <w:shd w:val="clear" w:color="auto" w:fill="00FFFF"/>
        </w:rPr>
        <w:t> on </w:t>
      </w:r>
      <w:r>
        <w:rPr>
          <w:b/>
          <w:bCs/>
          <w:color w:val="222222"/>
          <w:sz w:val="22"/>
          <w:bdr w:val="single" w:sz="8" w:space="0" w:color="auto" w:frame="1"/>
          <w:shd w:val="clear" w:color="auto" w:fill="00FFFF"/>
        </w:rPr>
        <w:t>patient satisfaction</w:t>
      </w:r>
      <w:r>
        <w:rPr>
          <w:color w:val="222222"/>
          <w:sz w:val="22"/>
        </w:rPr>
        <w:t>.</w:t>
      </w:r>
      <w:r>
        <w:rPr>
          <w:color w:val="222222"/>
          <w:sz w:val="16"/>
          <w:szCs w:val="16"/>
        </w:rPr>
        <w:t> More research with a diverse sample of patients of NPs will be needed to determine the full effect of racial identity on satisfaction with care. Clearly the assumption that one can just “do the right thing” is no longer sufficient for culturally-congruent care. </w:t>
      </w:r>
      <w:r>
        <w:rPr>
          <w:color w:val="222222"/>
          <w:sz w:val="22"/>
          <w:shd w:val="clear" w:color="auto" w:fill="00FFFF"/>
        </w:rPr>
        <w:t>For NPs to</w:t>
      </w:r>
      <w:r>
        <w:rPr>
          <w:color w:val="222222"/>
          <w:sz w:val="22"/>
        </w:rPr>
        <w:t> be a global force in </w:t>
      </w:r>
      <w:r>
        <w:rPr>
          <w:color w:val="222222"/>
          <w:sz w:val="22"/>
          <w:shd w:val="clear" w:color="auto" w:fill="00FFFF"/>
        </w:rPr>
        <w:t>diminish</w:t>
      </w:r>
      <w:r>
        <w:rPr>
          <w:color w:val="222222"/>
          <w:sz w:val="22"/>
        </w:rPr>
        <w:t>ing </w:t>
      </w:r>
      <w:r>
        <w:rPr>
          <w:b/>
          <w:bCs/>
          <w:color w:val="222222"/>
          <w:sz w:val="22"/>
          <w:bdr w:val="single" w:sz="8" w:space="0" w:color="auto" w:frame="1"/>
          <w:shd w:val="clear" w:color="auto" w:fill="00FFFF"/>
        </w:rPr>
        <w:t>health disparities</w:t>
      </w:r>
      <w:r>
        <w:rPr>
          <w:color w:val="222222"/>
          <w:sz w:val="22"/>
          <w:shd w:val="clear" w:color="auto" w:fill="00FFFF"/>
        </w:rPr>
        <w:t> will require more</w:t>
      </w:r>
      <w:r>
        <w:rPr>
          <w:color w:val="222222"/>
          <w:sz w:val="16"/>
          <w:szCs w:val="16"/>
        </w:rPr>
        <w:t> complex evaluations of patients (and </w:t>
      </w:r>
      <w:r>
        <w:rPr>
          <w:b/>
          <w:bCs/>
          <w:color w:val="222222"/>
          <w:sz w:val="22"/>
          <w:bdr w:val="single" w:sz="8" w:space="0" w:color="auto" w:frame="1"/>
          <w:shd w:val="clear" w:color="auto" w:fill="00FFFF"/>
        </w:rPr>
        <w:t>advanced practice nurse providers</w:t>
      </w:r>
      <w:r>
        <w:rPr>
          <w:color w:val="222222"/>
          <w:sz w:val="16"/>
          <w:szCs w:val="16"/>
        </w:rPr>
        <w:t>).</w:t>
      </w:r>
    </w:p>
    <w:p w14:paraId="6036872E" w14:textId="77777777" w:rsidR="001A4248" w:rsidRPr="00DC03A5" w:rsidRDefault="001A4248" w:rsidP="00640DB6">
      <w:pPr>
        <w:rPr>
          <w:sz w:val="16"/>
        </w:rPr>
      </w:pPr>
    </w:p>
    <w:p w14:paraId="69696941" w14:textId="3CAE5D6E" w:rsidR="001A4248" w:rsidRDefault="001A4248" w:rsidP="001A4248">
      <w:pPr>
        <w:pStyle w:val="Heading1"/>
      </w:pPr>
      <w:r>
        <w:t>2AC</w:t>
      </w:r>
    </w:p>
    <w:p w14:paraId="6741112E" w14:textId="15293881" w:rsidR="001A4248" w:rsidRDefault="001A4248" w:rsidP="001A4248">
      <w:pPr>
        <w:pStyle w:val="Heading2"/>
      </w:pPr>
      <w:r>
        <w:t>Case</w:t>
      </w:r>
    </w:p>
    <w:p w14:paraId="615D697E" w14:textId="77777777" w:rsidR="001A4248" w:rsidRDefault="001A4248" w:rsidP="001A4248">
      <w:pPr>
        <w:pStyle w:val="Heading4"/>
      </w:pPr>
      <w:r>
        <w:t xml:space="preserve">It’s offense – first, </w:t>
      </w:r>
      <w:r w:rsidRPr="00B35C29">
        <w:rPr>
          <w:u w:val="single"/>
        </w:rPr>
        <w:t>access</w:t>
      </w:r>
      <w:r>
        <w:t xml:space="preserve"> – trope of black passivity framing </w:t>
      </w:r>
      <w:r w:rsidRPr="005E1092">
        <w:rPr>
          <w:u w:val="single"/>
        </w:rPr>
        <w:t>essentializes</w:t>
      </w:r>
      <w:r>
        <w:t xml:space="preserve"> </w:t>
      </w:r>
    </w:p>
    <w:p w14:paraId="57A503AE" w14:textId="77777777" w:rsidR="001A4248" w:rsidRPr="00AB5655" w:rsidRDefault="001A4248" w:rsidP="001A4248">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4" w:history="1">
        <w:r w:rsidRPr="00B1717E">
          <w:rPr>
            <w:rStyle w:val="Hyperlink"/>
            <w:sz w:val="18"/>
            <w:szCs w:val="18"/>
          </w:rPr>
          <w:t>http://digitalcommons.wayne.edu/cgi/viewcontent.cgi?article=2339&amp;context=oa_dissertations</w:t>
        </w:r>
      </w:hyperlink>
    </w:p>
    <w:p w14:paraId="708AFC2E" w14:textId="77777777" w:rsidR="001A4248" w:rsidRPr="00C04A32" w:rsidRDefault="001A4248" w:rsidP="001A4248">
      <w:pPr>
        <w:rPr>
          <w:rStyle w:val="Emphasis"/>
        </w:rPr>
      </w:pPr>
      <w:r w:rsidRPr="00C04A32">
        <w:rPr>
          <w:rStyle w:val="Emphasis"/>
        </w:rPr>
        <w:t>Conclusion</w:t>
      </w:r>
    </w:p>
    <w:p w14:paraId="1EF965FA" w14:textId="77777777" w:rsidR="001A4248" w:rsidRPr="00E914D2" w:rsidRDefault="001A4248" w:rsidP="001A4248">
      <w:pPr>
        <w:rPr>
          <w:sz w:val="16"/>
        </w:rPr>
      </w:pPr>
      <w:r w:rsidRPr="00C04A32">
        <w:rPr>
          <w:sz w:val="16"/>
        </w:rPr>
        <w:t xml:space="preserve">In this project, I sought to understand the nature of agency and resistance among black primary care patients. </w:t>
      </w:r>
      <w:r w:rsidRPr="00D464B6">
        <w:rPr>
          <w:rStyle w:val="StyleUnderline"/>
        </w:rPr>
        <w:t xml:space="preserve">This investigation </w:t>
      </w:r>
      <w:r w:rsidRPr="00D464B6">
        <w:rPr>
          <w:rStyle w:val="Emphasis"/>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w:t>
      </w:r>
      <w:r w:rsidRPr="00D464B6">
        <w:rPr>
          <w:rStyle w:val="StyleUnderline"/>
        </w:rPr>
        <w:t xml:space="preserve">current contemporary </w:t>
      </w:r>
      <w:r w:rsidRPr="00D464B6">
        <w:rPr>
          <w:rStyle w:val="StyleUnderline"/>
          <w:highlight w:val="cyan"/>
        </w:rPr>
        <w:t>health</w:t>
      </w:r>
      <w:r w:rsidRPr="00D464B6">
        <w:rPr>
          <w:rStyle w:val="StyleUnderline"/>
        </w:rPr>
        <w:t xml:space="preserve"> interventions</w:t>
      </w:r>
      <w:r w:rsidRPr="00C04A32">
        <w:rPr>
          <w:sz w:val="16"/>
        </w:rPr>
        <w:t xml:space="preserve">. </w:t>
      </w:r>
      <w:r w:rsidRPr="00D464B6">
        <w:rPr>
          <w:rStyle w:val="StyleUnderline"/>
        </w:rPr>
        <w:t>Health scholars</w:t>
      </w:r>
      <w:r w:rsidRPr="00C04A32">
        <w:rPr>
          <w:sz w:val="16"/>
        </w:rPr>
        <w:t xml:space="preserve"> </w:t>
      </w:r>
      <w:r w:rsidRPr="00D464B6">
        <w:rPr>
          <w:rStyle w:val="Emphasis"/>
        </w:rPr>
        <w:t>and their subsequent</w:t>
      </w:r>
      <w:r w:rsidRPr="00C04A32">
        <w:rPr>
          <w:sz w:val="16"/>
        </w:rPr>
        <w:t xml:space="preserve"> </w:t>
      </w:r>
      <w:r w:rsidRPr="00C04A32">
        <w:rPr>
          <w:rStyle w:val="StyleUnderline"/>
        </w:rPr>
        <w:t>health</w:t>
      </w:r>
      <w:r w:rsidRPr="00C04A32">
        <w:rPr>
          <w:sz w:val="16"/>
        </w:rPr>
        <w:t xml:space="preserve"> </w:t>
      </w:r>
      <w:r w:rsidRPr="00D464B6">
        <w:rPr>
          <w:rStyle w:val="Emphasis"/>
        </w:rPr>
        <w:t>interventions</w:t>
      </w:r>
      <w:r w:rsidRPr="00C04A32">
        <w:rPr>
          <w:sz w:val="16"/>
        </w:rPr>
        <w:t xml:space="preserve"> have </w:t>
      </w:r>
      <w:r w:rsidRPr="00D464B6">
        <w:rPr>
          <w:rStyle w:val="StyleUnderline"/>
        </w:rPr>
        <w:t>assert</w:t>
      </w:r>
      <w:r w:rsidRPr="00D464B6">
        <w:rPr>
          <w:sz w:val="16"/>
        </w:rPr>
        <w:t>ed</w:t>
      </w:r>
      <w:r w:rsidRPr="00C04A32">
        <w:rPr>
          <w:sz w:val="16"/>
        </w:rPr>
        <w:t xml:space="preserve"> </w:t>
      </w:r>
      <w:r w:rsidRPr="00D464B6">
        <w:rPr>
          <w:rStyle w:val="StyleUnderline"/>
        </w:rPr>
        <w:t>that marginalized patients are</w:t>
      </w:r>
      <w:r w:rsidRPr="00C04A32">
        <w:rPr>
          <w:sz w:val="16"/>
        </w:rPr>
        <w:t xml:space="preserve"> generally </w:t>
      </w:r>
      <w:r w:rsidRPr="00D464B6">
        <w:rPr>
          <w:rStyle w:val="StyleUnderline"/>
        </w:rPr>
        <w:t>less active</w:t>
      </w:r>
      <w:r w:rsidRPr="00C04A32">
        <w:rPr>
          <w:sz w:val="16"/>
        </w:rPr>
        <w:t xml:space="preserve"> and may require "activation" </w:t>
      </w:r>
      <w:r w:rsidRPr="00C04A32">
        <w:rPr>
          <w:rStyle w:val="StyleUnderline"/>
        </w:rPr>
        <w:t>in</w:t>
      </w:r>
      <w:r w:rsidRPr="00C04A32">
        <w:rPr>
          <w:sz w:val="16"/>
        </w:rPr>
        <w:t xml:space="preserve"> order to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D464B6">
        <w:rPr>
          <w:rStyle w:val="StyleUnderline"/>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D464B6">
        <w:rPr>
          <w:rStyle w:val="StyleUnderline"/>
        </w:rPr>
        <w:t xml:space="preserve">It is therefore crucial </w:t>
      </w:r>
      <w:r w:rsidRPr="00C04A32">
        <w:rPr>
          <w:rStyle w:val="Emphasis"/>
        </w:rPr>
        <w:t>for health scholars</w:t>
      </w:r>
      <w:r w:rsidRPr="00C04A32">
        <w:rPr>
          <w:rStyle w:val="StyleUnderline"/>
        </w:rPr>
        <w:t xml:space="preserve"> </w:t>
      </w:r>
      <w:r w:rsidRPr="00D464B6">
        <w:rPr>
          <w:rStyle w:val="StyleUnderline"/>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D464B6">
        <w:rPr>
          <w:rStyle w:val="Emphasis"/>
        </w:rPr>
        <w:t>,</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D464B6">
        <w:rPr>
          <w:rStyle w:val="StyleUnderline"/>
        </w:rPr>
        <w:t>This</w:t>
      </w:r>
      <w:r w:rsidRPr="00C04A32">
        <w:rPr>
          <w:sz w:val="16"/>
        </w:rPr>
        <w:t xml:space="preserve"> line of research potentially </w:t>
      </w:r>
      <w:r w:rsidRPr="00D464B6">
        <w:rPr>
          <w:rStyle w:val="StyleUnderline"/>
        </w:rPr>
        <w:t>offers</w:t>
      </w:r>
      <w:r w:rsidRPr="00C04A32">
        <w:rPr>
          <w:rStyle w:val="StyleUnderline"/>
        </w:rPr>
        <w:t xml:space="preserve"> </w:t>
      </w:r>
      <w:r w:rsidRPr="00D464B6">
        <w:rPr>
          <w:rStyle w:val="StyleUnderline"/>
        </w:rPr>
        <w:t xml:space="preserve">an </w:t>
      </w:r>
      <w:r w:rsidRPr="00D464B6">
        <w:rPr>
          <w:rStyle w:val="StyleUnderline"/>
          <w:highlight w:val="cyan"/>
        </w:rPr>
        <w:t>important</w:t>
      </w:r>
      <w:r w:rsidRPr="00D464B6">
        <w:rPr>
          <w:rStyle w:val="StyleUnderline"/>
        </w:rPr>
        <w:t xml:space="preserve">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D464B6">
        <w:rPr>
          <w:rStyle w:val="StyleUnderline"/>
        </w:rPr>
        <w:t xml:space="preserve">already </w:t>
      </w:r>
      <w:r w:rsidRPr="00D464B6">
        <w:rPr>
          <w:rStyle w:val="StyleUnderline"/>
          <w:highlight w:val="cyan"/>
        </w:rPr>
        <w:t>active</w:t>
      </w:r>
      <w:r w:rsidRPr="00D464B6">
        <w:rPr>
          <w:sz w:val="16"/>
          <w:highlight w:val="cyan"/>
        </w:rPr>
        <w:t xml:space="preserve">, </w:t>
      </w:r>
      <w:r w:rsidRPr="00D464B6">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D464B6">
        <w:rPr>
          <w:rStyle w:val="Emphasis"/>
          <w:i/>
          <w:highlight w:val="cyan"/>
        </w:rPr>
        <w:t>understanding</w:t>
      </w:r>
      <w:r w:rsidRPr="00D464B6">
        <w:rPr>
          <w:sz w:val="16"/>
          <w:highlight w:val="cyan"/>
        </w:rPr>
        <w:t xml:space="preserve"> </w:t>
      </w:r>
      <w:r w:rsidRPr="00D464B6">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17D6BF0C" w14:textId="77777777" w:rsidR="001A4248" w:rsidRPr="00CB75F9" w:rsidRDefault="001A4248" w:rsidP="001A4248"/>
    <w:p w14:paraId="246BDEDE" w14:textId="77777777" w:rsidR="001A4248" w:rsidRDefault="001A4248" w:rsidP="001A4248">
      <w:pPr>
        <w:pStyle w:val="Heading2"/>
      </w:pPr>
      <w:r>
        <w:t>T</w:t>
      </w:r>
    </w:p>
    <w:p w14:paraId="5951A444" w14:textId="77777777" w:rsidR="001A4248" w:rsidRDefault="001A4248" w:rsidP="001A4248">
      <w:pPr>
        <w:pStyle w:val="Heading3"/>
      </w:pPr>
      <w:r>
        <w:t>Private Sector – 2AC</w:t>
      </w:r>
    </w:p>
    <w:p w14:paraId="3B2002DA" w14:textId="77777777" w:rsidR="001A4248" w:rsidRPr="00925091" w:rsidRDefault="001A4248" w:rsidP="001A4248">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561A4314" w14:textId="77777777" w:rsidR="001A4248" w:rsidRPr="004D3680" w:rsidRDefault="001A4248" w:rsidP="001A4248">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88C46F5" w14:textId="77777777" w:rsidR="001A4248" w:rsidRDefault="001A4248" w:rsidP="001A4248">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488B0609" w14:textId="77777777" w:rsidR="001A4248" w:rsidRDefault="001A4248" w:rsidP="001A4248">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187369BA" w14:textId="77777777" w:rsidR="001A4248" w:rsidRDefault="001A4248" w:rsidP="001A4248">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1EABD1F9" w14:textId="77777777" w:rsidR="001A4248" w:rsidRDefault="001A4248" w:rsidP="001A4248">
      <w:pPr>
        <w:pStyle w:val="Heading4"/>
      </w:pPr>
      <w:r>
        <w:t>Private sector is not “controlled” by state</w:t>
      </w:r>
    </w:p>
    <w:p w14:paraId="40A30949" w14:textId="77777777" w:rsidR="001A4248" w:rsidRPr="0061414F" w:rsidRDefault="001A4248" w:rsidP="001A4248">
      <w:r w:rsidRPr="0061414F">
        <w:rPr>
          <w:b/>
          <w:bCs/>
          <w:sz w:val="26"/>
        </w:rPr>
        <w:t>JTP 21</w:t>
      </w:r>
      <w:r w:rsidRPr="0061414F">
        <w:t xml:space="preserve"> (Java T Point, https://www.javatpoint.com/public-sector-vs-private-sector)</w:t>
      </w:r>
    </w:p>
    <w:p w14:paraId="49A80877" w14:textId="77777777" w:rsidR="001A4248" w:rsidRPr="00B13766" w:rsidRDefault="001A4248" w:rsidP="001A4248">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4E5999FE" w14:textId="77777777" w:rsidR="001A4248" w:rsidRPr="00B13766" w:rsidRDefault="001A4248" w:rsidP="001A4248">
      <w:r w:rsidRPr="00B13766">
        <w:t>Private Sector</w:t>
      </w:r>
    </w:p>
    <w:p w14:paraId="5E757A2A" w14:textId="77777777" w:rsidR="001A4248" w:rsidRPr="0061414F" w:rsidRDefault="001A4248" w:rsidP="001A4248">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3A3AA1BE" w14:textId="77777777" w:rsidR="001A4248" w:rsidRPr="00B13766" w:rsidRDefault="001A4248" w:rsidP="001A4248"/>
    <w:p w14:paraId="765BD867" w14:textId="77777777" w:rsidR="001A4248" w:rsidRDefault="001A4248" w:rsidP="001A4248">
      <w:pPr>
        <w:pStyle w:val="Heading3"/>
      </w:pPr>
      <w:r>
        <w:t>Should – 2AC</w:t>
      </w:r>
    </w:p>
    <w:p w14:paraId="0E9F11EF" w14:textId="77777777" w:rsidR="001A4248" w:rsidRDefault="001A4248" w:rsidP="001A4248">
      <w:pPr>
        <w:pStyle w:val="Heading4"/>
      </w:pPr>
      <w:r>
        <w:t>Counter interp: Should is used to express a desire OR opinion</w:t>
      </w:r>
    </w:p>
    <w:p w14:paraId="077FAA09" w14:textId="77777777" w:rsidR="001A4248" w:rsidRDefault="001A4248" w:rsidP="001A4248">
      <w:r w:rsidRPr="00A13AFA">
        <w:rPr>
          <w:rStyle w:val="Style13ptBold"/>
        </w:rPr>
        <w:t>Cambridge Dictionary</w:t>
      </w:r>
      <w:r>
        <w:t xml:space="preserve"> (Accessed 1/16/19</w:t>
      </w:r>
      <w:r w:rsidRPr="00A13AFA">
        <w:t xml:space="preserve">, "SHOULD," No Publication, </w:t>
      </w:r>
      <w:hyperlink r:id="rId15" w:history="1">
        <w:r w:rsidRPr="0058447D">
          <w:rPr>
            <w:rStyle w:val="Hyperlink"/>
          </w:rPr>
          <w:t>https://dictionary.cambridge.org/us/dictionary/english/should</w:t>
        </w:r>
      </w:hyperlink>
      <w:r>
        <w:t xml:space="preserve"> IS)</w:t>
      </w:r>
    </w:p>
    <w:p w14:paraId="47AAD530" w14:textId="77777777" w:rsidR="001A4248" w:rsidRPr="00D75017" w:rsidRDefault="001A4248" w:rsidP="001A4248">
      <w:r w:rsidRPr="0040563A">
        <w:rPr>
          <w:rStyle w:val="StyleUnderline"/>
          <w:highlight w:val="yellow"/>
        </w:rPr>
        <w:t>should</w:t>
      </w:r>
      <w:r w:rsidRPr="0040563A">
        <w:rPr>
          <w:rStyle w:val="StyleUnderline"/>
        </w:rPr>
        <w:t xml:space="preserve"> modal verb</w:t>
      </w:r>
      <w:r>
        <w:rPr>
          <w:rStyle w:val="StyleUnderline"/>
        </w:rPr>
        <w:t xml:space="preserve"> </w:t>
      </w:r>
      <w:r w:rsidRPr="0040563A">
        <w:rPr>
          <w:rStyle w:val="Emphasis"/>
          <w:highlight w:val="yellow"/>
        </w:rPr>
        <w:t xml:space="preserve">used to express a desire </w:t>
      </w:r>
      <w:r w:rsidRPr="0007729A">
        <w:rPr>
          <w:rStyle w:val="Emphasis"/>
          <w:highlight w:val="green"/>
        </w:rPr>
        <w:t>or opinion:</w:t>
      </w:r>
      <w:r w:rsidRPr="00EF3CAD">
        <w:t xml:space="preserve"> </w:t>
      </w:r>
      <w:r w:rsidRPr="0040563A">
        <w:t>I should think he’d be happy just to have a job.</w:t>
      </w:r>
      <w:r>
        <w:t xml:space="preserve"> </w:t>
      </w:r>
      <w:r w:rsidRPr="0040563A">
        <w:t>I shouldn’t worry about that if I were you.</w:t>
      </w:r>
    </w:p>
    <w:p w14:paraId="7292D8AE" w14:textId="77777777" w:rsidR="001A4248" w:rsidRPr="00640605" w:rsidRDefault="001A4248" w:rsidP="001A4248"/>
    <w:p w14:paraId="068F8CEA" w14:textId="77777777" w:rsidR="001A4248" w:rsidRDefault="001A4248" w:rsidP="001A4248">
      <w:pPr>
        <w:pStyle w:val="Heading2"/>
        <w:rPr>
          <w:rStyle w:val="StyleUnderline"/>
        </w:rPr>
      </w:pPr>
      <w:r>
        <w:rPr>
          <w:rStyle w:val="StyleUnderline"/>
        </w:rPr>
        <w:t>Util PIC</w:t>
      </w:r>
    </w:p>
    <w:p w14:paraId="2C80729E" w14:textId="77777777" w:rsidR="001A4248" w:rsidRDefault="001A4248" w:rsidP="001A4248">
      <w:pPr>
        <w:pStyle w:val="Heading4"/>
      </w:pPr>
      <w:r>
        <w:t>Perm do the CP – we never committed to pure util, the aff ow in their framework, syndemics challenges util!!</w:t>
      </w:r>
    </w:p>
    <w:p w14:paraId="56B9E9D2" w14:textId="77777777" w:rsidR="001A4248" w:rsidRDefault="001A4248" w:rsidP="001A4248">
      <w:r>
        <w:t>Line from Farmer for reference</w:t>
      </w:r>
    </w:p>
    <w:p w14:paraId="354BEFA3" w14:textId="77777777" w:rsidR="001A4248" w:rsidRPr="00EE6A09" w:rsidRDefault="001A4248" w:rsidP="001A4248">
      <w:r w:rsidRPr="007B1B30">
        <w:rPr>
          <w:rStyle w:val="StyleUnderline"/>
        </w:rPr>
        <w:t xml:space="preserve">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It demands that we look at the world through the eyes of those least able to change it and that our research</w:t>
      </w:r>
    </w:p>
    <w:p w14:paraId="3D350B98" w14:textId="77777777" w:rsidR="001A4248" w:rsidRPr="00716B92" w:rsidRDefault="001A4248" w:rsidP="001A4248">
      <w:pPr>
        <w:pStyle w:val="Heading4"/>
        <w:rPr>
          <w:rStyle w:val="Style13ptBold"/>
          <w:b/>
        </w:rPr>
      </w:pPr>
      <w:r>
        <w:t xml:space="preserve">Pure </w:t>
      </w:r>
      <w:r w:rsidRPr="00716B92">
        <w:t>Deontology is bad in the context of public policy</w:t>
      </w:r>
    </w:p>
    <w:p w14:paraId="370A95B8" w14:textId="77777777" w:rsidR="001A4248" w:rsidRDefault="001A4248" w:rsidP="001A4248">
      <w:r w:rsidRPr="00716B92">
        <w:rPr>
          <w:rStyle w:val="Style13ptBold"/>
        </w:rPr>
        <w:t xml:space="preserve">Woller ‘97 </w:t>
      </w:r>
      <w:r w:rsidRPr="00716B92">
        <w:t>(Gary, Economics Professor at BYU, Policy Currents, June, http://apsapolicysection.org/vol7_2/72.pdf , p. 11)</w:t>
      </w:r>
    </w:p>
    <w:p w14:paraId="2C1E82F8" w14:textId="77777777" w:rsidR="001A4248" w:rsidRPr="00716B92" w:rsidRDefault="001A4248" w:rsidP="001A4248"/>
    <w:p w14:paraId="299336BE" w14:textId="77777777" w:rsidR="001A4248" w:rsidRDefault="001A4248" w:rsidP="001A4248">
      <w:pPr>
        <w:rPr>
          <w:bCs/>
          <w:iCs/>
          <w:smallCaps/>
          <w:sz w:val="16"/>
        </w:rPr>
      </w:pPr>
      <w:r w:rsidRPr="0000338C">
        <w:rPr>
          <w:bCs/>
          <w:iCs/>
          <w:smallCaps/>
          <w:sz w:val="16"/>
        </w:rPr>
        <w:t xml:space="preserve">at the same time, </w:t>
      </w:r>
      <w:r w:rsidRPr="00355D74">
        <w:rPr>
          <w:rStyle w:val="underline"/>
          <w:smallCaps/>
          <w:highlight w:val="yellow"/>
        </w:rPr>
        <w:t>deontologically based</w:t>
      </w:r>
      <w:r w:rsidRPr="0000338C">
        <w:rPr>
          <w:rStyle w:val="underline"/>
          <w:smallCaps/>
        </w:rPr>
        <w:t xml:space="preserve"> </w:t>
      </w:r>
      <w:r w:rsidRPr="0000338C">
        <w:rPr>
          <w:bCs/>
          <w:iCs/>
          <w:smallCaps/>
          <w:sz w:val="16"/>
        </w:rPr>
        <w:t xml:space="preserve">ethical </w:t>
      </w:r>
      <w:r w:rsidRPr="00355D74">
        <w:rPr>
          <w:rStyle w:val="underline"/>
          <w:smallCaps/>
          <w:highlight w:val="yellow"/>
        </w:rPr>
        <w:t>systems have severe</w:t>
      </w:r>
      <w:r w:rsidRPr="0000338C">
        <w:rPr>
          <w:rStyle w:val="underline"/>
          <w:smallCaps/>
        </w:rPr>
        <w:t xml:space="preserve"> practical </w:t>
      </w:r>
      <w:r w:rsidRPr="00355D74">
        <w:rPr>
          <w:rStyle w:val="underline"/>
          <w:smallCaps/>
          <w:highlight w:val="yellow"/>
        </w:rPr>
        <w:t>limitations as a basis for</w:t>
      </w:r>
      <w:r w:rsidRPr="0000338C">
        <w:rPr>
          <w:rStyle w:val="underline"/>
          <w:smallCaps/>
        </w:rPr>
        <w:t xml:space="preserve"> public </w:t>
      </w:r>
      <w:r w:rsidRPr="00355D74">
        <w:rPr>
          <w:rStyle w:val="underline"/>
          <w:smallCaps/>
          <w:highlight w:val="yellow"/>
        </w:rPr>
        <w:t>policy</w:t>
      </w:r>
      <w:r w:rsidRPr="0000338C">
        <w:rPr>
          <w:rStyle w:val="underline"/>
          <w:smallCaps/>
        </w:rPr>
        <w:t xml:space="preserve">. </w:t>
      </w:r>
      <w:r w:rsidRPr="0000338C">
        <w:rPr>
          <w:bCs/>
          <w:iCs/>
          <w:smallCaps/>
          <w:sz w:val="16"/>
        </w:rPr>
        <w:t xml:space="preserve">at best, </w:t>
      </w:r>
      <w:r w:rsidRPr="00355D74">
        <w:rPr>
          <w:rStyle w:val="underline"/>
          <w:smallCaps/>
          <w:highlight w:val="yellow"/>
        </w:rPr>
        <w:t>a priori moral principles</w:t>
      </w:r>
      <w:r w:rsidRPr="0000338C">
        <w:rPr>
          <w:rStyle w:val="underline"/>
          <w:smallCaps/>
        </w:rPr>
        <w:t xml:space="preserve"> provide only general guidance to ethical dilemmas in public affairs </w:t>
      </w:r>
      <w:r w:rsidRPr="0000338C">
        <w:rPr>
          <w:bCs/>
          <w:iCs/>
          <w:smallCaps/>
          <w:sz w:val="16"/>
        </w:rPr>
        <w:t xml:space="preserve">and do not themselves suggest appropriate public policies, and at worst, </w:t>
      </w:r>
      <w:r w:rsidRPr="0000338C">
        <w:rPr>
          <w:rStyle w:val="underline"/>
          <w:smallCaps/>
        </w:rPr>
        <w:t xml:space="preserve">they </w:t>
      </w:r>
      <w:r w:rsidRPr="00355D74">
        <w:rPr>
          <w:rStyle w:val="underline"/>
          <w:smallCaps/>
          <w:highlight w:val="yellow"/>
        </w:rPr>
        <w:t>create</w:t>
      </w:r>
      <w:r w:rsidRPr="0000338C">
        <w:rPr>
          <w:rStyle w:val="underline"/>
          <w:smallCaps/>
        </w:rPr>
        <w:t xml:space="preserve"> </w:t>
      </w:r>
      <w:r w:rsidRPr="0000338C">
        <w:rPr>
          <w:bCs/>
          <w:iCs/>
          <w:smallCaps/>
          <w:sz w:val="16"/>
        </w:rPr>
        <w:t xml:space="preserve">a regimen of regulatory </w:t>
      </w:r>
      <w:r w:rsidRPr="00355D74">
        <w:rPr>
          <w:rStyle w:val="underline"/>
          <w:smallCaps/>
          <w:highlight w:val="yellow"/>
        </w:rPr>
        <w:t>unreasonableness while failing to adequately address the problem or actually making it worse</w:t>
      </w:r>
      <w:r w:rsidRPr="0000338C">
        <w:rPr>
          <w:rStyle w:val="underline"/>
          <w:smallCaps/>
        </w:rPr>
        <w:t xml:space="preserve">. </w:t>
      </w:r>
      <w:r w:rsidRPr="0000338C">
        <w:rPr>
          <w:bCs/>
          <w:iCs/>
          <w:smallCaps/>
          <w:sz w:val="16"/>
        </w:rPr>
        <w:t xml:space="preserve">for example, a moral obligation to preserve the environment by no means implies the best way, or any way for that matter, to do so, just as </w:t>
      </w:r>
      <w:r w:rsidRPr="0000338C">
        <w:rPr>
          <w:rStyle w:val="underline"/>
          <w:smallCaps/>
        </w:rPr>
        <w:t xml:space="preserve">there is no a priori reason to believe that any policy that claims to preserve the environment will actually do so. </w:t>
      </w:r>
      <w:r w:rsidRPr="0000338C">
        <w:rPr>
          <w:bCs/>
          <w:iCs/>
          <w:smallCaps/>
          <w:sz w:val="16"/>
        </w:rPr>
        <w:t xml:space="preserve">any number of policies might work, and others, although seemingly consistent with the moral principle, will fail utterly. that deontological principles are an inadequate basis for environmental policy is evident in the rather significant irony that most forms of deontologically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see, for example, ackerman, 1981; bartrip and fenn, 1983; hawkins, 1983, 1984; hawkins and thomas, 1984.) </w:t>
      </w:r>
      <w:r w:rsidRPr="0000338C">
        <w:rPr>
          <w:rStyle w:val="underline"/>
          <w:smallCaps/>
        </w:rPr>
        <w:t xml:space="preserve">even the most die-hard </w:t>
      </w:r>
      <w:r w:rsidRPr="0000338C">
        <w:rPr>
          <w:bCs/>
          <w:iCs/>
          <w:smallCaps/>
          <w:sz w:val="16"/>
        </w:rPr>
        <w:t>preservationist/</w:t>
      </w:r>
      <w:r w:rsidRPr="0000338C">
        <w:rPr>
          <w:rStyle w:val="underline"/>
          <w:smallCaps/>
        </w:rPr>
        <w:t>deontologist would</w:t>
      </w:r>
      <w:r w:rsidRPr="0000338C">
        <w:rPr>
          <w:bCs/>
          <w:iCs/>
          <w:smallCaps/>
          <w:sz w:val="16"/>
        </w:rPr>
        <w:t xml:space="preserve">, i believe, </w:t>
      </w:r>
      <w:r w:rsidRPr="0000338C">
        <w:rPr>
          <w:rStyle w:val="underline"/>
          <w:smallCaps/>
        </w:rPr>
        <w:t xml:space="preserve">be troubled by this outcome. </w:t>
      </w:r>
      <w:r w:rsidRPr="0000338C">
        <w:rPr>
          <w:bCs/>
          <w:iCs/>
          <w:smallCaps/>
          <w:sz w:val="16"/>
        </w:rPr>
        <w:t xml:space="preserve">the above points are perhaps best expressed by richard flathman, </w:t>
      </w:r>
      <w:r w:rsidRPr="00355D74">
        <w:rPr>
          <w:rStyle w:val="underline"/>
          <w:smallCaps/>
          <w:highlight w:val="yellow"/>
        </w:rPr>
        <w:t>the number of values</w:t>
      </w:r>
      <w:r w:rsidRPr="0000338C">
        <w:rPr>
          <w:rStyle w:val="underline"/>
          <w:smallCaps/>
        </w:rPr>
        <w:t xml:space="preserve"> </w:t>
      </w:r>
      <w:r w:rsidRPr="0000338C">
        <w:rPr>
          <w:bCs/>
          <w:iCs/>
          <w:smallCaps/>
          <w:sz w:val="16"/>
        </w:rPr>
        <w:t xml:space="preserve">typically </w:t>
      </w:r>
      <w:r w:rsidRPr="00355D74">
        <w:rPr>
          <w:rStyle w:val="underline"/>
          <w:smallCaps/>
          <w:highlight w:val="yellow"/>
        </w:rPr>
        <w:t>involved in</w:t>
      </w:r>
      <w:r w:rsidRPr="0000338C">
        <w:rPr>
          <w:rStyle w:val="underline"/>
          <w:smallCaps/>
        </w:rPr>
        <w:t xml:space="preserve"> public </w:t>
      </w:r>
      <w:r w:rsidRPr="00355D74">
        <w:rPr>
          <w:rStyle w:val="StyleUnderline"/>
          <w:highlight w:val="yellow"/>
        </w:rPr>
        <w:t>policy decisions</w:t>
      </w:r>
      <w:r w:rsidRPr="0000338C">
        <w:rPr>
          <w:bCs/>
          <w:iCs/>
          <w:smallCaps/>
          <w:sz w:val="16"/>
        </w:rPr>
        <w:t xml:space="preserve">, the broad categories which must be employed </w:t>
      </w:r>
      <w:r w:rsidRPr="00355D74">
        <w:rPr>
          <w:rStyle w:val="underline"/>
          <w:smallCaps/>
          <w:highlight w:val="yellow"/>
        </w:rPr>
        <w:t>and</w:t>
      </w:r>
      <w:r w:rsidRPr="0000338C">
        <w:rPr>
          <w:rStyle w:val="underline"/>
          <w:smallCaps/>
        </w:rPr>
        <w:t xml:space="preserve"> </w:t>
      </w:r>
      <w:r w:rsidRPr="0000338C">
        <w:rPr>
          <w:bCs/>
          <w:iCs/>
          <w:smallCaps/>
          <w:sz w:val="16"/>
        </w:rPr>
        <w:t xml:space="preserve">above all, </w:t>
      </w:r>
      <w:r w:rsidRPr="00355D74">
        <w:rPr>
          <w:rStyle w:val="underline"/>
          <w:smallCaps/>
          <w:highlight w:val="yellow"/>
        </w:rPr>
        <w:t>the</w:t>
      </w:r>
      <w:r w:rsidRPr="0000338C">
        <w:rPr>
          <w:rStyle w:val="underline"/>
          <w:smallCaps/>
        </w:rPr>
        <w:t xml:space="preserve"> scope and </w:t>
      </w:r>
      <w:r w:rsidRPr="00355D74">
        <w:rPr>
          <w:rStyle w:val="underline"/>
          <w:smallCaps/>
          <w:highlight w:val="yellow"/>
        </w:rPr>
        <w:t>complexity of</w:t>
      </w:r>
      <w:r w:rsidRPr="0000338C">
        <w:rPr>
          <w:rStyle w:val="underline"/>
          <w:smallCaps/>
        </w:rPr>
        <w:t xml:space="preserve"> the </w:t>
      </w:r>
      <w:r w:rsidRPr="00355D74">
        <w:rPr>
          <w:rStyle w:val="underline"/>
          <w:smallCaps/>
          <w:highlight w:val="yellow"/>
        </w:rPr>
        <w:t>consequences</w:t>
      </w:r>
      <w:r w:rsidRPr="0000338C">
        <w:rPr>
          <w:rStyle w:val="underline"/>
          <w:smallCaps/>
        </w:rPr>
        <w:t xml:space="preserve"> </w:t>
      </w:r>
      <w:r w:rsidRPr="0000338C">
        <w:rPr>
          <w:bCs/>
          <w:iCs/>
          <w:smallCaps/>
          <w:sz w:val="16"/>
        </w:rPr>
        <w:t xml:space="preserve">to be anticipated </w:t>
      </w:r>
      <w:r w:rsidRPr="00355D74">
        <w:rPr>
          <w:rStyle w:val="underline"/>
          <w:smallCaps/>
          <w:highlight w:val="yellow"/>
        </w:rPr>
        <w:t>militate against</w:t>
      </w:r>
      <w:r w:rsidRPr="0000338C">
        <w:rPr>
          <w:rStyle w:val="underline"/>
          <w:smallCaps/>
        </w:rPr>
        <w:t xml:space="preserve"> reasoning so conclusively that they generate </w:t>
      </w:r>
      <w:r w:rsidRPr="00355D74">
        <w:rPr>
          <w:rStyle w:val="underline"/>
          <w:smallCaps/>
          <w:highlight w:val="yellow"/>
        </w:rPr>
        <w:t>an imperative</w:t>
      </w:r>
      <w:r w:rsidRPr="0000338C">
        <w:rPr>
          <w:rStyle w:val="underline"/>
          <w:smallCaps/>
        </w:rPr>
        <w:t xml:space="preserve"> to institute a specific policy. </w:t>
      </w:r>
      <w:r w:rsidRPr="0000338C">
        <w:rPr>
          <w:bCs/>
          <w:iCs/>
          <w:smallCaps/>
          <w:sz w:val="16"/>
        </w:rPr>
        <w:t xml:space="preserve">it is seldom the case that only one policy will meet the criteria of the public interest (1958, p. 12). it therefore follows that in a democracy, </w:t>
      </w:r>
      <w:r w:rsidRPr="00355D74">
        <w:rPr>
          <w:rStyle w:val="underline"/>
          <w:smallCaps/>
          <w:highlight w:val="yellow"/>
        </w:rPr>
        <w:t>policymakers</w:t>
      </w:r>
      <w:r w:rsidRPr="0000338C">
        <w:rPr>
          <w:rStyle w:val="underline"/>
          <w:smallCaps/>
        </w:rPr>
        <w:t xml:space="preserve"> have an ethical duty to establish a plausible link between policy alternatives and the problems they address</w:t>
      </w:r>
      <w:r w:rsidRPr="0000338C">
        <w:rPr>
          <w:bCs/>
          <w:iCs/>
          <w:smallCaps/>
          <w:sz w:val="16"/>
        </w:rPr>
        <w:t xml:space="preserve">, and the public must be reasonably assured that a policy will actually do something about an existing problem; </w:t>
      </w:r>
      <w:r w:rsidRPr="0000338C">
        <w:rPr>
          <w:rStyle w:val="underline"/>
          <w:smallCaps/>
        </w:rPr>
        <w:t xml:space="preserve">this </w:t>
      </w:r>
      <w:r w:rsidRPr="00355D74">
        <w:rPr>
          <w:rStyle w:val="underline"/>
          <w:smallCaps/>
          <w:highlight w:val="yellow"/>
        </w:rPr>
        <w:t>require</w:t>
      </w:r>
      <w:r w:rsidRPr="0000338C">
        <w:rPr>
          <w:rStyle w:val="underline"/>
          <w:smallCaps/>
        </w:rPr>
        <w:t xml:space="preserve">s </w:t>
      </w:r>
      <w:r w:rsidRPr="0000338C">
        <w:rPr>
          <w:bCs/>
          <w:iCs/>
          <w:smallCaps/>
          <w:sz w:val="16"/>
        </w:rPr>
        <w:t xml:space="preserve">the means-end language and methodology of </w:t>
      </w:r>
      <w:r w:rsidRPr="00355D74">
        <w:rPr>
          <w:rStyle w:val="underline"/>
          <w:smallCaps/>
          <w:highlight w:val="yellow"/>
        </w:rPr>
        <w:t>utilitarian ethics.</w:t>
      </w:r>
      <w:r w:rsidRPr="0000338C">
        <w:rPr>
          <w:rStyle w:val="underline"/>
          <w:smallCaps/>
        </w:rPr>
        <w:t xml:space="preserve"> good intentions, lofty rhetoric, and moral piety are </w:t>
      </w:r>
      <w:r w:rsidRPr="0000338C">
        <w:rPr>
          <w:bCs/>
          <w:iCs/>
          <w:smallCaps/>
          <w:sz w:val="16"/>
        </w:rPr>
        <w:t xml:space="preserve">an </w:t>
      </w:r>
      <w:r w:rsidRPr="0000338C">
        <w:rPr>
          <w:rStyle w:val="underline"/>
          <w:smallCaps/>
        </w:rPr>
        <w:t>insufficient</w:t>
      </w:r>
      <w:r w:rsidRPr="0000338C">
        <w:rPr>
          <w:bCs/>
          <w:iCs/>
          <w:smallCaps/>
          <w:sz w:val="16"/>
        </w:rPr>
        <w:t>, though perhaps at times a necessary, basis for public policy in a democracy.</w:t>
      </w:r>
    </w:p>
    <w:p w14:paraId="31CF15CE" w14:textId="77777777" w:rsidR="001A4248" w:rsidRDefault="001A4248" w:rsidP="001A4248">
      <w:pPr>
        <w:pStyle w:val="Heading2"/>
      </w:pPr>
      <w:r>
        <w:t>Cause and Effect</w:t>
      </w:r>
    </w:p>
    <w:p w14:paraId="02B406ED" w14:textId="77777777" w:rsidR="001A4248" w:rsidRPr="003C2C89" w:rsidRDefault="001A4248" w:rsidP="001A4248"/>
    <w:p w14:paraId="4F7A6D24" w14:textId="77777777" w:rsidR="001A4248" w:rsidRDefault="001A4248" w:rsidP="001A4248">
      <w:pPr>
        <w:pStyle w:val="Heading2"/>
      </w:pPr>
      <w:r>
        <w:t>Healthcare</w:t>
      </w:r>
    </w:p>
    <w:p w14:paraId="26B9DD04" w14:textId="77777777" w:rsidR="001A4248" w:rsidRPr="00B00314" w:rsidRDefault="001A4248" w:rsidP="001A4248">
      <w:pPr>
        <w:pStyle w:val="Heading3"/>
      </w:pPr>
      <w:r>
        <w:t xml:space="preserve">2ac – framework </w:t>
      </w:r>
    </w:p>
    <w:p w14:paraId="61E55569" w14:textId="77777777" w:rsidR="001A4248" w:rsidRPr="00B37A55" w:rsidRDefault="001A4248" w:rsidP="001A4248">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360A85F8" w14:textId="77777777" w:rsidR="001A4248" w:rsidRPr="007E27A6" w:rsidRDefault="001A4248" w:rsidP="001A4248">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Everybody .” Dissent, vol. 48, no. 4, 2001., C.C. Preston &lt;3)//NRG *edits for ableist language denoted by [brackets]</w:t>
      </w:r>
    </w:p>
    <w:p w14:paraId="4CC2595A" w14:textId="77777777" w:rsidR="001A4248" w:rsidRPr="004A77AC" w:rsidRDefault="001A4248" w:rsidP="001A4248">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Reaganism's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be;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What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Working Class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So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grassroots-based.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activism in the 1960s. They mobilized activists at the local level around issue-based campaigns that challenged the prevailing axes of incrementalist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creating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noninstrumental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on the basis of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3CA785BF" w14:textId="77777777" w:rsidR="001A4248" w:rsidRDefault="001A4248" w:rsidP="001A4248">
      <w:pPr>
        <w:pStyle w:val="Heading3"/>
      </w:pPr>
      <w:r>
        <w:t>2ac – NP reps</w:t>
      </w:r>
    </w:p>
    <w:p w14:paraId="01C2CCC7" w14:textId="77777777" w:rsidR="001A4248" w:rsidRPr="00291099" w:rsidRDefault="001A4248" w:rsidP="001A4248">
      <w:pPr>
        <w:pStyle w:val="Heading4"/>
      </w:pPr>
      <w:r>
        <w:t>Their “reps” links are AMA agitprop – NPs are not analogous to big pharma or militarized medicine, but associating them with such structures spills over to medical realities!!</w:t>
      </w:r>
    </w:p>
    <w:p w14:paraId="2936A059" w14:textId="77777777" w:rsidR="001A4248" w:rsidRDefault="001A4248" w:rsidP="001A4248">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2FB236B3" w14:textId="77777777" w:rsidR="001A4248" w:rsidRPr="00291099" w:rsidRDefault="001A4248" w:rsidP="001A4248">
      <w:pPr>
        <w:rPr>
          <w:sz w:val="16"/>
        </w:rPr>
      </w:pPr>
      <w:r w:rsidRPr="00291099">
        <w:rPr>
          <w:sz w:val="16"/>
        </w:rPr>
        <w:t xml:space="preserve">The model of deprofessionalization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(Helmore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62E93CA1" w14:textId="77777777" w:rsidR="001A4248" w:rsidRPr="00291099" w:rsidRDefault="001A4248" w:rsidP="001A4248">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28C7D0E5" w14:textId="77777777" w:rsidR="001A4248" w:rsidRPr="00291099" w:rsidRDefault="001A4248" w:rsidP="001A4248">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14A5A3F5" w14:textId="77777777" w:rsidR="001A4248" w:rsidRPr="00291099" w:rsidRDefault="001A4248" w:rsidP="001A4248">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A history of moral arguments made by subordinate professions may therefore be a valuable asset for new entrants seeking to legitimize their innovation.</w:t>
      </w:r>
    </w:p>
    <w:p w14:paraId="318F9B69" w14:textId="77777777" w:rsidR="001A4248" w:rsidRPr="00291099" w:rsidRDefault="001A4248" w:rsidP="001A4248">
      <w:pPr>
        <w:rPr>
          <w:sz w:val="10"/>
          <w:szCs w:val="10"/>
        </w:rPr>
      </w:pPr>
      <w:r w:rsidRPr="00291099">
        <w:rPr>
          <w:sz w:val="10"/>
          <w:szCs w:val="10"/>
        </w:rPr>
        <w:t>Generalizability and Future Research</w:t>
      </w:r>
    </w:p>
    <w:p w14:paraId="6D49E7D4" w14:textId="77777777" w:rsidR="001A4248" w:rsidRDefault="001A4248" w:rsidP="001A4248">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474FA44E" w14:textId="77777777" w:rsidR="001A4248" w:rsidRPr="00B942F0" w:rsidRDefault="001A4248" w:rsidP="001A4248">
      <w:pPr>
        <w:pStyle w:val="Heading4"/>
      </w:pPr>
      <w:r>
        <w:t xml:space="preserve">Our reps are key to the </w:t>
      </w:r>
      <w:r>
        <w:rPr>
          <w:u w:val="single"/>
        </w:rPr>
        <w:t>entire case</w:t>
      </w:r>
      <w:r>
        <w:t xml:space="preserve"> – we win under their framework</w:t>
      </w:r>
    </w:p>
    <w:p w14:paraId="555F1A94" w14:textId="77777777" w:rsidR="001A4248" w:rsidRDefault="001A4248" w:rsidP="001A4248">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3C8B7C3A" w14:textId="77777777" w:rsidR="001A4248" w:rsidRPr="006B7400" w:rsidRDefault="001A4248" w:rsidP="001A4248">
      <w:pPr>
        <w:rPr>
          <w:sz w:val="16"/>
        </w:rPr>
      </w:pPr>
      <w:r w:rsidRPr="006B7400">
        <w:rPr>
          <w:sz w:val="16"/>
        </w:rPr>
        <w:t xml:space="preserve">Tensions in </w:t>
      </w:r>
      <w:r w:rsidRPr="004920CE">
        <w:rPr>
          <w:rStyle w:val="StyleUnderline"/>
        </w:rPr>
        <w:t xml:space="preserve">Interprofessional Settlements and </w:t>
      </w:r>
      <w:r w:rsidRPr="00291099">
        <w:rPr>
          <w:rStyle w:val="StyleUnderline"/>
          <w:highlight w:val="green"/>
        </w:rPr>
        <w:t>Mutability of Jurisdictions</w:t>
      </w:r>
    </w:p>
    <w:p w14:paraId="4E299C74" w14:textId="77777777" w:rsidR="001A4248" w:rsidRPr="004920CE" w:rsidRDefault="001A4248" w:rsidP="001A4248">
      <w:pPr>
        <w:rPr>
          <w:rStyle w:val="StyleUnderline"/>
        </w:rPr>
      </w:pPr>
      <w:r w:rsidRPr="006B7400">
        <w:rPr>
          <w:sz w:val="16"/>
        </w:rPr>
        <w:t xml:space="preserve">Many </w:t>
      </w:r>
      <w:r w:rsidRPr="004920CE">
        <w:rPr>
          <w:rStyle w:val="StyleUnderline"/>
        </w:rPr>
        <w:t xml:space="preserve">professional jurisdictions </w:t>
      </w:r>
      <w:r w:rsidRPr="00291099">
        <w:rPr>
          <w:rStyle w:val="StyleUnderline"/>
          <w:highlight w:val="green"/>
        </w:rPr>
        <w:t>are not monolithic</w:t>
      </w:r>
      <w:r w:rsidRPr="004920CE">
        <w:rPr>
          <w:rStyle w:val="StyleUnderline"/>
        </w:rPr>
        <w:t xml:space="preserve"> but are </w:t>
      </w:r>
      <w:r w:rsidRPr="00291099">
        <w:rPr>
          <w:rStyle w:val="StyleUnderline"/>
          <w:highlight w:val="green"/>
        </w:rPr>
        <w:t>organized by</w:t>
      </w:r>
      <w:r w:rsidRPr="004920CE">
        <w:rPr>
          <w:rStyle w:val="StyleUnderline"/>
        </w:rPr>
        <w:t xml:space="preserve"> uneasy truces, or </w:t>
      </w:r>
      <w:r w:rsidRPr="00291099">
        <w:rPr>
          <w:rStyle w:val="StyleUnderline"/>
          <w:highlight w:val="green"/>
        </w:rPr>
        <w:t>settlements, between</w:t>
      </w:r>
      <w:r w:rsidRPr="004920CE">
        <w:rPr>
          <w:rStyle w:val="StyleUnderline"/>
        </w:rPr>
        <w:t xml:space="preserve"> two or more professions with </w:t>
      </w:r>
      <w:r w:rsidRPr="00291099">
        <w:rPr>
          <w:rStyle w:val="StyleUnderline"/>
          <w:highlight w:val="green"/>
        </w:rPr>
        <w:t>overlapping claims of</w:t>
      </w:r>
      <w:r w:rsidRPr="004920CE">
        <w:rPr>
          <w:rStyle w:val="StyleUnderline"/>
        </w:rPr>
        <w:t xml:space="preserve"> control over </w:t>
      </w:r>
      <w:r w:rsidRPr="00291099">
        <w:rPr>
          <w:rStyle w:val="StyleUnderline"/>
          <w:highlight w:val="green"/>
        </w:rPr>
        <w:t>work</w:t>
      </w:r>
      <w:r w:rsidRPr="006B7400">
        <w:rPr>
          <w:sz w:val="16"/>
        </w:rPr>
        <w:t xml:space="preserve"> (Abbott 1988, pp. 71–77 and 139). Such settlements are rife with tensions that reduce any one profession’s control over expert work. For instance, in subordination settlements, where work is performed by a hierarchy of professions, the ownership of tasks is often contested. Some strategic ambiguity about which professional performs what task is inherent in such settlements and often results in conflicting claims over work (Barley 1986, Nelsen and Barley 1997, Huising 2015). Subordinate professionals become accustomed to performing some of the superordinate professionals’ tasks delegated for efficiency reasons (e.g., paralegals drafting contracts that lawyers then edit and present to clients) or because superordinate professionals deem the tasks low status and “hive off” such work to subordinate professionals to preserve their own status (Hughes 1958, p. 135; Abbott 1988, pp. 65–68; Nelsen and Barley 1997, p. 621). At a critical point, </w:t>
      </w:r>
      <w:r w:rsidRPr="00291099">
        <w:rPr>
          <w:rStyle w:val="StyleUnderline"/>
          <w:highlight w:val="green"/>
        </w:rPr>
        <w:t>subordinate professionals</w:t>
      </w:r>
      <w:r w:rsidRPr="004920CE">
        <w:rPr>
          <w:rStyle w:val="StyleUnderline"/>
        </w:rPr>
        <w:t xml:space="preserve"> may formally claim control over the assimilated tasks and thus </w:t>
      </w:r>
      <w:r w:rsidRPr="00291099">
        <w:rPr>
          <w:rStyle w:val="Emphasis"/>
          <w:highlight w:val="green"/>
        </w:rPr>
        <w:t>upset the settlement</w:t>
      </w:r>
      <w:r w:rsidRPr="004920CE">
        <w:rPr>
          <w:rStyle w:val="StyleUnderline"/>
        </w:rPr>
        <w:t>.</w:t>
      </w:r>
    </w:p>
    <w:p w14:paraId="2D63F0BF" w14:textId="77777777" w:rsidR="001A4248" w:rsidRPr="004920CE" w:rsidRDefault="001A4248" w:rsidP="001A4248">
      <w:pPr>
        <w:rPr>
          <w:rStyle w:val="StyleUnderline"/>
        </w:rPr>
      </w:pPr>
      <w:r w:rsidRPr="006B7400">
        <w:rPr>
          <w:sz w:val="16"/>
        </w:rPr>
        <w:t xml:space="preserve">In the United States, a commonly studied example of a subordination settlement rife with competitive tensions is the </w:t>
      </w:r>
      <w:r w:rsidRPr="00291099">
        <w:rPr>
          <w:rStyle w:val="StyleUnderline"/>
          <w:highlight w:val="green"/>
        </w:rPr>
        <w:t>division</w:t>
      </w:r>
      <w:r w:rsidRPr="004920CE">
        <w:rPr>
          <w:rStyle w:val="StyleUnderline"/>
        </w:rPr>
        <w:t xml:space="preserve"> of medical labor </w:t>
      </w:r>
      <w:r w:rsidRPr="00291099">
        <w:rPr>
          <w:rStyle w:val="StyleUnderline"/>
          <w:highlight w:val="green"/>
        </w:rPr>
        <w:t xml:space="preserve">between </w:t>
      </w:r>
      <w:r w:rsidRPr="00291099">
        <w:rPr>
          <w:rStyle w:val="Emphasis"/>
          <w:highlight w:val="green"/>
        </w:rPr>
        <w:t>doctors</w:t>
      </w:r>
      <w:r w:rsidRPr="00291099">
        <w:rPr>
          <w:rStyle w:val="StyleUnderline"/>
          <w:highlight w:val="green"/>
        </w:rPr>
        <w:t xml:space="preserve"> and </w:t>
      </w:r>
      <w:r w:rsidRPr="00291099">
        <w:rPr>
          <w:rStyle w:val="Emphasis"/>
          <w:highlight w:val="green"/>
        </w:rPr>
        <w:t>nurses</w:t>
      </w:r>
      <w:r w:rsidRPr="00291099">
        <w:rPr>
          <w:sz w:val="16"/>
        </w:rPr>
        <w:t xml:space="preserve">. </w:t>
      </w:r>
      <w:r w:rsidRPr="00291099">
        <w:rPr>
          <w:rStyle w:val="StyleUnderline"/>
        </w:rPr>
        <w:t xml:space="preserve">Worksite task assimilation by nurses </w:t>
      </w:r>
      <w:r w:rsidRPr="00291099">
        <w:rPr>
          <w:rStyle w:val="StyleUnderline"/>
          <w:highlight w:val="green"/>
        </w:rPr>
        <w:t>resulted in</w:t>
      </w:r>
      <w:r w:rsidRPr="00291099">
        <w:rPr>
          <w:rStyle w:val="StyleUnderline"/>
        </w:rPr>
        <w:t xml:space="preserve"> their encroachment on the physician jurisdiction and enabled </w:t>
      </w:r>
      <w:r w:rsidRPr="00291099">
        <w:rPr>
          <w:rStyle w:val="StyleUnderline"/>
          <w:highlight w:val="green"/>
        </w:rPr>
        <w:t xml:space="preserve">the rise of </w:t>
      </w:r>
      <w:r w:rsidRPr="00291099">
        <w:rPr>
          <w:rStyle w:val="Emphasis"/>
          <w:highlight w:val="green"/>
        </w:rPr>
        <w:t>NPs</w:t>
      </w:r>
      <w:r w:rsidRPr="006B7400">
        <w:rPr>
          <w:sz w:val="16"/>
        </w:rPr>
        <w:t xml:space="preserve">—nurses with advanced practice rights. Over the last few decades, </w:t>
      </w:r>
      <w:r w:rsidRPr="004920CE">
        <w:rPr>
          <w:rStyle w:val="StyleUnderline"/>
        </w:rPr>
        <w:t>in many states, NPs have won legal autonomy to practice, rights to prescribe drugs, and authority to get reimbursed by health insurers as primary care provider</w:t>
      </w:r>
      <w:r w:rsidRPr="006B7400">
        <w:rPr>
          <w:sz w:val="16"/>
        </w:rPr>
        <w:t xml:space="preserve">s (Cooper et al. 1998, Cooper 2001, Nancarrow and Borthwick 2005, Perry 2009). To be sure, </w:t>
      </w:r>
      <w:r w:rsidRPr="004920CE">
        <w:rPr>
          <w:rStyle w:val="StyleUnderline"/>
        </w:rPr>
        <w:t xml:space="preserve">finalizing a renegotiation of settlement terms is challenging. Many of the nurses’ </w:t>
      </w:r>
      <w:r w:rsidRPr="00291099">
        <w:rPr>
          <w:rStyle w:val="Emphasis"/>
          <w:highlight w:val="green"/>
        </w:rPr>
        <w:t>jurisdictional advancements are still tentative</w:t>
      </w:r>
      <w:r w:rsidRPr="006B7400">
        <w:rPr>
          <w:sz w:val="16"/>
        </w:rPr>
        <w:t xml:space="preserve"> (Institute of Medicine 2011), in part </w:t>
      </w:r>
      <w:r w:rsidRPr="00291099">
        <w:rPr>
          <w:rStyle w:val="StyleUnderline"/>
          <w:highlight w:val="green"/>
        </w:rPr>
        <w:t xml:space="preserve">because of </w:t>
      </w:r>
      <w:r w:rsidRPr="00291099">
        <w:rPr>
          <w:rStyle w:val="StyleUnderline"/>
        </w:rPr>
        <w:t xml:space="preserve">the </w:t>
      </w:r>
      <w:r w:rsidRPr="00291099">
        <w:rPr>
          <w:rStyle w:val="StyleUnderline"/>
          <w:highlight w:val="green"/>
        </w:rPr>
        <w:t>resistance from physicians</w:t>
      </w:r>
      <w:r w:rsidRPr="006B7400">
        <w:rPr>
          <w:sz w:val="16"/>
        </w:rPr>
        <w:t xml:space="preserve">, who stand to lose monopoly rents and professional status by relinquishing jurisdictional control (Perry 2009, Kleiner et al. 2016). Therefore, </w:t>
      </w:r>
      <w:r w:rsidRPr="004920CE">
        <w:rPr>
          <w:rStyle w:val="StyleUnderline"/>
        </w:rPr>
        <w:t xml:space="preserve">although the expansion of NPs’ legal scope of license allowed them to begin competing with physicians as providers of primary care services in many states, the relative lack of organizational, political, and cultural resources vis-a-vis ` physicians has been </w:t>
      </w:r>
      <w:r w:rsidRPr="00291099">
        <w:rPr>
          <w:rStyle w:val="Emphasis"/>
          <w:highlight w:val="green"/>
        </w:rPr>
        <w:t>stalling NPs’ progress</w:t>
      </w:r>
      <w:r w:rsidRPr="00291099">
        <w:rPr>
          <w:rStyle w:val="StyleUnderline"/>
          <w:highlight w:val="green"/>
        </w:rPr>
        <w:t xml:space="preserve"> toward becoming</w:t>
      </w:r>
      <w:r w:rsidRPr="004920CE">
        <w:rPr>
          <w:rStyle w:val="StyleUnderline"/>
        </w:rPr>
        <w:t xml:space="preserve"> fully </w:t>
      </w:r>
      <w:r w:rsidRPr="00291099">
        <w:rPr>
          <w:rStyle w:val="StyleUnderline"/>
          <w:highlight w:val="green"/>
        </w:rPr>
        <w:t>independent</w:t>
      </w:r>
      <w:r w:rsidRPr="004920CE">
        <w:rPr>
          <w:rStyle w:val="StyleUnderline"/>
        </w:rPr>
        <w:t xml:space="preserve"> medical </w:t>
      </w:r>
      <w:r w:rsidRPr="00291099">
        <w:rPr>
          <w:rStyle w:val="StyleUnderline"/>
          <w:highlight w:val="green"/>
        </w:rPr>
        <w:t>practitioners</w:t>
      </w:r>
      <w:r w:rsidRPr="004920CE">
        <w:rPr>
          <w:rStyle w:val="StyleUnderline"/>
        </w:rPr>
        <w:t>.</w:t>
      </w:r>
    </w:p>
    <w:p w14:paraId="6E17AAB9" w14:textId="77777777" w:rsidR="001A4248" w:rsidRPr="006B7400" w:rsidRDefault="001A4248" w:rsidP="001A4248">
      <w:pPr>
        <w:rPr>
          <w:sz w:val="10"/>
          <w:szCs w:val="10"/>
        </w:rPr>
      </w:pPr>
      <w:r w:rsidRPr="006B7400">
        <w:rPr>
          <w:sz w:val="10"/>
          <w:szCs w:val="10"/>
        </w:rPr>
        <w:t>As I show next, such tensions and the imbalance between claimed rights and their effective use may allow innovative firms that otherwise have no professional authority to overcome barriers to participation in professional work, enter a professional jurisdiction, and capture some of the associated rents. The firms can do so by co-opting subordinate professionals, using their licenses to ensure the legality of the performance of expert tasks and their profession’s jurisdictional claims to assert the safety and the moral acceptability of the innovation.</w:t>
      </w:r>
    </w:p>
    <w:p w14:paraId="1CFD6528" w14:textId="77777777" w:rsidR="001A4248" w:rsidRPr="006B7400" w:rsidRDefault="001A4248" w:rsidP="001A4248">
      <w:pPr>
        <w:rPr>
          <w:sz w:val="10"/>
          <w:szCs w:val="10"/>
        </w:rPr>
      </w:pPr>
      <w:r w:rsidRPr="006B7400">
        <w:rPr>
          <w:sz w:val="10"/>
          <w:szCs w:val="10"/>
        </w:rPr>
        <w:t xml:space="preserve">Methods </w:t>
      </w:r>
    </w:p>
    <w:p w14:paraId="401E8360" w14:textId="77777777" w:rsidR="001A4248" w:rsidRPr="006B7400" w:rsidRDefault="001A4248" w:rsidP="001A4248">
      <w:pPr>
        <w:rPr>
          <w:sz w:val="10"/>
          <w:szCs w:val="10"/>
        </w:rPr>
      </w:pPr>
      <w:r w:rsidRPr="006B7400">
        <w:rPr>
          <w:sz w:val="10"/>
          <w:szCs w:val="10"/>
        </w:rPr>
        <w:t xml:space="preserve">Research Setting </w:t>
      </w:r>
    </w:p>
    <w:p w14:paraId="6DA2DD87" w14:textId="77777777" w:rsidR="001A4248" w:rsidRPr="006B7400" w:rsidRDefault="001A4248" w:rsidP="001A4248">
      <w:pPr>
        <w:rPr>
          <w:sz w:val="16"/>
        </w:rPr>
      </w:pPr>
      <w:r w:rsidRPr="006B7400">
        <w:rPr>
          <w:sz w:val="16"/>
        </w:rPr>
        <w:t xml:space="preserve">To explicate a process of innovation-driven deprofessionalization, I analyze the case of the retail health clinics industry, which disrupted the jurisdiction of the medical profession in the U.S. primary healthcare market. Some long-standing inefficiencies in U.S. healthcare (Garber and Skinner 2008) point to the medical profession’s jurisdictional power (Svorny 2004) and make healthcare services a suitable setting to investigate the ability of outsiders to contest a profession’s control over expert tasks. The profession’s control over the supply of licensed practitioners and its resistance to the jurisdictional growth of subordinate professions such as nursing contribute to poor access to primary care (Laurant et al. 2005, Nancarrow and Borthwick 2005, Bodenheimer and Pham 2010). </w:t>
      </w:r>
      <w:r w:rsidRPr="00291099">
        <w:rPr>
          <w:rStyle w:val="StyleUnderline"/>
          <w:highlight w:val="green"/>
        </w:rPr>
        <w:t>Resistance to external control over medical work</w:t>
      </w:r>
      <w:r w:rsidRPr="00D564A7">
        <w:rPr>
          <w:rStyle w:val="StyleUnderline"/>
        </w:rPr>
        <w:t xml:space="preserve">, such as the use of standardized protocols or direct employment of physicians by hospitals, </w:t>
      </w:r>
      <w:r w:rsidRPr="00291099">
        <w:rPr>
          <w:rStyle w:val="StyleUnderline"/>
          <w:highlight w:val="green"/>
        </w:rPr>
        <w:t>contributes to fragmentation, rising costs, and inconsistent quality of care</w:t>
      </w:r>
      <w:r w:rsidRPr="006B7400">
        <w:rPr>
          <w:sz w:val="16"/>
        </w:rPr>
        <w:t xml:space="preserve"> (Rebitzer and Votruba 2011). Medicine’s cultural authority sets the terms of jurisdictional settlements between physicians and other healthcare professionals that govern the division of tasks in organizations and the flows of revenues in the field (Ferlie et al. 2005, Currie et al. 2012).</w:t>
      </w:r>
    </w:p>
    <w:p w14:paraId="1C197437" w14:textId="77777777" w:rsidR="001A4248" w:rsidRPr="006B7400" w:rsidRDefault="001A4248" w:rsidP="001A4248">
      <w:pPr>
        <w:rPr>
          <w:sz w:val="16"/>
        </w:rPr>
      </w:pPr>
      <w:r w:rsidRPr="00D564A7">
        <w:rPr>
          <w:rStyle w:val="StyleUnderline"/>
        </w:rPr>
        <w:t xml:space="preserve">Studying </w:t>
      </w:r>
      <w:r w:rsidRPr="00291099">
        <w:rPr>
          <w:rStyle w:val="Emphasis"/>
          <w:highlight w:val="green"/>
        </w:rPr>
        <w:t>deprofessionalizing innovation</w:t>
      </w:r>
      <w:r w:rsidRPr="00D564A7">
        <w:rPr>
          <w:rStyle w:val="StyleUnderline"/>
        </w:rPr>
        <w:t xml:space="preserve"> in a setting with a strong professional incumbent, such as the medical profession</w:t>
      </w:r>
      <w:r w:rsidRPr="00291099">
        <w:rPr>
          <w:rStyle w:val="StyleUnderline"/>
        </w:rPr>
        <w:t>,</w:t>
      </w:r>
      <w:r w:rsidRPr="00D564A7">
        <w:rPr>
          <w:rStyle w:val="StyleUnderline"/>
        </w:rPr>
        <w:t xml:space="preserve"> </w:t>
      </w:r>
      <w:r w:rsidRPr="00291099">
        <w:rPr>
          <w:rStyle w:val="StyleUnderline"/>
        </w:rPr>
        <w:t>exposes</w:t>
      </w:r>
      <w:r w:rsidRPr="00D564A7">
        <w:rPr>
          <w:rStyle w:val="StyleUnderline"/>
        </w:rPr>
        <w:t xml:space="preserve"> the challenges of </w:t>
      </w:r>
      <w:r w:rsidRPr="00291099">
        <w:rPr>
          <w:rStyle w:val="StyleUnderline"/>
        </w:rPr>
        <w:t>resistance</w:t>
      </w:r>
      <w:r w:rsidRPr="00D564A7">
        <w:rPr>
          <w:rStyle w:val="StyleUnderline"/>
        </w:rPr>
        <w:t xml:space="preserve"> to the innovation </w:t>
      </w:r>
      <w:r w:rsidRPr="00291099">
        <w:rPr>
          <w:rStyle w:val="StyleUnderline"/>
        </w:rPr>
        <w:t xml:space="preserve">and </w:t>
      </w:r>
      <w:r w:rsidRPr="00291099">
        <w:rPr>
          <w:rStyle w:val="StyleUnderline"/>
          <w:highlight w:val="green"/>
        </w:rPr>
        <w:t xml:space="preserve">the process of </w:t>
      </w:r>
      <w:r w:rsidRPr="00291099">
        <w:rPr>
          <w:rStyle w:val="Emphasis"/>
          <w:highlight w:val="green"/>
        </w:rPr>
        <w:t>overcoming</w:t>
      </w:r>
      <w:r w:rsidRPr="00D564A7">
        <w:rPr>
          <w:rStyle w:val="StyleUnderline"/>
        </w:rPr>
        <w:t xml:space="preserve"> that </w:t>
      </w:r>
      <w:r w:rsidRPr="00291099">
        <w:rPr>
          <w:rStyle w:val="Emphasis"/>
          <w:highlight w:val="green"/>
        </w:rPr>
        <w:t>resistance</w:t>
      </w:r>
      <w:r w:rsidRPr="00D564A7">
        <w:rPr>
          <w:rStyle w:val="StyleUnderline"/>
        </w:rPr>
        <w:t>.</w:t>
      </w:r>
      <w:r w:rsidRPr="006B7400">
        <w:rPr>
          <w:sz w:val="16"/>
        </w:rPr>
        <w:t xml:space="preserve"> The jurisdictional disruption began when the first retail clinic chain in the United States appeared in Minnesota grocery stores in 2000 under the brand name QuickMedx (rebranded as MinuteClinic in 2002). By 2006, the two largest retail clinic companies—MinuteClinic and TakeCare Health—were acquired by the large retailers CVS and Walgreens, respectively. The subsequent period had the most rapid growth of the retail clinic industry fueled by access to capital provided by the retailers: the industry increased from about 200 clinics in 2006 to over 1,200 by 2009. The industry experienced the strongest resistance from the medical profession during those years, as I show below.</w:t>
      </w:r>
    </w:p>
    <w:p w14:paraId="178C1250" w14:textId="77777777" w:rsidR="001A4248" w:rsidRPr="006B7400" w:rsidRDefault="001A4248" w:rsidP="001A4248">
      <w:pPr>
        <w:rPr>
          <w:sz w:val="10"/>
          <w:szCs w:val="10"/>
        </w:rPr>
      </w:pPr>
      <w:r w:rsidRPr="006B7400">
        <w:rPr>
          <w:sz w:val="10"/>
          <w:szCs w:val="10"/>
        </w:rPr>
        <w:t>The industry overcame the profession’s resistance in the third phase, which started around 2009, and by 2015, the retail clinics industry expanded to over 1,500 establishments receiving over 10 million patient visits annually (Bachrach et al. 2015). Retailers assumed full control over the major retail clinic chains and began systematic efforts to integrate with the primary care field. As Figure 1 shows, for example, having secured strong support from the medical insurers, MinuteClinic, the market leader in the industry, began rapid accumulation of contracts and affiliations with large metropolitan and regional hospital systems during that phase.</w:t>
      </w:r>
    </w:p>
    <w:p w14:paraId="73A7409B" w14:textId="77777777" w:rsidR="001A4248" w:rsidRPr="006B7400" w:rsidRDefault="001A4248" w:rsidP="001A4248">
      <w:pPr>
        <w:rPr>
          <w:sz w:val="16"/>
        </w:rPr>
      </w:pPr>
      <w:r w:rsidRPr="006B7400">
        <w:rPr>
          <w:sz w:val="16"/>
        </w:rPr>
        <w:t xml:space="preserve">The new organizational form of retail clinics was a disruptive innovation in the primary care industry not only because medical services were delivered in a retail store setting. </w:t>
      </w:r>
      <w:r w:rsidRPr="006858F9">
        <w:rPr>
          <w:rStyle w:val="StyleUnderline"/>
        </w:rPr>
        <w:t xml:space="preserve">Other core features of the </w:t>
      </w:r>
      <w:r w:rsidRPr="00291099">
        <w:rPr>
          <w:rStyle w:val="StyleUnderline"/>
          <w:highlight w:val="green"/>
        </w:rPr>
        <w:t xml:space="preserve">clinics were a departure from the </w:t>
      </w:r>
      <w:r w:rsidRPr="00291099">
        <w:rPr>
          <w:rStyle w:val="Emphasis"/>
          <w:highlight w:val="green"/>
        </w:rPr>
        <w:t>traditional model of primary care</w:t>
      </w:r>
      <w:r w:rsidRPr="006858F9">
        <w:rPr>
          <w:rStyle w:val="StyleUnderline"/>
        </w:rPr>
        <w:t xml:space="preserve"> delivery</w:t>
      </w:r>
      <w:r w:rsidRPr="006B7400">
        <w:rPr>
          <w:sz w:val="16"/>
        </w:rPr>
        <w:t xml:space="preserve"> at a physician’s office: the </w:t>
      </w:r>
      <w:r w:rsidRPr="006858F9">
        <w:rPr>
          <w:rStyle w:val="StyleUnderline"/>
        </w:rPr>
        <w:t xml:space="preserve">clinics were </w:t>
      </w:r>
      <w:r w:rsidRPr="00291099">
        <w:rPr>
          <w:rStyle w:val="StyleUnderline"/>
          <w:highlight w:val="green"/>
        </w:rPr>
        <w:t>open late and on weekends</w:t>
      </w:r>
      <w:r w:rsidRPr="00DD666A">
        <w:rPr>
          <w:rStyle w:val="StyleUnderline"/>
        </w:rPr>
        <w:t xml:space="preserve">, they required </w:t>
      </w:r>
      <w:r w:rsidRPr="00291099">
        <w:rPr>
          <w:rStyle w:val="StyleUnderline"/>
          <w:highlight w:val="green"/>
        </w:rPr>
        <w:t>no prior appointment</w:t>
      </w:r>
      <w:r w:rsidRPr="00DD666A">
        <w:rPr>
          <w:rStyle w:val="StyleUnderline"/>
        </w:rPr>
        <w:t xml:space="preserve">, and they did </w:t>
      </w:r>
      <w:r w:rsidRPr="00291099">
        <w:rPr>
          <w:rStyle w:val="StyleUnderline"/>
          <w:highlight w:val="green"/>
        </w:rPr>
        <w:t>not require</w:t>
      </w:r>
      <w:r w:rsidRPr="00DD666A">
        <w:rPr>
          <w:rStyle w:val="StyleUnderline"/>
        </w:rPr>
        <w:t xml:space="preserve"> medical </w:t>
      </w:r>
      <w:r w:rsidRPr="00291099">
        <w:rPr>
          <w:rStyle w:val="StyleUnderline"/>
          <w:highlight w:val="green"/>
        </w:rPr>
        <w:t>insurance</w:t>
      </w:r>
      <w:r w:rsidRPr="00DD666A">
        <w:rPr>
          <w:rStyle w:val="StyleUnderline"/>
        </w:rPr>
        <w:t>, charging instead a flat fee of $35 payable at the time of visit</w:t>
      </w:r>
      <w:r w:rsidRPr="006B7400">
        <w:rPr>
          <w:sz w:val="16"/>
        </w:rPr>
        <w:t>. Patient visits were intended to be brief, and the scope of services at the clinics was explicitly limited to quick tests and treatments of common minor illnesses, such as strep throat, ear infections, minor cuts and bites, skin rashes, pink eye, and seasonal allergies. The “menu” of services offered at the clinics and the exact fees associated with each service were often posted outside the clinic examination rooms.</w:t>
      </w:r>
    </w:p>
    <w:p w14:paraId="72666754" w14:textId="77777777" w:rsidR="001A4248" w:rsidRPr="00452340" w:rsidRDefault="001A4248" w:rsidP="001A4248">
      <w:pPr>
        <w:rPr>
          <w:rStyle w:val="StyleUnderline"/>
        </w:rPr>
      </w:pPr>
      <w:r w:rsidRPr="006B7400">
        <w:rPr>
          <w:sz w:val="16"/>
        </w:rPr>
        <w:t xml:space="preserve">Most important, the dominant organization of work in a retail clinic explicitly excluded physicians from performing primary care work—none of the large chains had a physician on site. Instead, </w:t>
      </w:r>
      <w:r w:rsidRPr="00DD666A">
        <w:rPr>
          <w:rStyle w:val="StyleUnderline"/>
        </w:rPr>
        <w:t xml:space="preserve">all services were performed by an NP (or, less often, a physician assistant) working autonomously </w:t>
      </w:r>
      <w:r w:rsidRPr="006B7400">
        <w:rPr>
          <w:sz w:val="16"/>
        </w:rPr>
        <w:t xml:space="preserve">in a small room and with minimal medical equipment. A software application based on standard protocols of care guided NPs through checking symptoms, administering tests, and writing prescriptions. </w:t>
      </w:r>
      <w:r w:rsidRPr="00452340">
        <w:rPr>
          <w:rStyle w:val="StyleUnderline"/>
        </w:rPr>
        <w:t>Although retail clinics began accepting insurance and increasing their scope of services</w:t>
      </w:r>
      <w:r w:rsidRPr="006B7400">
        <w:rPr>
          <w:sz w:val="16"/>
        </w:rPr>
        <w:t xml:space="preserve"> within a few years of their initial emergence, </w:t>
      </w:r>
      <w:r w:rsidRPr="00452340">
        <w:rPr>
          <w:rStyle w:val="StyleUnderline"/>
        </w:rPr>
        <w:t xml:space="preserve">the features of convenient location and scheduling, software-supported diagnosing and prescribing, and the </w:t>
      </w:r>
      <w:r w:rsidRPr="003959A7">
        <w:rPr>
          <w:rStyle w:val="StyleUnderline"/>
          <w:highlight w:val="green"/>
        </w:rPr>
        <w:t>absence of physicians</w:t>
      </w:r>
      <w:r w:rsidRPr="00452340">
        <w:rPr>
          <w:rStyle w:val="StyleUnderline"/>
        </w:rPr>
        <w:t xml:space="preserve"> on site </w:t>
      </w:r>
      <w:r w:rsidRPr="003959A7">
        <w:rPr>
          <w:rStyle w:val="StyleUnderline"/>
          <w:highlight w:val="green"/>
        </w:rPr>
        <w:t xml:space="preserve">remained at the core of the </w:t>
      </w:r>
      <w:r w:rsidRPr="003959A7">
        <w:rPr>
          <w:rStyle w:val="Emphasis"/>
          <w:highlight w:val="green"/>
        </w:rPr>
        <w:t>new organizational form</w:t>
      </w:r>
      <w:r w:rsidRPr="00452340">
        <w:rPr>
          <w:rStyle w:val="StyleUnderline"/>
        </w:rPr>
        <w:t xml:space="preserve">. </w:t>
      </w:r>
    </w:p>
    <w:p w14:paraId="5D96E671" w14:textId="77777777" w:rsidR="001A4248" w:rsidRDefault="001A4248" w:rsidP="001A4248">
      <w:pPr>
        <w:rPr>
          <w:sz w:val="16"/>
        </w:rPr>
      </w:pPr>
      <w:r w:rsidRPr="006B7400">
        <w:rPr>
          <w:sz w:val="16"/>
        </w:rPr>
        <w:t xml:space="preserve">Cutting out physicians from the revenues and control over work in primary care drew ire from the </w:t>
      </w:r>
      <w:r w:rsidRPr="003959A7">
        <w:rPr>
          <w:rStyle w:val="StyleUnderline"/>
          <w:highlight w:val="green"/>
        </w:rPr>
        <w:t>physician profession</w:t>
      </w:r>
      <w:r w:rsidRPr="006B7400">
        <w:rPr>
          <w:sz w:val="16"/>
        </w:rPr>
        <w:t xml:space="preserve">. The defensive strategies deployed by the profession </w:t>
      </w:r>
      <w:r w:rsidRPr="003959A7">
        <w:rPr>
          <w:rStyle w:val="StyleUnderline"/>
          <w:highlight w:val="green"/>
        </w:rPr>
        <w:t>sought to</w:t>
      </w:r>
      <w:r w:rsidRPr="00452340">
        <w:rPr>
          <w:rStyle w:val="StyleUnderline"/>
        </w:rPr>
        <w:t xml:space="preserve"> check the intrusion of retail clinics into the medical profession’s jurisdiction and </w:t>
      </w:r>
      <w:r w:rsidRPr="003959A7">
        <w:rPr>
          <w:rStyle w:val="StyleUnderline"/>
          <w:highlight w:val="green"/>
        </w:rPr>
        <w:t>stall the industry’s growth</w:t>
      </w:r>
      <w:r w:rsidRPr="006B7400">
        <w:rPr>
          <w:sz w:val="16"/>
        </w:rPr>
        <w:t xml:space="preserve">. These efforts were focused on the inherent lack of legitimacy of corporate participation in medical practice. However, as the analysis that I present here suggests, </w:t>
      </w:r>
      <w:r w:rsidRPr="00452340">
        <w:rPr>
          <w:rStyle w:val="StyleUnderline"/>
        </w:rPr>
        <w:t xml:space="preserve">retail </w:t>
      </w:r>
      <w:r w:rsidRPr="003959A7">
        <w:rPr>
          <w:rStyle w:val="StyleUnderline"/>
          <w:highlight w:val="green"/>
        </w:rPr>
        <w:t>clinics</w:t>
      </w:r>
      <w:r w:rsidRPr="00452340">
        <w:rPr>
          <w:rStyle w:val="StyleUnderline"/>
        </w:rPr>
        <w:t xml:space="preserve"> weathered the attacks on their legitimacy</w:t>
      </w:r>
      <w:r w:rsidRPr="006B7400">
        <w:rPr>
          <w:sz w:val="16"/>
        </w:rPr>
        <w:t xml:space="preserve"> and continued their foray into primary care by </w:t>
      </w:r>
      <w:r w:rsidRPr="003959A7">
        <w:rPr>
          <w:rStyle w:val="StyleUnderline"/>
          <w:highlight w:val="green"/>
        </w:rPr>
        <w:t xml:space="preserve">relying on </w:t>
      </w:r>
      <w:r w:rsidRPr="003959A7">
        <w:rPr>
          <w:rStyle w:val="Emphasis"/>
          <w:highlight w:val="green"/>
        </w:rPr>
        <w:t>NPs’ legal rights to practice autonomously</w:t>
      </w:r>
      <w:r w:rsidRPr="006B7400">
        <w:rPr>
          <w:sz w:val="16"/>
        </w:rPr>
        <w:t xml:space="preserve"> </w:t>
      </w:r>
      <w:r w:rsidRPr="00452340">
        <w:rPr>
          <w:rStyle w:val="StyleUnderline"/>
        </w:rPr>
        <w:t>and the nursing profession’s repertoire of arguments that NPs are well qualified, cost efficient, and morally necessitated providers of primary care</w:t>
      </w:r>
      <w:r w:rsidRPr="006B7400">
        <w:rPr>
          <w:sz w:val="16"/>
        </w:rPr>
        <w:t>. In the short 15 years from the inception of the organizational form, retail clinics established themselves as a legitimate place for convenient, corporate-controlled primary care; grew in number; expanded their scope of practice; and paved the way for one of the major retail store chains—CVS/Caremark—to eventually proclaim itself to be a healthcare company (Monllos 2016).</w:t>
      </w:r>
    </w:p>
    <w:p w14:paraId="011370AB" w14:textId="77777777" w:rsidR="001A4248" w:rsidRPr="00B942F0" w:rsidRDefault="001A4248" w:rsidP="001A4248">
      <w:pPr>
        <w:pStyle w:val="Heading4"/>
      </w:pPr>
      <w:r>
        <w:t xml:space="preserve">Reverse causal – </w:t>
      </w:r>
      <w:r>
        <w:rPr>
          <w:u w:val="single"/>
        </w:rPr>
        <w:t>their reps</w:t>
      </w:r>
      <w:r>
        <w:t xml:space="preserve"> cause </w:t>
      </w:r>
      <w:r w:rsidRPr="00B942F0">
        <w:t>more SOP restrictions</w:t>
      </w:r>
    </w:p>
    <w:p w14:paraId="61D60E03" w14:textId="77777777" w:rsidR="001A4248" w:rsidRDefault="001A4248" w:rsidP="001A4248">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6BE46447" w14:textId="77777777" w:rsidR="001A4248" w:rsidRPr="00280317" w:rsidRDefault="001A4248" w:rsidP="001A4248">
      <w:pPr>
        <w:rPr>
          <w:sz w:val="18"/>
          <w:szCs w:val="18"/>
        </w:rPr>
      </w:pPr>
      <w:r w:rsidRPr="00280317">
        <w:rPr>
          <w:sz w:val="18"/>
          <w:szCs w:val="18"/>
        </w:rPr>
        <w:t>Professional Jurisdictions and Contestation of Control Over Work</w:t>
      </w:r>
    </w:p>
    <w:p w14:paraId="33E7DF45" w14:textId="77777777" w:rsidR="001A4248" w:rsidRPr="00280317" w:rsidRDefault="001A4248" w:rsidP="001A4248">
      <w:pPr>
        <w:rPr>
          <w:sz w:val="16"/>
        </w:rPr>
      </w:pPr>
      <w:r w:rsidRPr="00280317">
        <w:rPr>
          <w:sz w:val="16"/>
        </w:rPr>
        <w:t xml:space="preserve">A </w:t>
      </w:r>
      <w:r w:rsidRPr="00BF5B1E">
        <w:rPr>
          <w:rStyle w:val="StyleUnderline"/>
        </w:rPr>
        <w:t xml:space="preserve">central premise in the professionalization literature is that </w:t>
      </w:r>
      <w:r w:rsidRPr="00280317">
        <w:rPr>
          <w:rStyle w:val="StyleUnderline"/>
          <w:highlight w:val="green"/>
        </w:rPr>
        <w:t>occupational groups seek</w:t>
      </w:r>
      <w:r w:rsidRPr="00BF5B1E">
        <w:rPr>
          <w:rStyle w:val="StyleUnderline"/>
        </w:rPr>
        <w:t xml:space="preserve"> to establish </w:t>
      </w:r>
      <w:r w:rsidRPr="00280317">
        <w:rPr>
          <w:rStyle w:val="StyleUnderline"/>
          <w:highlight w:val="green"/>
        </w:rPr>
        <w:t>exclusive control</w:t>
      </w:r>
      <w:r w:rsidRPr="00BF5B1E">
        <w:rPr>
          <w:rStyle w:val="StyleUnderline"/>
        </w:rPr>
        <w:t xml:space="preserve"> </w:t>
      </w:r>
      <w:r w:rsidRPr="00280317">
        <w:rPr>
          <w:rStyle w:val="StyleUnderline"/>
          <w:highlight w:val="green"/>
        </w:rPr>
        <w:t>over</w:t>
      </w:r>
      <w:r w:rsidRPr="00BF5B1E">
        <w:rPr>
          <w:rStyle w:val="StyleUnderline"/>
        </w:rPr>
        <w:t xml:space="preserve"> categories of </w:t>
      </w:r>
      <w:r w:rsidRPr="00280317">
        <w:rPr>
          <w:rStyle w:val="StyleUnderline"/>
          <w:highlight w:val="green"/>
        </w:rPr>
        <w:t xml:space="preserve">work to achieve </w:t>
      </w:r>
      <w:r w:rsidRPr="00280317">
        <w:rPr>
          <w:rStyle w:val="Emphasis"/>
          <w:highlight w:val="green"/>
        </w:rPr>
        <w:t>closure</w:t>
      </w:r>
      <w:r w:rsidRPr="00280317">
        <w:rPr>
          <w:sz w:val="16"/>
        </w:rPr>
        <w:t xml:space="preserve"> (Weeden 2002), elevate the status of their members (Wilensky 1964, Sandefur 2001), </w:t>
      </w:r>
      <w:r w:rsidRPr="00280317">
        <w:rPr>
          <w:rStyle w:val="StyleUnderline"/>
          <w:highlight w:val="green"/>
        </w:rPr>
        <w:t>and</w:t>
      </w:r>
      <w:r w:rsidRPr="00280317">
        <w:rPr>
          <w:sz w:val="16"/>
        </w:rPr>
        <w:t xml:space="preserve"> </w:t>
      </w:r>
      <w:r w:rsidRPr="00B109E7">
        <w:rPr>
          <w:rStyle w:val="StyleUnderline"/>
        </w:rPr>
        <w:t xml:space="preserve">receive </w:t>
      </w:r>
      <w:r w:rsidRPr="00280317">
        <w:rPr>
          <w:rStyle w:val="Emphasis"/>
          <w:highlight w:val="green"/>
        </w:rPr>
        <w:t>monopoly rents</w:t>
      </w:r>
      <w:r w:rsidRPr="00280317">
        <w:rPr>
          <w:sz w:val="16"/>
        </w:rPr>
        <w:t xml:space="preserve"> (Friedman 1962, Kleiner and Krueger 2010). Empirical research largely corroborates the effects of </w:t>
      </w:r>
      <w:r w:rsidRPr="00280317">
        <w:rPr>
          <w:rStyle w:val="Emphasis"/>
          <w:highlight w:val="green"/>
        </w:rPr>
        <w:t>professional monopoly</w:t>
      </w:r>
      <w:r w:rsidRPr="00280317">
        <w:rPr>
          <w:sz w:val="16"/>
        </w:rPr>
        <w:t xml:space="preserve">, especially </w:t>
      </w:r>
      <w:r w:rsidRPr="00280317">
        <w:rPr>
          <w:rStyle w:val="StyleUnderline"/>
          <w:highlight w:val="green"/>
        </w:rPr>
        <w:t>in</w:t>
      </w:r>
      <w:r w:rsidRPr="00280317">
        <w:rPr>
          <w:sz w:val="16"/>
        </w:rPr>
        <w:t xml:space="preserve"> fields such as </w:t>
      </w:r>
      <w:r w:rsidRPr="00280317">
        <w:rPr>
          <w:rStyle w:val="Emphasis"/>
          <w:highlight w:val="green"/>
        </w:rPr>
        <w:t>medicine</w:t>
      </w:r>
      <w:r w:rsidRPr="00280317">
        <w:rPr>
          <w:sz w:val="16"/>
        </w:rPr>
        <w:t xml:space="preserve">, where professions traditionally </w:t>
      </w:r>
      <w:r w:rsidRPr="00A229A3">
        <w:rPr>
          <w:rStyle w:val="StyleUnderline"/>
        </w:rPr>
        <w:t>exert strong jurisdictional control over work</w:t>
      </w:r>
      <w:r w:rsidRPr="00280317">
        <w:rPr>
          <w:sz w:val="16"/>
        </w:rPr>
        <w:t xml:space="preserve">. For example, </w:t>
      </w:r>
      <w:r w:rsidRPr="00A229A3">
        <w:rPr>
          <w:rStyle w:val="StyleUnderline"/>
        </w:rPr>
        <w:t>studies of licensure scope expansion of nurse practitioners</w:t>
      </w:r>
      <w:r w:rsidRPr="00280317">
        <w:rPr>
          <w:sz w:val="16"/>
        </w:rPr>
        <w:t xml:space="preserve"> (</w:t>
      </w:r>
      <w:r w:rsidRPr="00A229A3">
        <w:rPr>
          <w:rStyle w:val="StyleUnderline"/>
        </w:rPr>
        <w:t>NPs</w:t>
      </w:r>
      <w:r w:rsidRPr="00280317">
        <w:rPr>
          <w:sz w:val="16"/>
        </w:rPr>
        <w:t xml:space="preserve">; nurses with advanced degrees and qualifications) </w:t>
      </w:r>
      <w:r w:rsidRPr="00A229A3">
        <w:rPr>
          <w:rStyle w:val="StyleUnderline"/>
        </w:rPr>
        <w:t xml:space="preserve">show that as </w:t>
      </w:r>
      <w:r w:rsidRPr="00280317">
        <w:rPr>
          <w:rStyle w:val="Emphasis"/>
          <w:highlight w:val="green"/>
        </w:rPr>
        <w:t>NPs</w:t>
      </w:r>
      <w:r w:rsidRPr="00280317">
        <w:rPr>
          <w:rStyle w:val="StyleUnderline"/>
          <w:highlight w:val="green"/>
        </w:rPr>
        <w:t xml:space="preserve"> grew</w:t>
      </w:r>
      <w:r w:rsidRPr="00A229A3">
        <w:rPr>
          <w:rStyle w:val="StyleUnderline"/>
        </w:rPr>
        <w:t xml:space="preserve"> their legal </w:t>
      </w:r>
      <w:r w:rsidRPr="00280317">
        <w:rPr>
          <w:rStyle w:val="Emphasis"/>
          <w:highlight w:val="green"/>
        </w:rPr>
        <w:t>scope of practice</w:t>
      </w:r>
      <w:r w:rsidRPr="00A229A3">
        <w:rPr>
          <w:rStyle w:val="StyleUnderline"/>
        </w:rPr>
        <w:t xml:space="preserve"> to include some of the physicians’ tasks, </w:t>
      </w:r>
      <w:r w:rsidRPr="00280317">
        <w:rPr>
          <w:rStyle w:val="StyleUnderline"/>
          <w:highlight w:val="green"/>
        </w:rPr>
        <w:t>physicians’ salaries decreased</w:t>
      </w:r>
      <w:r w:rsidRPr="00A229A3">
        <w:rPr>
          <w:rStyle w:val="StyleUnderline"/>
        </w:rPr>
        <w:t xml:space="preserve"> along with the costs of some primary care services, </w:t>
      </w:r>
      <w:r w:rsidRPr="00280317">
        <w:rPr>
          <w:rStyle w:val="StyleUnderline"/>
          <w:highlight w:val="green"/>
        </w:rPr>
        <w:t>suggesting</w:t>
      </w:r>
      <w:r w:rsidRPr="00A229A3">
        <w:rPr>
          <w:rStyle w:val="StyleUnderline"/>
        </w:rPr>
        <w:t xml:space="preserve"> the presence of </w:t>
      </w:r>
      <w:r w:rsidRPr="00280317">
        <w:rPr>
          <w:rStyle w:val="StyleUnderline"/>
          <w:highlight w:val="green"/>
        </w:rPr>
        <w:t>monopoly</w:t>
      </w:r>
      <w:r w:rsidRPr="00A229A3">
        <w:rPr>
          <w:rStyle w:val="StyleUnderline"/>
        </w:rPr>
        <w:t xml:space="preserve"> rents</w:t>
      </w:r>
      <w:r w:rsidRPr="00280317">
        <w:rPr>
          <w:sz w:val="16"/>
        </w:rPr>
        <w:t xml:space="preserve"> (Perry 2009, Kleiner et al. 2016).</w:t>
      </w:r>
    </w:p>
    <w:p w14:paraId="616D2E0F" w14:textId="77777777" w:rsidR="001A4248" w:rsidRPr="00280317" w:rsidRDefault="001A4248" w:rsidP="001A4248">
      <w:pPr>
        <w:rPr>
          <w:sz w:val="16"/>
        </w:rPr>
      </w:pPr>
      <w:r w:rsidRPr="00280317">
        <w:rPr>
          <w:sz w:val="16"/>
        </w:rPr>
        <w:t xml:space="preserve">A </w:t>
      </w:r>
      <w:r w:rsidRPr="00280317">
        <w:rPr>
          <w:rStyle w:val="StyleUnderline"/>
        </w:rPr>
        <w:t>profession’s</w:t>
      </w:r>
      <w:r w:rsidRPr="00A229A3">
        <w:rPr>
          <w:rStyle w:val="StyleUnderline"/>
        </w:rPr>
        <w:t xml:space="preserve"> power to establish monopoly</w:t>
      </w:r>
      <w:r w:rsidRPr="00280317">
        <w:rPr>
          <w:sz w:val="16"/>
        </w:rPr>
        <w:t xml:space="preserve"> over certain tasks </w:t>
      </w:r>
      <w:r w:rsidRPr="00A229A3">
        <w:rPr>
          <w:rStyle w:val="StyleUnderline"/>
        </w:rPr>
        <w:t xml:space="preserve">arises from its capacity to convince the public and the state that its members are </w:t>
      </w:r>
      <w:r w:rsidRPr="00A229A3">
        <w:rPr>
          <w:rStyle w:val="Emphasis"/>
        </w:rPr>
        <w:t>uniquely qualified</w:t>
      </w:r>
      <w:r w:rsidRPr="00280317">
        <w:rPr>
          <w:sz w:val="16"/>
        </w:rPr>
        <w:t xml:space="preserve"> and committed </w:t>
      </w:r>
      <w:r w:rsidRPr="00A229A3">
        <w:rPr>
          <w:rStyle w:val="StyleUnderline"/>
        </w:rPr>
        <w:t>to solve</w:t>
      </w:r>
      <w:r w:rsidRPr="00280317">
        <w:rPr>
          <w:sz w:val="16"/>
        </w:rPr>
        <w:t xml:space="preserve"> a category of </w:t>
      </w:r>
      <w:r w:rsidRPr="00A229A3">
        <w:rPr>
          <w:rStyle w:val="StyleUnderline"/>
        </w:rPr>
        <w:t>human problems</w:t>
      </w:r>
      <w:r w:rsidRPr="00280317">
        <w:rPr>
          <w:sz w:val="16"/>
        </w:rPr>
        <w:t xml:space="preserve"> (Freidson 1970, 1986; Larson 1977; Abbott 1988). The claims of </w:t>
      </w:r>
      <w:r w:rsidRPr="00280317">
        <w:rPr>
          <w:rStyle w:val="Emphasis"/>
          <w:highlight w:val="green"/>
        </w:rPr>
        <w:t>jurisdiction</w:t>
      </w:r>
      <w:r w:rsidRPr="00280317">
        <w:rPr>
          <w:rStyle w:val="StyleUnderline"/>
          <w:highlight w:val="green"/>
        </w:rPr>
        <w:t xml:space="preserve"> may be used to capture</w:t>
      </w:r>
      <w:r w:rsidRPr="00A229A3">
        <w:rPr>
          <w:rStyle w:val="StyleUnderline"/>
        </w:rPr>
        <w:t xml:space="preserve"> control over previously </w:t>
      </w:r>
      <w:r w:rsidRPr="00280317">
        <w:rPr>
          <w:rStyle w:val="StyleUnderline"/>
          <w:highlight w:val="green"/>
        </w:rPr>
        <w:t>nonprofessional tasks</w:t>
      </w:r>
      <w:r w:rsidRPr="00280317">
        <w:rPr>
          <w:sz w:val="16"/>
        </w:rPr>
        <w:t xml:space="preserve"> (Nelsen and Barley 1997, Fayard et al. 2017), wrest control from a competing occupational group (Heimer 1999, Bucher et al. 2016), </w:t>
      </w:r>
      <w:r w:rsidRPr="007F5EA1">
        <w:rPr>
          <w:rStyle w:val="StyleUnderline"/>
        </w:rPr>
        <w:t>and prevent nonprofessional outsiders, such as corporations, from performing professional work</w:t>
      </w:r>
      <w:r w:rsidRPr="00280317">
        <w:rPr>
          <w:sz w:val="16"/>
        </w:rPr>
        <w:t xml:space="preserve"> (Willcox 1959).</w:t>
      </w:r>
    </w:p>
    <w:p w14:paraId="348CE70B" w14:textId="77777777" w:rsidR="001A4248" w:rsidRPr="00280317" w:rsidRDefault="001A4248" w:rsidP="001A4248">
      <w:pPr>
        <w:rPr>
          <w:sz w:val="16"/>
        </w:rPr>
      </w:pPr>
      <w:r w:rsidRPr="00280317">
        <w:rPr>
          <w:sz w:val="16"/>
        </w:rPr>
        <w:t xml:space="preserve">A profession claims jurisdiction by proposing a particular organization of work around the problem and casting alternative solutions as ineffective, unsafe, and even immoral. </w:t>
      </w:r>
      <w:r w:rsidRPr="00280317">
        <w:rPr>
          <w:rStyle w:val="StyleUnderline"/>
          <w:highlight w:val="green"/>
        </w:rPr>
        <w:t>Jurisdictional claims</w:t>
      </w:r>
      <w:r w:rsidRPr="00020057">
        <w:rPr>
          <w:rStyle w:val="StyleUnderline"/>
        </w:rPr>
        <w:t xml:space="preserve"> thus </w:t>
      </w:r>
      <w:r w:rsidRPr="00280317">
        <w:rPr>
          <w:rStyle w:val="StyleUnderline"/>
          <w:highlight w:val="green"/>
        </w:rPr>
        <w:t>assert that</w:t>
      </w:r>
      <w:r w:rsidRPr="00280317">
        <w:rPr>
          <w:sz w:val="16"/>
        </w:rPr>
        <w:t xml:space="preserve"> the performance of particular expert tasks by members of the profession is legitimate—that is, proper and desirable (Suchman 1995)—whereas the </w:t>
      </w:r>
      <w:r w:rsidRPr="00280317">
        <w:rPr>
          <w:rStyle w:val="StyleUnderline"/>
          <w:highlight w:val="green"/>
        </w:rPr>
        <w:t>solutions</w:t>
      </w:r>
      <w:r w:rsidRPr="00020057">
        <w:rPr>
          <w:rStyle w:val="StyleUnderline"/>
        </w:rPr>
        <w:t xml:space="preserve"> put forth </w:t>
      </w:r>
      <w:r w:rsidRPr="00280317">
        <w:rPr>
          <w:rStyle w:val="StyleUnderline"/>
          <w:highlight w:val="green"/>
        </w:rPr>
        <w:t>by other professions</w:t>
      </w:r>
      <w:r w:rsidRPr="00280317">
        <w:rPr>
          <w:sz w:val="16"/>
        </w:rPr>
        <w:t xml:space="preserve"> and nonprofessional actors </w:t>
      </w:r>
      <w:r w:rsidRPr="00280317">
        <w:rPr>
          <w:rStyle w:val="StyleUnderline"/>
          <w:highlight w:val="green"/>
        </w:rPr>
        <w:t>are</w:t>
      </w:r>
      <w:r w:rsidRPr="00020057">
        <w:rPr>
          <w:rStyle w:val="StyleUnderline"/>
        </w:rPr>
        <w:t xml:space="preserve"> </w:t>
      </w:r>
      <w:r w:rsidRPr="00280317">
        <w:rPr>
          <w:rStyle w:val="Emphasis"/>
          <w:highlight w:val="green"/>
        </w:rPr>
        <w:t>illegitimate</w:t>
      </w:r>
      <w:r w:rsidRPr="00280317">
        <w:rPr>
          <w:sz w:val="16"/>
        </w:rPr>
        <w:t xml:space="preserve">. Professions make claims on the collective level, most often through professional associations and prominent members (Strang and Bradburn 2001, Suddaby and Greenwood 2005, Kahl et al. 2016). </w:t>
      </w:r>
      <w:r w:rsidRPr="00020057">
        <w:rPr>
          <w:rStyle w:val="StyleUnderline"/>
        </w:rPr>
        <w:t xml:space="preserve">This </w:t>
      </w:r>
      <w:r w:rsidRPr="00280317">
        <w:rPr>
          <w:rStyle w:val="StyleUnderline"/>
          <w:highlight w:val="green"/>
        </w:rPr>
        <w:t>activity</w:t>
      </w:r>
      <w:r w:rsidRPr="00020057">
        <w:rPr>
          <w:rStyle w:val="StyleUnderline"/>
        </w:rPr>
        <w:t xml:space="preserve"> not only </w:t>
      </w:r>
      <w:r w:rsidRPr="00280317">
        <w:rPr>
          <w:rStyle w:val="StyleUnderline"/>
          <w:highlight w:val="green"/>
        </w:rPr>
        <w:t>shapes</w:t>
      </w:r>
      <w:r w:rsidRPr="00020057">
        <w:rPr>
          <w:rStyle w:val="StyleUnderline"/>
        </w:rPr>
        <w:t xml:space="preserve"> the </w:t>
      </w:r>
      <w:r w:rsidRPr="00280317">
        <w:rPr>
          <w:rStyle w:val="Emphasis"/>
          <w:highlight w:val="green"/>
        </w:rPr>
        <w:t>public perception</w:t>
      </w:r>
      <w:r w:rsidRPr="00020057">
        <w:rPr>
          <w:rStyle w:val="StyleUnderline"/>
        </w:rPr>
        <w:t xml:space="preserve"> of the profession’s work but also </w:t>
      </w:r>
      <w:r w:rsidRPr="00280317">
        <w:rPr>
          <w:rStyle w:val="Emphasis"/>
          <w:highlight w:val="green"/>
        </w:rPr>
        <w:t>informs decisions</w:t>
      </w:r>
      <w:r w:rsidRPr="00280317">
        <w:rPr>
          <w:rStyle w:val="StyleUnderline"/>
          <w:highlight w:val="green"/>
        </w:rPr>
        <w:t xml:space="preserve"> of </w:t>
      </w:r>
      <w:r w:rsidRPr="00280317">
        <w:rPr>
          <w:rStyle w:val="Emphasis"/>
          <w:highlight w:val="green"/>
        </w:rPr>
        <w:t>regulators</w:t>
      </w:r>
      <w:r w:rsidRPr="00280317">
        <w:rPr>
          <w:rStyle w:val="StyleUnderline"/>
          <w:highlight w:val="green"/>
        </w:rPr>
        <w:t xml:space="preserve"> and </w:t>
      </w:r>
      <w:r w:rsidRPr="00280317">
        <w:rPr>
          <w:rStyle w:val="Emphasis"/>
          <w:highlight w:val="green"/>
        </w:rPr>
        <w:t>legislators</w:t>
      </w:r>
      <w:r w:rsidRPr="00280317">
        <w:rPr>
          <w:rStyle w:val="StyleUnderline"/>
          <w:highlight w:val="green"/>
        </w:rPr>
        <w:t>, culminating in</w:t>
      </w:r>
      <w:r w:rsidRPr="00280317">
        <w:rPr>
          <w:rStyle w:val="StyleUnderline"/>
        </w:rPr>
        <w:t xml:space="preserve"> legal protection</w:t>
      </w:r>
      <w:r w:rsidRPr="00020057">
        <w:rPr>
          <w:rStyle w:val="StyleUnderline"/>
        </w:rPr>
        <w:t xml:space="preserve"> of the work from competing practitioners typically enforced through </w:t>
      </w:r>
      <w:r w:rsidRPr="00280317">
        <w:rPr>
          <w:rStyle w:val="StyleUnderline"/>
          <w:highlight w:val="green"/>
        </w:rPr>
        <w:t>licensure requirements</w:t>
      </w:r>
      <w:r w:rsidRPr="00280317">
        <w:rPr>
          <w:sz w:val="16"/>
        </w:rPr>
        <w:t xml:space="preserve"> (Freidson 1986). </w:t>
      </w:r>
      <w:r w:rsidRPr="008734F2">
        <w:rPr>
          <w:rStyle w:val="StyleUnderline"/>
        </w:rPr>
        <w:t xml:space="preserve">The publicly made claims are enacted in worksites where professionals compete with members of other occupational groups for </w:t>
      </w:r>
      <w:r w:rsidRPr="008734F2">
        <w:rPr>
          <w:rStyle w:val="Emphasis"/>
        </w:rPr>
        <w:t>local control</w:t>
      </w:r>
      <w:r w:rsidRPr="008734F2">
        <w:rPr>
          <w:rStyle w:val="StyleUnderline"/>
        </w:rPr>
        <w:t xml:space="preserve"> over the performance of tasks comprising their jurisdiction, negotiating the </w:t>
      </w:r>
      <w:r w:rsidRPr="008734F2">
        <w:rPr>
          <w:rStyle w:val="Emphasis"/>
        </w:rPr>
        <w:t>allocation of authority</w:t>
      </w:r>
      <w:r w:rsidRPr="008734F2">
        <w:rPr>
          <w:rStyle w:val="StyleUnderline"/>
        </w:rPr>
        <w:t xml:space="preserve">, </w:t>
      </w:r>
      <w:r w:rsidRPr="008734F2">
        <w:rPr>
          <w:rStyle w:val="Emphasis"/>
        </w:rPr>
        <w:t>status</w:t>
      </w:r>
      <w:r w:rsidRPr="008734F2">
        <w:rPr>
          <w:rStyle w:val="StyleUnderline"/>
        </w:rPr>
        <w:t xml:space="preserve">, and </w:t>
      </w:r>
      <w:r w:rsidRPr="008734F2">
        <w:rPr>
          <w:rStyle w:val="Emphasis"/>
        </w:rPr>
        <w:t>economic benefits</w:t>
      </w:r>
      <w:r w:rsidRPr="00280317">
        <w:rPr>
          <w:sz w:val="16"/>
        </w:rPr>
        <w:t xml:space="preserve"> (Barley 1986, Heimer 1999, Kellogg 2009, Huising 2015). Thus, making jurisdictional claims is a core activity that allows professions to capture and maintain control over work.</w:t>
      </w:r>
    </w:p>
    <w:p w14:paraId="1C885290" w14:textId="77777777" w:rsidR="001A4248" w:rsidRPr="00B942F0" w:rsidRDefault="001A4248" w:rsidP="001A4248">
      <w:pPr>
        <w:rPr>
          <w:sz w:val="16"/>
        </w:rPr>
      </w:pPr>
    </w:p>
    <w:p w14:paraId="34D40F51" w14:textId="77777777" w:rsidR="001A4248" w:rsidRDefault="001A4248" w:rsidP="001A4248">
      <w:pPr>
        <w:pStyle w:val="Heading3"/>
        <w:rPr>
          <w:rFonts w:cs="Times New Roman"/>
        </w:rPr>
      </w:pPr>
      <w:r>
        <w:rPr>
          <w:rFonts w:cs="Times New Roman"/>
        </w:rPr>
        <w:t>2ac – at: reps link</w:t>
      </w:r>
    </w:p>
    <w:p w14:paraId="40DF0DDB" w14:textId="77777777" w:rsidR="001A4248" w:rsidRDefault="001A4248" w:rsidP="001A4248">
      <w:pPr>
        <w:pStyle w:val="Heading4"/>
      </w:pPr>
      <w:r w:rsidRPr="00957E87">
        <w:rPr>
          <w:i/>
          <w:u w:val="single"/>
        </w:rPr>
        <w:t>If</w:t>
      </w:r>
      <w:r>
        <w:t xml:space="preserve"> disease reps cause reality, they CAUSE GOOD PREPARATION, </w:t>
      </w:r>
      <w:r w:rsidRPr="00F62C67">
        <w:rPr>
          <w:i/>
          <w:u w:val="single"/>
        </w:rPr>
        <w:t>NOT</w:t>
      </w:r>
      <w:r>
        <w:t xml:space="preserve"> SECURITIZED RESPONSES.</w:t>
      </w:r>
    </w:p>
    <w:p w14:paraId="4823576F" w14:textId="77777777" w:rsidR="001A4248" w:rsidRPr="00212536" w:rsidRDefault="001A4248" w:rsidP="001A4248">
      <w:pPr>
        <w:rPr>
          <w:b/>
          <w:bCs/>
          <w:sz w:val="26"/>
        </w:rPr>
      </w:pPr>
      <w:r w:rsidRPr="001B25C7">
        <w:rPr>
          <w:rStyle w:val="Style13ptBold"/>
        </w:rPr>
        <w:t>Saksena 11</w:t>
      </w:r>
      <w:r>
        <w:rPr>
          <w:rStyle w:val="Style13ptBold"/>
        </w:rPr>
        <w:t xml:space="preserve"> </w:t>
      </w:r>
      <w:r>
        <w:rPr>
          <w:sz w:val="18"/>
          <w:szCs w:val="18"/>
        </w:rPr>
        <w:t>Mita – Former Lecturer, Jai Hind College, Bombay University. Also former Research Assistant University of Madras, Project on Implementation of Regulatory and Distributive Policies in Tamil Nadu Joint Project between University of Oslo and University of Madras. Dissertation was</w:t>
      </w:r>
      <w:r w:rsidRPr="001B25C7">
        <w:rPr>
          <w:sz w:val="18"/>
          <w:szCs w:val="18"/>
        </w:rPr>
        <w:t xml:space="preserve"> overseen </w:t>
      </w:r>
      <w:r>
        <w:rPr>
          <w:sz w:val="18"/>
          <w:szCs w:val="18"/>
        </w:rPr>
        <w:t xml:space="preserve">and approved </w:t>
      </w:r>
      <w:r w:rsidRPr="001B25C7">
        <w:rPr>
          <w:sz w:val="18"/>
          <w:szCs w:val="18"/>
        </w:rPr>
        <w:t>by Professor Paul A. Kowert, Associate Professor, Department of Politics and International Relations Florida International University. This Thesis is written by Mita Saksena</w:t>
      </w:r>
      <w:r>
        <w:rPr>
          <w:sz w:val="18"/>
          <w:szCs w:val="18"/>
        </w:rPr>
        <w:t xml:space="preserve"> </w:t>
      </w:r>
      <w:r w:rsidRPr="001B25C7">
        <w:rPr>
          <w:sz w:val="18"/>
          <w:szCs w:val="18"/>
        </w:rPr>
        <w:t xml:space="preserve">– the author now holds a Ph.D. in International Health &amp; Human Rights from FLORIDA INTERNATIONAL UNIVERSITY “FRAMING INFECTIOUS DISEASES AND U.S. PUBLIC OPINION” A dissertation submitted in partial fulfillment of the requirements for the degree of DOCTOR OF PHILOSOPHY in INTERNATIONAL RELATIONS </w:t>
      </w:r>
      <w:r>
        <w:rPr>
          <w:sz w:val="18"/>
          <w:szCs w:val="18"/>
        </w:rPr>
        <w:t xml:space="preserve">– modified for language that may offend - </w:t>
      </w:r>
      <w:r w:rsidRPr="001B25C7">
        <w:rPr>
          <w:sz w:val="18"/>
          <w:szCs w:val="18"/>
        </w:rPr>
        <w:t>– http://search.proquest.com/docview/952533573</w:t>
      </w:r>
    </w:p>
    <w:p w14:paraId="0EDE251A" w14:textId="77777777" w:rsidR="001A4248" w:rsidRPr="00431009" w:rsidRDefault="001A4248" w:rsidP="001A4248">
      <w:pPr>
        <w:rPr>
          <w:sz w:val="10"/>
        </w:rPr>
      </w:pPr>
      <w:r w:rsidRPr="00957E87">
        <w:rPr>
          <w:rStyle w:val="StyleUnderline"/>
        </w:rPr>
        <w:t>Two hypotheses were tested</w:t>
      </w:r>
      <w:r w:rsidRPr="00957E87">
        <w:rPr>
          <w:sz w:val="10"/>
        </w:rPr>
        <w:t xml:space="preserve"> in this chapter. </w:t>
      </w:r>
      <w:r w:rsidRPr="00B613DE">
        <w:rPr>
          <w:rStyle w:val="StyleUnderline"/>
        </w:rPr>
        <w:t>First,</w:t>
      </w:r>
      <w:r w:rsidRPr="00957E87">
        <w:rPr>
          <w:sz w:val="10"/>
        </w:rPr>
        <w:t xml:space="preserve"> </w:t>
      </w:r>
      <w:r w:rsidRPr="007B2756">
        <w:rPr>
          <w:rStyle w:val="StyleUnderline"/>
        </w:rPr>
        <w:t>frames represented prominently</w:t>
      </w:r>
      <w:r w:rsidRPr="007B2756">
        <w:rPr>
          <w:sz w:val="10"/>
        </w:rPr>
        <w:t xml:space="preserve"> in the media </w:t>
      </w:r>
      <w:r w:rsidRPr="007B2756">
        <w:rPr>
          <w:rStyle w:val="StyleUnderline"/>
        </w:rPr>
        <w:t>will tend to mobilize</w:t>
      </w:r>
      <w:r w:rsidRPr="007B2756">
        <w:rPr>
          <w:sz w:val="10"/>
        </w:rPr>
        <w:t xml:space="preserve"> public </w:t>
      </w:r>
      <w:r w:rsidRPr="007B2756">
        <w:rPr>
          <w:rStyle w:val="StyleUnderline"/>
        </w:rPr>
        <w:t xml:space="preserve">support </w:t>
      </w:r>
      <w:r w:rsidRPr="007B2756">
        <w:rPr>
          <w:rStyle w:val="Emphasis"/>
        </w:rPr>
        <w:t>for policies associated with those frames</w:t>
      </w:r>
      <w:r w:rsidRPr="00957E87">
        <w:rPr>
          <w:sz w:val="10"/>
        </w:rPr>
        <w:t xml:space="preserve">. This study indicates that </w:t>
      </w:r>
      <w:r w:rsidRPr="00957E87">
        <w:rPr>
          <w:rStyle w:val="StyleUnderline"/>
        </w:rPr>
        <w:t>the biomedical frame was the</w:t>
      </w:r>
      <w:r w:rsidRPr="00957E87">
        <w:rPr>
          <w:sz w:val="10"/>
        </w:rPr>
        <w:t xml:space="preserve"> pre</w:t>
      </w:r>
      <w:r w:rsidRPr="00957E87">
        <w:rPr>
          <w:rStyle w:val="StyleUnderline"/>
        </w:rPr>
        <w:t>dominant</w:t>
      </w:r>
      <w:r w:rsidRPr="00957E87">
        <w:rPr>
          <w:sz w:val="10"/>
        </w:rPr>
        <w:t xml:space="preserve"> </w:t>
      </w:r>
      <w:r w:rsidRPr="00957E87">
        <w:rPr>
          <w:rStyle w:val="StyleUnderline"/>
        </w:rPr>
        <w:t>frame in</w:t>
      </w:r>
      <w:r w:rsidRPr="00B613DE">
        <w:rPr>
          <w:rStyle w:val="StyleUnderline"/>
        </w:rPr>
        <w:t xml:space="preserve"> media</w:t>
      </w:r>
      <w:r>
        <w:rPr>
          <w:rStyle w:val="StyleUnderline"/>
        </w:rPr>
        <w:t xml:space="preserve"> </w:t>
      </w:r>
      <w:r w:rsidRPr="00B613DE">
        <w:rPr>
          <w:rStyle w:val="StyleUnderline"/>
        </w:rPr>
        <w:t>reports in the sampled period 2004–2007</w:t>
      </w:r>
      <w:r w:rsidRPr="00957E87">
        <w:rPr>
          <w:sz w:val="10"/>
        </w:rPr>
        <w:t xml:space="preserve"> (Tables 5.4–5.9 and Figure 5.1-5.3). </w:t>
      </w:r>
      <w:r w:rsidRPr="00B613DE">
        <w:rPr>
          <w:rStyle w:val="StyleUnderline"/>
        </w:rPr>
        <w:t>The study</w:t>
      </w:r>
      <w:r w:rsidRPr="00957E87">
        <w:rPr>
          <w:sz w:val="10"/>
        </w:rPr>
        <w:t xml:space="preserve"> also </w:t>
      </w:r>
      <w:r w:rsidRPr="00B613DE">
        <w:rPr>
          <w:rStyle w:val="StyleUnderline"/>
        </w:rPr>
        <w:t>highlights</w:t>
      </w:r>
      <w:r w:rsidRPr="00957E87">
        <w:rPr>
          <w:sz w:val="10"/>
        </w:rPr>
        <w:t xml:space="preserve"> a </w:t>
      </w:r>
      <w:r w:rsidRPr="00B613DE">
        <w:rPr>
          <w:rStyle w:val="StyleUnderline"/>
        </w:rPr>
        <w:t>strong correlation between the biomedical frame and the</w:t>
      </w:r>
      <w:r w:rsidRPr="00957E87">
        <w:rPr>
          <w:sz w:val="10"/>
        </w:rPr>
        <w:t xml:space="preserve"> American </w:t>
      </w:r>
      <w:r w:rsidRPr="00B613DE">
        <w:rPr>
          <w:rStyle w:val="StyleUnderline"/>
        </w:rPr>
        <w:t>public’s worry</w:t>
      </w:r>
      <w:r w:rsidRPr="00957E87">
        <w:rPr>
          <w:sz w:val="10"/>
        </w:rPr>
        <w:t xml:space="preserve"> about </w:t>
      </w:r>
      <w:r w:rsidRPr="00B613DE">
        <w:rPr>
          <w:rStyle w:val="StyleUnderline"/>
        </w:rPr>
        <w:t>the disease</w:t>
      </w:r>
      <w:r w:rsidRPr="00957E87">
        <w:rPr>
          <w:sz w:val="10"/>
        </w:rPr>
        <w:t xml:space="preserve"> and their concern about the likelihood that the disease </w:t>
      </w:r>
      <w:r w:rsidRPr="00B613DE">
        <w:rPr>
          <w:rStyle w:val="StyleUnderline"/>
        </w:rPr>
        <w:t>would strike the United States</w:t>
      </w:r>
      <w:r w:rsidRPr="00957E87">
        <w:rPr>
          <w:sz w:val="10"/>
        </w:rPr>
        <w:t xml:space="preserve">. The surveys were conducted mainly between December 2005 and in 2006 and the beginning of 2007. Figure 5.1 clearly indicates that between 2005 and the second quarter of 2007, </w:t>
      </w:r>
      <w:r w:rsidRPr="00957E87">
        <w:rPr>
          <w:rStyle w:val="StyleUnderline"/>
        </w:rPr>
        <w:t xml:space="preserve">the volume of </w:t>
      </w:r>
      <w:r w:rsidRPr="00FE45C0">
        <w:rPr>
          <w:rStyle w:val="StyleUnderline"/>
          <w:highlight w:val="green"/>
        </w:rPr>
        <w:t xml:space="preserve">stories </w:t>
      </w:r>
      <w:r w:rsidRPr="007B2756">
        <w:rPr>
          <w:rStyle w:val="StyleUnderline"/>
        </w:rPr>
        <w:t xml:space="preserve">that </w:t>
      </w:r>
      <w:r w:rsidRPr="00FE45C0">
        <w:rPr>
          <w:rStyle w:val="StyleUnderline"/>
          <w:highlight w:val="green"/>
        </w:rPr>
        <w:t xml:space="preserve">discussed the impact of </w:t>
      </w:r>
      <w:r w:rsidRPr="007B2756">
        <w:rPr>
          <w:rStyle w:val="StyleUnderline"/>
        </w:rPr>
        <w:t>avian</w:t>
      </w:r>
      <w:r w:rsidRPr="00FE45C0">
        <w:rPr>
          <w:rStyle w:val="StyleUnderline"/>
          <w:highlight w:val="green"/>
        </w:rPr>
        <w:t xml:space="preserve"> flu</w:t>
      </w:r>
      <w:r w:rsidRPr="00957E87">
        <w:rPr>
          <w:sz w:val="10"/>
        </w:rPr>
        <w:t xml:space="preserve"> </w:t>
      </w:r>
      <w:r w:rsidRPr="00B613DE">
        <w:rPr>
          <w:rStyle w:val="StyleUnderline"/>
        </w:rPr>
        <w:t xml:space="preserve">on the United States and the globe as a whole </w:t>
      </w:r>
      <w:r w:rsidRPr="00FE45C0">
        <w:rPr>
          <w:rStyle w:val="StyleUnderline"/>
          <w:highlight w:val="green"/>
        </w:rPr>
        <w:t>increased</w:t>
      </w:r>
      <w:r w:rsidRPr="00957E87">
        <w:rPr>
          <w:sz w:val="10"/>
        </w:rPr>
        <w:t xml:space="preserve">. In the second quarter of 2007 all articles dealt with the impact of the disease on the United States. In February 2005, a news story reported that at the national meeting of the American Association for the Advancement of Science, scientists stated that they believed it highly likely that a virus that has swept through chickens and other poultry in Asia would genetically change into a flu that can be transmitted among people.38 At the same time, Cambodia and Indonesia reported their first human cases of avian flu, which turned out to be fatal.39 By November 2005, the WHO's official count of human cases of H5N1 reached 122, with 62 deaths in Vietnam, Thailand, Indonesia, and Cambodia.40 This was followed by news reports of the spread of avian flu to countries such as China, the Russian Federation, Turkey, Italy, and many other countries around the globe. </w:t>
      </w:r>
      <w:r w:rsidRPr="00FE45C0">
        <w:rPr>
          <w:rStyle w:val="StyleUnderline"/>
          <w:highlight w:val="green"/>
        </w:rPr>
        <w:t xml:space="preserve">This was also a time when </w:t>
      </w:r>
      <w:r w:rsidRPr="00957E87">
        <w:rPr>
          <w:rStyle w:val="StyleUnderline"/>
        </w:rPr>
        <w:t>the</w:t>
      </w:r>
      <w:r w:rsidRPr="00957E87">
        <w:rPr>
          <w:sz w:val="10"/>
        </w:rPr>
        <w:t xml:space="preserve"> United States </w:t>
      </w:r>
      <w:r w:rsidRPr="00957E87">
        <w:rPr>
          <w:rStyle w:val="StyleUnderline"/>
        </w:rPr>
        <w:t xml:space="preserve">President and </w:t>
      </w:r>
      <w:r w:rsidRPr="00FE45C0">
        <w:rPr>
          <w:rStyle w:val="StyleUnderline"/>
          <w:highlight w:val="green"/>
        </w:rPr>
        <w:t>Congress launched</w:t>
      </w:r>
      <w:r w:rsidRPr="00957E87">
        <w:rPr>
          <w:sz w:val="10"/>
        </w:rPr>
        <w:t xml:space="preserve"> several </w:t>
      </w:r>
      <w:r w:rsidRPr="00FE45C0">
        <w:rPr>
          <w:rStyle w:val="StyleUnderline"/>
          <w:highlight w:val="green"/>
        </w:rPr>
        <w:t>initiatives</w:t>
      </w:r>
      <w:r w:rsidRPr="00957E87">
        <w:t xml:space="preserve">. </w:t>
      </w:r>
      <w:r w:rsidRPr="00957E87">
        <w:rPr>
          <w:rStyle w:val="StyleUnderline"/>
        </w:rPr>
        <w:t>The</w:t>
      </w:r>
      <w:r w:rsidRPr="00957E87">
        <w:rPr>
          <w:sz w:val="10"/>
        </w:rPr>
        <w:t xml:space="preserve"> Pandemic and All Hazards </w:t>
      </w:r>
      <w:r w:rsidRPr="00957E87">
        <w:rPr>
          <w:rStyle w:val="StyleUnderline"/>
        </w:rPr>
        <w:t>Preparedness Act was adopted</w:t>
      </w:r>
      <w:r w:rsidRPr="00957E87">
        <w:rPr>
          <w:sz w:val="10"/>
        </w:rPr>
        <w:t xml:space="preserve"> by Congress in December 2006. With this law, Congress mandated for the first time in United States history that the federal government prepare a National Health Security Strategy </w:t>
      </w:r>
      <w:r w:rsidRPr="00FE45C0">
        <w:rPr>
          <w:rStyle w:val="StyleUnderline"/>
          <w:highlight w:val="green"/>
        </w:rPr>
        <w:t>to guide</w:t>
      </w:r>
      <w:r w:rsidRPr="00957E87">
        <w:rPr>
          <w:sz w:val="10"/>
        </w:rPr>
        <w:t xml:space="preserve"> improvement of the country’s public health emergency </w:t>
      </w:r>
      <w:r w:rsidRPr="00FE45C0">
        <w:rPr>
          <w:rStyle w:val="StyleUnderline"/>
          <w:highlight w:val="green"/>
        </w:rPr>
        <w:t>preparedness</w:t>
      </w:r>
      <w:r w:rsidRPr="00B613DE">
        <w:rPr>
          <w:rStyle w:val="StyleUnderline"/>
        </w:rPr>
        <w:t xml:space="preserve"> </w:t>
      </w:r>
      <w:r w:rsidRPr="00957E87">
        <w:rPr>
          <w:sz w:val="10"/>
        </w:rPr>
        <w:t xml:space="preserve">and response capabilities. The second hypothesis tested was that </w:t>
      </w:r>
      <w:r w:rsidRPr="00FE45C0">
        <w:rPr>
          <w:rStyle w:val="StyleUnderline"/>
          <w:highlight w:val="green"/>
        </w:rPr>
        <w:t>when</w:t>
      </w:r>
      <w:r w:rsidRPr="00957E87">
        <w:rPr>
          <w:sz w:val="10"/>
        </w:rPr>
        <w:t xml:space="preserve"> the biomedical and economic </w:t>
      </w:r>
      <w:r w:rsidRPr="00FE45C0">
        <w:rPr>
          <w:rStyle w:val="StyleUnderline"/>
          <w:highlight w:val="green"/>
        </w:rPr>
        <w:t>frames dominate</w:t>
      </w:r>
      <w:r w:rsidRPr="00B613DE">
        <w:rPr>
          <w:rStyle w:val="StyleUnderline"/>
        </w:rPr>
        <w:t xml:space="preserve"> </w:t>
      </w:r>
      <w:r w:rsidRPr="00957E87">
        <w:rPr>
          <w:sz w:val="10"/>
        </w:rPr>
        <w:t xml:space="preserve">media </w:t>
      </w:r>
      <w:r w:rsidRPr="00FE45C0">
        <w:rPr>
          <w:rStyle w:val="StyleUnderline"/>
          <w:highlight w:val="green"/>
        </w:rPr>
        <w:t>coverage</w:t>
      </w:r>
      <w:r w:rsidRPr="00957E87">
        <w:rPr>
          <w:sz w:val="10"/>
        </w:rPr>
        <w:t xml:space="preserve">, which is the most common scenario, </w:t>
      </w:r>
      <w:r w:rsidRPr="00FE45C0">
        <w:rPr>
          <w:rStyle w:val="StyleUnderline"/>
          <w:highlight w:val="green"/>
        </w:rPr>
        <w:t>people will be more worried</w:t>
      </w:r>
      <w:r w:rsidRPr="00957E87">
        <w:rPr>
          <w:sz w:val="10"/>
        </w:rPr>
        <w:t xml:space="preserve"> about the disease. </w:t>
      </w:r>
      <w:r w:rsidRPr="00FE45C0">
        <w:rPr>
          <w:rStyle w:val="StyleUnderline"/>
          <w:highlight w:val="green"/>
        </w:rPr>
        <w:t xml:space="preserve">They will </w:t>
      </w:r>
      <w:r w:rsidRPr="00957E87">
        <w:rPr>
          <w:rStyle w:val="StyleUnderline"/>
        </w:rPr>
        <w:t>be likely to</w:t>
      </w:r>
      <w:r w:rsidRPr="00FE45C0">
        <w:rPr>
          <w:rStyle w:val="StyleUnderline"/>
          <w:highlight w:val="green"/>
        </w:rPr>
        <w:t xml:space="preserve"> support</w:t>
      </w:r>
      <w:r w:rsidRPr="00957E87">
        <w:rPr>
          <w:sz w:val="10"/>
        </w:rPr>
        <w:t xml:space="preserve"> potentially inconvenient policies intended to address the dangers of the disease. The survey reports show high support for </w:t>
      </w:r>
      <w:r w:rsidRPr="00FE45C0">
        <w:rPr>
          <w:rStyle w:val="Emphasis"/>
          <w:highlight w:val="green"/>
        </w:rPr>
        <w:t>vaccine production</w:t>
      </w:r>
      <w:r w:rsidRPr="00FE45C0">
        <w:rPr>
          <w:rStyle w:val="StyleUnderline"/>
          <w:highlight w:val="green"/>
        </w:rPr>
        <w:t xml:space="preserve"> and </w:t>
      </w:r>
      <w:r w:rsidRPr="00FE45C0">
        <w:rPr>
          <w:rStyle w:val="Emphasis"/>
          <w:highlight w:val="green"/>
        </w:rPr>
        <w:t xml:space="preserve">research </w:t>
      </w:r>
      <w:r w:rsidRPr="00957E87">
        <w:rPr>
          <w:rStyle w:val="StyleUnderline"/>
        </w:rPr>
        <w:t>and</w:t>
      </w:r>
      <w:r w:rsidRPr="00957E87">
        <w:rPr>
          <w:sz w:val="10"/>
        </w:rPr>
        <w:t xml:space="preserve"> willingness on the part of the American public to </w:t>
      </w:r>
      <w:r w:rsidRPr="00957E87">
        <w:rPr>
          <w:rStyle w:val="StyleUnderline"/>
        </w:rPr>
        <w:t>undertake precautionary measures to deal with the disease</w:t>
      </w:r>
      <w:r w:rsidRPr="00957E87">
        <w:rPr>
          <w:sz w:val="10"/>
        </w:rPr>
        <w:t xml:space="preserve">. </w:t>
      </w:r>
      <w:r w:rsidRPr="00FE45C0">
        <w:rPr>
          <w:rStyle w:val="Emphasis"/>
          <w:szCs w:val="32"/>
          <w:highlight w:val="green"/>
        </w:rPr>
        <w:t xml:space="preserve">The public did not (consider) </w:t>
      </w:r>
      <w:r w:rsidRPr="007B2756">
        <w:rPr>
          <w:strike/>
        </w:rPr>
        <w:t xml:space="preserve">see </w:t>
      </w:r>
      <w:r w:rsidRPr="00957E87">
        <w:rPr>
          <w:sz w:val="10"/>
        </w:rPr>
        <w:t xml:space="preserve">the human rights and </w:t>
      </w:r>
      <w:r w:rsidRPr="00FE45C0">
        <w:rPr>
          <w:rStyle w:val="Emphasis"/>
          <w:szCs w:val="32"/>
          <w:highlight w:val="green"/>
        </w:rPr>
        <w:t>security frames as relevant</w:t>
      </w:r>
      <w:r w:rsidRPr="00957E87">
        <w:rPr>
          <w:sz w:val="10"/>
        </w:rPr>
        <w:t xml:space="preserve">. </w:t>
      </w:r>
      <w:r w:rsidRPr="00957E87">
        <w:rPr>
          <w:rStyle w:val="StyleUnderline"/>
        </w:rPr>
        <w:t>The security frame</w:t>
      </w:r>
      <w:r w:rsidRPr="00957E87">
        <w:rPr>
          <w:sz w:val="10"/>
        </w:rPr>
        <w:t xml:space="preserve"> was more prominent in media stories about bird flu than it was for SARS. It </w:t>
      </w:r>
      <w:r w:rsidRPr="00957E87">
        <w:rPr>
          <w:rStyle w:val="StyleUnderline"/>
        </w:rPr>
        <w:t>did not</w:t>
      </w:r>
      <w:r w:rsidRPr="00957E87">
        <w:rPr>
          <w:sz w:val="10"/>
        </w:rPr>
        <w:t xml:space="preserve">, however, </w:t>
      </w:r>
      <w:r w:rsidRPr="00957E87">
        <w:rPr>
          <w:rStyle w:val="StyleUnderline"/>
        </w:rPr>
        <w:t>show any</w:t>
      </w:r>
      <w:r>
        <w:rPr>
          <w:rStyle w:val="StyleUnderline"/>
        </w:rPr>
        <w:t xml:space="preserve"> </w:t>
      </w:r>
      <w:r w:rsidRPr="00957E87">
        <w:rPr>
          <w:rStyle w:val="StyleUnderline"/>
        </w:rPr>
        <w:t>significant correlation with worries about bird flu</w:t>
      </w:r>
      <w:r w:rsidRPr="00957E87">
        <w:rPr>
          <w:sz w:val="10"/>
        </w:rPr>
        <w:t>. The human rights frame was not very prominent in news stories about bird flu. Part of the reason for this is that the bird flu did not infect humans in the United States</w:t>
      </w:r>
      <w:r w:rsidRPr="00FE45C0">
        <w:rPr>
          <w:rStyle w:val="Emphasis"/>
          <w:highlight w:val="green"/>
        </w:rPr>
        <w:t>, and there were no</w:t>
      </w:r>
      <w:r w:rsidRPr="00957E87">
        <w:rPr>
          <w:sz w:val="10"/>
        </w:rPr>
        <w:t xml:space="preserve"> major </w:t>
      </w:r>
      <w:r w:rsidRPr="00FE45C0">
        <w:rPr>
          <w:rStyle w:val="Emphasis"/>
          <w:highlight w:val="green"/>
        </w:rPr>
        <w:t>issues arising over</w:t>
      </w:r>
      <w:r w:rsidRPr="00957E87">
        <w:rPr>
          <w:sz w:val="10"/>
        </w:rPr>
        <w:t xml:space="preserve"> access to antiviral drugs and vaccines or about </w:t>
      </w:r>
      <w:r w:rsidRPr="00FE45C0">
        <w:rPr>
          <w:rStyle w:val="Emphasis"/>
          <w:highlight w:val="green"/>
        </w:rPr>
        <w:t xml:space="preserve">quarantine </w:t>
      </w:r>
      <w:r w:rsidRPr="00957E87">
        <w:rPr>
          <w:rStyle w:val="Emphasis"/>
        </w:rPr>
        <w:t>and isolation.</w:t>
      </w:r>
    </w:p>
    <w:p w14:paraId="7B421FDF" w14:textId="77777777" w:rsidR="001A4248" w:rsidRDefault="001A4248" w:rsidP="001A4248">
      <w:pPr>
        <w:pStyle w:val="Heading4"/>
      </w:pPr>
      <w:r>
        <w:t xml:space="preserve">Masco thesis presumes identifying danger justifies violent responses in its wake. That methodology is suspect. </w:t>
      </w:r>
    </w:p>
    <w:p w14:paraId="32CDAE84" w14:textId="77777777" w:rsidR="001A4248" w:rsidRPr="00212536" w:rsidRDefault="001A4248" w:rsidP="001A4248">
      <w:r w:rsidRPr="00D95BF0">
        <w:rPr>
          <w:rStyle w:val="Style13ptBold"/>
        </w:rPr>
        <w:t>Zimmerman</w:t>
      </w:r>
      <w:r>
        <w:t xml:space="preserve"> – </w:t>
      </w:r>
      <w:r w:rsidRPr="00D95BF0">
        <w:rPr>
          <w:i/>
          <w:sz w:val="20"/>
          <w:szCs w:val="20"/>
        </w:rPr>
        <w:t xml:space="preserve">reviewing Masco </w:t>
      </w:r>
      <w:r>
        <w:t xml:space="preserve">– </w:t>
      </w:r>
      <w:r w:rsidRPr="00D95BF0">
        <w:rPr>
          <w:rStyle w:val="Style13ptBold"/>
        </w:rPr>
        <w:t>15</w:t>
      </w:r>
      <w:r>
        <w:t xml:space="preserve"> </w:t>
      </w:r>
      <w:r w:rsidRPr="00D95BF0">
        <w:rPr>
          <w:sz w:val="18"/>
          <w:szCs w:val="18"/>
        </w:rPr>
        <w:t>Vera Zimmerman has served as a research analyst at the Hudson Institute. Her scholarship has been published in World Politics Revie</w:t>
      </w:r>
      <w:r>
        <w:rPr>
          <w:sz w:val="18"/>
          <w:szCs w:val="18"/>
        </w:rPr>
        <w:t>w</w:t>
      </w:r>
      <w:r w:rsidRPr="00D95BF0">
        <w:rPr>
          <w:sz w:val="18"/>
          <w:szCs w:val="18"/>
        </w:rPr>
        <w:t xml:space="preserve">. The author is currently a graduate student of political science in the Department of Public and International Affairs at George Mason University. Article Title “Book Review: The Theater of Operations: National Security Affect from the Cold War to the </w:t>
      </w:r>
      <w:r>
        <w:rPr>
          <w:sz w:val="18"/>
          <w:szCs w:val="18"/>
        </w:rPr>
        <w:t xml:space="preserve">War on Terror. By Joseph Masco </w:t>
      </w:r>
      <w:r w:rsidRPr="00D95BF0">
        <w:rPr>
          <w:sz w:val="18"/>
          <w:szCs w:val="18"/>
        </w:rPr>
        <w:t>Durham and London: Duke University Press” – May 23</w:t>
      </w:r>
      <w:r w:rsidRPr="00D95BF0">
        <w:rPr>
          <w:sz w:val="18"/>
          <w:szCs w:val="18"/>
          <w:vertAlign w:val="superscript"/>
        </w:rPr>
        <w:t>rd</w:t>
      </w:r>
      <w:r w:rsidRPr="00D95BF0">
        <w:rPr>
          <w:sz w:val="18"/>
          <w:szCs w:val="18"/>
        </w:rPr>
        <w:t>, 2015 – available at: https://verair.wordpress.com/2015/05/23/the-theater-of-operations-national-security-affect-from-the-cold-war-to-the-war-on-terror-by-joseph-masco-durham-and-london-duke-university-press-2014/</w:t>
      </w:r>
    </w:p>
    <w:p w14:paraId="17ACC536" w14:textId="77777777" w:rsidR="001A4248" w:rsidRPr="00431009" w:rsidRDefault="001A4248" w:rsidP="001A4248">
      <w:pPr>
        <w:rPr>
          <w:sz w:val="12"/>
        </w:rPr>
      </w:pPr>
      <w:r w:rsidRPr="00FE45C0">
        <w:rPr>
          <w:rStyle w:val="StyleUnderline"/>
          <w:highlight w:val="green"/>
        </w:rPr>
        <w:t>Masco asserts that U.S. superpower depends on</w:t>
      </w:r>
      <w:r w:rsidRPr="00343F05">
        <w:rPr>
          <w:sz w:val="12"/>
        </w:rPr>
        <w:t xml:space="preserve"> the </w:t>
      </w:r>
      <w:r w:rsidRPr="00FE45C0">
        <w:rPr>
          <w:rStyle w:val="StyleUnderline"/>
          <w:highlight w:val="green"/>
        </w:rPr>
        <w:t xml:space="preserve">ability of the state to monopolize </w:t>
      </w:r>
      <w:r w:rsidRPr="00FE45C0">
        <w:rPr>
          <w:rStyle w:val="Emphasis"/>
          <w:highlight w:val="green"/>
        </w:rPr>
        <w:t>a discourse of danger</w:t>
      </w:r>
      <w:r w:rsidRPr="00343F05">
        <w:rPr>
          <w:sz w:val="12"/>
        </w:rPr>
        <w:t xml:space="preserve">, </w:t>
      </w:r>
      <w:r w:rsidRPr="00FE45C0">
        <w:rPr>
          <w:rStyle w:val="Emphasis"/>
          <w:highlight w:val="green"/>
        </w:rPr>
        <w:t>but he doesn’t discuss how the U</w:t>
      </w:r>
      <w:r w:rsidRPr="007C5D9A">
        <w:rPr>
          <w:rStyle w:val="Emphasis"/>
        </w:rPr>
        <w:t xml:space="preserve">nited </w:t>
      </w:r>
      <w:r w:rsidRPr="00FE45C0">
        <w:rPr>
          <w:rStyle w:val="Emphasis"/>
          <w:highlight w:val="green"/>
        </w:rPr>
        <w:t>S</w:t>
      </w:r>
      <w:r w:rsidRPr="007C5D9A">
        <w:rPr>
          <w:rStyle w:val="Emphasis"/>
        </w:rPr>
        <w:t>tates</w:t>
      </w:r>
      <w:r w:rsidRPr="00FE45C0">
        <w:rPr>
          <w:rStyle w:val="Emphasis"/>
          <w:highlight w:val="green"/>
        </w:rPr>
        <w:t xml:space="preserve"> succeeded in doing that.</w:t>
      </w:r>
      <w:r w:rsidRPr="00343F05">
        <w:rPr>
          <w:sz w:val="12"/>
        </w:rPr>
        <w:t xml:space="preserve"> </w:t>
      </w:r>
      <w:r w:rsidRPr="00FE45C0">
        <w:rPr>
          <w:rStyle w:val="StyleUnderline"/>
          <w:highlight w:val="green"/>
        </w:rPr>
        <w:t>Masco could have developed his argument</w:t>
      </w:r>
      <w:r w:rsidRPr="00343F05">
        <w:rPr>
          <w:sz w:val="12"/>
        </w:rPr>
        <w:t xml:space="preserve">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 In Theatre of Operations,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FE45C0">
        <w:rPr>
          <w:rStyle w:val="StyleUnderline"/>
          <w:highlight w:val="green"/>
        </w:rPr>
        <w:t>Making criticism of U.S. actions the main focus</w:t>
      </w:r>
      <w:r w:rsidRPr="00343F05">
        <w:rPr>
          <w:rStyle w:val="StyleUnderline"/>
        </w:rPr>
        <w:t xml:space="preserve"> of the book,</w:t>
      </w:r>
      <w:r w:rsidRPr="00343F05">
        <w:rPr>
          <w:sz w:val="12"/>
        </w:rPr>
        <w:t xml:space="preserve"> however, </w:t>
      </w:r>
      <w:r w:rsidRPr="00FE45C0">
        <w:rPr>
          <w:rStyle w:val="StyleUnderline"/>
          <w:highlight w:val="green"/>
        </w:rPr>
        <w:t>Masco’s interpretations are not properly balanced and</w:t>
      </w:r>
      <w:r w:rsidRPr="00343F05">
        <w:rPr>
          <w:sz w:val="12"/>
        </w:rPr>
        <w:t xml:space="preserve"> sometimes </w:t>
      </w:r>
      <w:r w:rsidRPr="00FE45C0">
        <w:rPr>
          <w:rStyle w:val="StyleUnderline"/>
          <w:highlight w:val="green"/>
        </w:rPr>
        <w:t>appear biased.</w:t>
      </w:r>
      <w:r w:rsidRPr="00343F05">
        <w:rPr>
          <w:sz w:val="12"/>
        </w:rPr>
        <w:t xml:space="preserve"> Still, reading Masco’s insight of the purpose of U.S. actions in the post-9/11 context offers opportunities to think critically about the effects of 9/11 emotional reprogramming of society and state of emergencies in U.S. history.</w:t>
      </w:r>
    </w:p>
    <w:p w14:paraId="7A5284EA" w14:textId="77777777" w:rsidR="001A4248" w:rsidRPr="009F2929" w:rsidRDefault="001A4248" w:rsidP="001A4248"/>
    <w:p w14:paraId="4AC1FF24" w14:textId="77777777" w:rsidR="001A4248" w:rsidRDefault="001A4248" w:rsidP="001A4248">
      <w:pPr>
        <w:pStyle w:val="Heading3"/>
        <w:rPr>
          <w:rFonts w:asciiTheme="minorHAnsi" w:hAnsiTheme="minorHAnsi" w:cstheme="minorHAnsi"/>
        </w:rPr>
      </w:pPr>
      <w:r>
        <w:rPr>
          <w:rFonts w:asciiTheme="minorHAnsi" w:hAnsiTheme="minorHAnsi" w:cstheme="minorHAnsi"/>
        </w:rPr>
        <w:t>2ac – medical knowledge link</w:t>
      </w:r>
    </w:p>
    <w:p w14:paraId="0F65E4EB" w14:textId="77777777" w:rsidR="001A4248" w:rsidRPr="00B324C4" w:rsidRDefault="001A4248" w:rsidP="001A4248">
      <w:pPr>
        <w:pStyle w:val="Heading4"/>
      </w:pPr>
      <w:r>
        <w:t xml:space="preserve">The aff </w:t>
      </w:r>
      <w:r>
        <w:rPr>
          <w:u w:val="single"/>
        </w:rPr>
        <w:t>calls out</w:t>
      </w:r>
      <w:r>
        <w:t xml:space="preserve"> the colonial model of medicinal knowledge – lack of </w:t>
      </w:r>
      <w:r w:rsidRPr="00B324C4">
        <w:rPr>
          <w:u w:val="single"/>
        </w:rPr>
        <w:t>patient-centered care</w:t>
      </w:r>
      <w:r>
        <w:t xml:space="preserve"> from NP shortages and paternalistic organization through SOP laws are colonial in nature</w:t>
      </w:r>
    </w:p>
    <w:p w14:paraId="530BC0DE" w14:textId="77777777" w:rsidR="001A4248" w:rsidRDefault="001A4248" w:rsidP="001A4248">
      <w:r w:rsidRPr="005533D7">
        <w:rPr>
          <w:rStyle w:val="Style13ptBold"/>
        </w:rPr>
        <w:t>Wong et. al. 21</w:t>
      </w:r>
      <w:r>
        <w:t xml:space="preserve"> (Sarah H.M. Wong, Medical Student at UCL London, Faye Gishen, consultant physician in palliative medicine and Associate Head of the MBBS (Medicine) at UCL, London, Amali U. Lokugamage, consultant obstetrician and gynaecologist and Honorary Associate Professor at UCL, London, “‘Decolonising the Medical Curriculum‘: Humanising medicine through epistemic pluralism, cultural safety and critical consciousness,” London Review of Education, May 19</w:t>
      </w:r>
      <w:r w:rsidRPr="00C57E6E">
        <w:rPr>
          <w:vertAlign w:val="superscript"/>
        </w:rPr>
        <w:t>th</w:t>
      </w:r>
      <w:r>
        <w:t>, 2021, DOI: 10.14324/LRE.19.1.16)//NRG</w:t>
      </w:r>
    </w:p>
    <w:p w14:paraId="04F2F904" w14:textId="77777777" w:rsidR="001A4248" w:rsidRDefault="001A4248" w:rsidP="001A4248">
      <w:r>
        <w:t>From a biomedical gaze to epistemic pluralism</w:t>
      </w:r>
    </w:p>
    <w:p w14:paraId="7847C54C" w14:textId="77777777" w:rsidR="001A4248" w:rsidRPr="00AD1E5E" w:rsidRDefault="001A4248" w:rsidP="001A4248">
      <w:pPr>
        <w:rPr>
          <w:sz w:val="16"/>
        </w:rPr>
      </w:pPr>
      <w:r w:rsidRPr="00AD1E5E">
        <w:rPr>
          <w:sz w:val="16"/>
        </w:rPr>
        <w:t xml:space="preserve">Perhaps we should begin by problematising the term ‘Western medicine’, also referred to as ‘conventional’, ‘modern’ or ‘evidence-based’ medicine, especially when juxtaposed against ‘alternative’ medicine. This latter encompasses a whole gamut of diverse healing traditions with far-reaching historical, geographical and cultural roots, which represent the vast majority of healthcare provision worldwide (Sodi and Bojuwoye, 2011). An overt </w:t>
      </w:r>
      <w:r w:rsidRPr="00556965">
        <w:rPr>
          <w:rStyle w:val="StyleUnderline"/>
        </w:rPr>
        <w:t>dismissal of all ‘non-Western’ modes of thinking about healing as outdated, marginal and irrelevant has characterised decades of paternalism within the medical profession</w:t>
      </w:r>
      <w:r w:rsidRPr="00AD1E5E">
        <w:rPr>
          <w:sz w:val="16"/>
        </w:rPr>
        <w:t xml:space="preserve"> (‘doctor knows best’). Various </w:t>
      </w:r>
      <w:r w:rsidRPr="00BE6CC0">
        <w:rPr>
          <w:rStyle w:val="Emphasis"/>
          <w:highlight w:val="green"/>
        </w:rPr>
        <w:t>strategies have emerged</w:t>
      </w:r>
      <w:r w:rsidRPr="00AD1E5E">
        <w:rPr>
          <w:sz w:val="16"/>
        </w:rPr>
        <w:t xml:space="preserve"> in medical training, such as an </w:t>
      </w:r>
      <w:r w:rsidRPr="00BE6CC0">
        <w:rPr>
          <w:rStyle w:val="StyleUnderline"/>
          <w:highlight w:val="green"/>
        </w:rPr>
        <w:t xml:space="preserve">emphasis on </w:t>
      </w:r>
      <w:r w:rsidRPr="00BE6CC0">
        <w:rPr>
          <w:rStyle w:val="Emphasis"/>
          <w:highlight w:val="green"/>
        </w:rPr>
        <w:t>patient-centred care</w:t>
      </w:r>
      <w:r w:rsidRPr="00AD1E5E">
        <w:rPr>
          <w:sz w:val="16"/>
        </w:rPr>
        <w:t xml:space="preserve"> (Bleakley, 2014; Kitson et al., 2013; Stewart, 2001) </w:t>
      </w:r>
      <w:r w:rsidRPr="00BE6CC0">
        <w:rPr>
          <w:rStyle w:val="StyleUnderline"/>
          <w:highlight w:val="green"/>
        </w:rPr>
        <w:t>and the</w:t>
      </w:r>
      <w:r w:rsidRPr="00556965">
        <w:rPr>
          <w:rStyle w:val="StyleUnderline"/>
        </w:rPr>
        <w:t xml:space="preserve"> expansion of the biomedical model to a </w:t>
      </w:r>
      <w:r w:rsidRPr="00BE6CC0">
        <w:rPr>
          <w:rStyle w:val="Emphasis"/>
          <w:highlight w:val="green"/>
        </w:rPr>
        <w:t>biopsychosocial model</w:t>
      </w:r>
      <w:r w:rsidRPr="00AD1E5E">
        <w:rPr>
          <w:sz w:val="16"/>
        </w:rPr>
        <w:t xml:space="preserve"> (Engel, 1977) to address the discrepancy between biomedical concepts of disease and lived realities of illness. However, </w:t>
      </w:r>
      <w:r w:rsidRPr="00BE6CC0">
        <w:rPr>
          <w:rStyle w:val="StyleUnderline"/>
          <w:highlight w:val="green"/>
        </w:rPr>
        <w:t>paternalistic thinking in medicine</w:t>
      </w:r>
      <w:r w:rsidRPr="00556965">
        <w:rPr>
          <w:rStyle w:val="StyleUnderline"/>
        </w:rPr>
        <w:t xml:space="preserve"> may not be so easily eradicated</w:t>
      </w:r>
      <w:r w:rsidRPr="00AD1E5E">
        <w:rPr>
          <w:sz w:val="16"/>
        </w:rPr>
        <w:t xml:space="preserve">. Some of this </w:t>
      </w:r>
      <w:r w:rsidRPr="00BE6CC0">
        <w:rPr>
          <w:rStyle w:val="Emphasis"/>
          <w:highlight w:val="green"/>
        </w:rPr>
        <w:t>intellectual arrogance</w:t>
      </w:r>
      <w:r w:rsidRPr="00AD1E5E">
        <w:rPr>
          <w:sz w:val="16"/>
        </w:rPr>
        <w:t xml:space="preserve"> may be </w:t>
      </w:r>
      <w:r w:rsidRPr="00556965">
        <w:rPr>
          <w:rStyle w:val="StyleUnderline"/>
        </w:rPr>
        <w:t>traced to a colonial-era belief in the inherent superiority of a dominant culture</w:t>
      </w:r>
      <w:r w:rsidRPr="00AD1E5E">
        <w:rPr>
          <w:sz w:val="16"/>
        </w:rPr>
        <w:t xml:space="preserve">, which </w:t>
      </w:r>
      <w:r w:rsidRPr="00BE6CC0">
        <w:rPr>
          <w:rStyle w:val="Emphasis"/>
          <w:highlight w:val="green"/>
        </w:rPr>
        <w:t>justifies</w:t>
      </w:r>
      <w:r w:rsidRPr="00AD1E5E">
        <w:rPr>
          <w:sz w:val="16"/>
        </w:rPr>
        <w:t xml:space="preserve"> their encroachment on to, and even </w:t>
      </w:r>
      <w:r w:rsidRPr="00BE6CC0">
        <w:rPr>
          <w:rStyle w:val="Emphasis"/>
          <w:highlight w:val="green"/>
        </w:rPr>
        <w:t>eradication of, other cultures</w:t>
      </w:r>
      <w:r w:rsidRPr="00AD1E5E">
        <w:rPr>
          <w:sz w:val="16"/>
        </w:rPr>
        <w:t>. This attitude reinforces the key limitation of biomedicine, which is its exclusive claim to knowledge that matters.</w:t>
      </w:r>
    </w:p>
    <w:p w14:paraId="7468F34F" w14:textId="77777777" w:rsidR="001A4248" w:rsidRPr="00BE6CC0" w:rsidRDefault="001A4248" w:rsidP="001A4248">
      <w:pPr>
        <w:rPr>
          <w:sz w:val="16"/>
        </w:rPr>
      </w:pPr>
      <w:r w:rsidRPr="00BE6CC0">
        <w:rPr>
          <w:sz w:val="16"/>
        </w:rPr>
        <w:t xml:space="preserve">Armed with this claim, </w:t>
      </w:r>
      <w:r w:rsidRPr="00121FFA">
        <w:rPr>
          <w:rStyle w:val="StyleUnderline"/>
        </w:rPr>
        <w:t>proponents of biomedicine often adopt a defensive stance towards non-biomedical frameworks of health, citing their lack of an evidence base</w:t>
      </w:r>
      <w:r w:rsidRPr="00BE6CC0">
        <w:rPr>
          <w:sz w:val="16"/>
        </w:rPr>
        <w:t>. However, as discussed in the Introduction, knowledge purported as ‘evidence-based’ in medicine may not live up to this descriptor (Wright, 2007). Examining guidelines published by the Royal College of Obstetricians and Gynaecologists, Prusova et al. (2014) found that only 9 to 12 per cent were supported by the highest standard of evidence (Grade A) based on systematic reviews or individual randomised control trials. Scientific academia is largely centred around a positivist, ‘one-size-fits-all’ study design (Lokugamage et al., 2020a) – a randomised control trial well-suited to investigating the efficacy of a pill can become riddled with confounding bias when applied to complex interventions. In addition, quantitative data are privileged over qualitative data, reflecting a fixed preconception in clinical research about what constitutes a good treatment outcome (see Greenhalgh et al., 2014). One example of a common bias in study design may be found in randomised control trials around medical acupuncture, which have been critiqued for their use of an inadequate control (Chae et al., 2018) and neglect of qualitative outcomes (Lokugamage et al., 2020b). Another area of bias is in research funding, which comprises epistemic, geographic and institutional disparities in resource allocation. The result of this is ‘undone science’ (Frickel et al., 2010) – research benefiting minoritised and disadvantaged groups in society that remains ‘unfunded, incomplete or generally ignored’ (Frickel et al., 2010: 445) – as resources are channelled into research that supports existing institutional agendas (Richardson, 2020). Aside from an understanding of other healing systems, students should be educated about these gaps in medical literature, to appreciate the bias inherent within research production and how it distorts our perception of the efficacy of indigenous/traditional complementary therapies with origins in the Global South.</w:t>
      </w:r>
    </w:p>
    <w:p w14:paraId="794B23E5" w14:textId="77777777" w:rsidR="001A4248" w:rsidRPr="00BE6CC0" w:rsidRDefault="001A4248" w:rsidP="001A4248">
      <w:pPr>
        <w:rPr>
          <w:sz w:val="16"/>
        </w:rPr>
      </w:pPr>
      <w:r w:rsidRPr="00121FFA">
        <w:rPr>
          <w:rStyle w:val="StyleUnderline"/>
        </w:rPr>
        <w:t xml:space="preserve">A </w:t>
      </w:r>
      <w:r w:rsidRPr="002D6ACB">
        <w:rPr>
          <w:rStyle w:val="StyleUnderline"/>
          <w:highlight w:val="green"/>
        </w:rPr>
        <w:t>medically plural curriculum</w:t>
      </w:r>
      <w:r w:rsidRPr="00121FFA">
        <w:rPr>
          <w:rStyle w:val="StyleUnderline"/>
        </w:rPr>
        <w:t xml:space="preserve"> should </w:t>
      </w:r>
      <w:r w:rsidRPr="002D6ACB">
        <w:rPr>
          <w:rStyle w:val="StyleUnderline"/>
          <w:highlight w:val="green"/>
        </w:rPr>
        <w:t>accept that a health system does not exist as</w:t>
      </w:r>
      <w:r w:rsidRPr="00121FFA">
        <w:rPr>
          <w:rStyle w:val="StyleUnderline"/>
        </w:rPr>
        <w:t xml:space="preserve"> a </w:t>
      </w:r>
      <w:r w:rsidRPr="00121FFA">
        <w:rPr>
          <w:rStyle w:val="Emphasis"/>
        </w:rPr>
        <w:t>discrete</w:t>
      </w:r>
      <w:r w:rsidRPr="00121FFA">
        <w:rPr>
          <w:rStyle w:val="StyleUnderline"/>
        </w:rPr>
        <w:t xml:space="preserve"> and </w:t>
      </w:r>
      <w:r w:rsidRPr="002D6ACB">
        <w:rPr>
          <w:rStyle w:val="Emphasis"/>
          <w:highlight w:val="green"/>
        </w:rPr>
        <w:t>immutable</w:t>
      </w:r>
      <w:r w:rsidRPr="00121FFA">
        <w:rPr>
          <w:rStyle w:val="StyleUnderline"/>
        </w:rPr>
        <w:t xml:space="preserve"> entity – in the same way that this is true of culture</w:t>
      </w:r>
      <w:r w:rsidRPr="00BE6CC0">
        <w:rPr>
          <w:sz w:val="16"/>
        </w:rPr>
        <w:t xml:space="preserve"> (Kleinman and Benson, 2006). Perspectives that have emerged from the field of medical anthropology suggest that closer attention be paid to the role that culture plays in shaping our perceptions of health and illness. Every system of healing is a collection of beliefs and practices shaped by a long history of interaction with other traditions within an interconnected global landscape, such as the contribution of indigenous knowledge of medicinal plants to the development of modern pharmaceuticals (Jamshidi-Kia et al., 2018; Maridass and De Britto, 2008). </w:t>
      </w:r>
      <w:r w:rsidRPr="002D6ACB">
        <w:rPr>
          <w:rStyle w:val="StyleUnderline"/>
          <w:highlight w:val="green"/>
        </w:rPr>
        <w:t>Biomedicine</w:t>
      </w:r>
      <w:r w:rsidRPr="00121FFA">
        <w:rPr>
          <w:rStyle w:val="StyleUnderline"/>
        </w:rPr>
        <w:t xml:space="preserve"> is a singular way of interpreting the world that </w:t>
      </w:r>
      <w:r w:rsidRPr="002D6ACB">
        <w:rPr>
          <w:rStyle w:val="StyleUnderline"/>
          <w:highlight w:val="green"/>
        </w:rPr>
        <w:t>needs to be synthesised with other perspectives to give rise to</w:t>
      </w:r>
      <w:r w:rsidRPr="00121FFA">
        <w:rPr>
          <w:rStyle w:val="StyleUnderline"/>
        </w:rPr>
        <w:t xml:space="preserve"> integrative and </w:t>
      </w:r>
      <w:r w:rsidRPr="002D6ACB">
        <w:rPr>
          <w:rStyle w:val="Emphasis"/>
          <w:highlight w:val="green"/>
        </w:rPr>
        <w:t>holistic medical practice</w:t>
      </w:r>
      <w:r w:rsidRPr="00BE6CC0">
        <w:rPr>
          <w:sz w:val="16"/>
        </w:rPr>
        <w:t xml:space="preserve"> (Baer, 2004). </w:t>
      </w:r>
      <w:r w:rsidRPr="00121FFA">
        <w:rPr>
          <w:rStyle w:val="StyleUnderline"/>
        </w:rPr>
        <w:t>Failure to adopt an objective and critical lens towards biomedicine can lead to over-(bio)medicalisation</w:t>
      </w:r>
      <w:r w:rsidRPr="00BE6CC0">
        <w:rPr>
          <w:sz w:val="16"/>
        </w:rPr>
        <w:t xml:space="preserve"> (Lock and Gordon, 2012), </w:t>
      </w:r>
      <w:r w:rsidRPr="00121FFA">
        <w:rPr>
          <w:rStyle w:val="StyleUnderline"/>
        </w:rPr>
        <w:t>complacency</w:t>
      </w:r>
      <w:r w:rsidRPr="00BE6CC0">
        <w:rPr>
          <w:sz w:val="16"/>
        </w:rPr>
        <w:t xml:space="preserve"> (Kleinman, 1995) </w:t>
      </w:r>
      <w:r w:rsidRPr="00121FFA">
        <w:rPr>
          <w:rStyle w:val="StyleUnderline"/>
        </w:rPr>
        <w:t>and over-reliance on simple guidelines that do not account for complexity and individual variability in healthcare</w:t>
      </w:r>
      <w:r w:rsidRPr="00BE6CC0">
        <w:rPr>
          <w:sz w:val="16"/>
        </w:rPr>
        <w:t xml:space="preserve"> (Greenhalgh et al., 2014; Plsek and Greenhalgh, 2001). This resistance to change has led to a ‘narrowly focused therapeutic vision’ (Kleinman, 1995: 28) in much of contemporary medicine that must be broadened through an openness to epistemologies historically considered ‘other’. While components of traditional and folk medicine from Africa, the Middle East, Asia and South America – including yoga, meditation and herbal medicine – have gained a degree of mainstream acceptance in Europe and America, others that cannot be adapted for the biomedical agenda are often dismissed as pseudoscience, placebo or both. This selective co-opting of alternative therapies into biomedicine, divorced from knowledge of their historic and cultural origins, belies the ideal of epistemic pluralism and can be considered a form of medical cultural appropriation (see Lokugamage et al., 2020a: 270).</w:t>
      </w:r>
    </w:p>
    <w:p w14:paraId="52ACEE51" w14:textId="77777777" w:rsidR="001A4248" w:rsidRPr="00BE6CC0" w:rsidRDefault="001A4248" w:rsidP="001A4248">
      <w:pPr>
        <w:rPr>
          <w:sz w:val="10"/>
          <w:szCs w:val="10"/>
        </w:rPr>
      </w:pPr>
      <w:r w:rsidRPr="00BE6CC0">
        <w:rPr>
          <w:sz w:val="10"/>
          <w:szCs w:val="10"/>
        </w:rPr>
        <w:t>Even though concepts such as subjectivity and cultural literacy have long been mainstays in other disciplines, medicine has yet to draw deeply enough from these to equip medical students to navigate the cultural complexities of medical practice. In some ways, this reflects a colonial hierarchy of disciplines (Bhambra et al., 2018: 5) that prioritises a singular Eurocentric biomedical view, which claims neutrality (Last, 2020: 219), over the social sciences and humanities, which afford a degree of knowledge devolution. While there has been growing emphasis on sociology in medical education from a public health and health policy perspective (Collett et al., 2016), this interest has not been extended fully to the vast literature available within medical anthropology, global health, history of medicine and medical ethics. As a result, there has been focus on social determinants of health without analysis of how these determinants are deeply embedded within contexts of culture, identity and world view (Kirmayer, 2012). For medicine to progress beyond the biomedical towards a more holistic paradigm, medical education must be open to contribution from a diversity of epistemologies and disciplinary fields (Le Grange, 2016; Last, 2020).</w:t>
      </w:r>
    </w:p>
    <w:p w14:paraId="4F3F8971" w14:textId="77777777" w:rsidR="001A4248" w:rsidRPr="00BE6CC0" w:rsidRDefault="001A4248" w:rsidP="001A4248">
      <w:pPr>
        <w:rPr>
          <w:sz w:val="10"/>
          <w:szCs w:val="10"/>
        </w:rPr>
      </w:pPr>
      <w:r w:rsidRPr="00BE6CC0">
        <w:rPr>
          <w:sz w:val="10"/>
          <w:szCs w:val="10"/>
        </w:rPr>
        <w:t>From cultural competence to cultural safety</w:t>
      </w:r>
    </w:p>
    <w:p w14:paraId="5388A318" w14:textId="77777777" w:rsidR="001A4248" w:rsidRPr="00BE6CC0" w:rsidRDefault="001A4248" w:rsidP="001A4248">
      <w:pPr>
        <w:rPr>
          <w:sz w:val="10"/>
          <w:szCs w:val="10"/>
        </w:rPr>
      </w:pPr>
      <w:r w:rsidRPr="00BE6CC0">
        <w:rPr>
          <w:sz w:val="10"/>
          <w:szCs w:val="10"/>
        </w:rPr>
        <w:t>Diversity teaching in medical schools has mostly been delivered through a cultural competence model (Betancourt et al., 2003; Dogra et al., 2010; Kripalani et al., 2006) that is criticised for its tendency to reinforce unhelpful cultural stereotypes (George et al., 2015) and to teach political correctness rather than cultural humility (Shapiro et al., 2006). A decolonising approach to diversity challenges these assumptions and refutes simplistic conceptions of race, culture and identity, recognising how they have been utilized to further European colonial projects (Quijano, 2007: 171). Cultural safety is such an approach, which recognises the cultural destructiveness of colonial ways of thinking about (and classifying) difference. It overcomes the limitations of cultural competence by transcending superficial understandings of culture and evaluating the broader historical context of cultural prejudice that contributes to healthcare inequity (Curtis et al., 2019). Furthermore, cultural safety is a reverse innovation (an innovation brought to the forefront from a culturally colonised society) (DePasse and Lee, 2013; Lokugamage et al., 2019), pioneered by a Māori nursing educator in New Zealand to address the colonial roots of health inequities between indigenous Māori and non-indigenous populations (Ramsden, 2002). This signifies how the premise of cultural safety is formed by the lived experiences of individuals from historically oppressed communities, challenging Eurocentric conceptions of culture by foregrounding a more expansive, inclusive perspective on cultural identity and why it matters in medicine (Lokugamage et al., 2021).</w:t>
      </w:r>
    </w:p>
    <w:p w14:paraId="3BE5B0E7" w14:textId="77777777" w:rsidR="001A4248" w:rsidRPr="00BE6CC0" w:rsidRDefault="001A4248" w:rsidP="001A4248">
      <w:pPr>
        <w:rPr>
          <w:sz w:val="10"/>
          <w:szCs w:val="10"/>
        </w:rPr>
      </w:pPr>
      <w:r w:rsidRPr="00BE6CC0">
        <w:rPr>
          <w:sz w:val="10"/>
          <w:szCs w:val="10"/>
        </w:rPr>
        <w:t>Therefore, to decolonise a medical curriculum, educators need to start focusing on cultural safety rather than cultural competence. Cultural safety disputes the notion that biomedicine is acultural and impartial (Lupton, 2012), recognising that medicine’s dominant ‘culture of no culture’ (Taylor, 2003; Taylor and Wendland, 2015) can lead to ignorance in the medical profession and of health professionals towards their own cultural bias. This lack of critical self-awareness may translate to clinicians practising a superficial empathy founded on expectations of professionalism, rather than nurtured through a complex awareness of the lived realities of patients through how they relate to one’s own. Through subverting the clinician’s role as an observer, and transforming them into the object of study, the cultural safety model has the potential to neutralise some biases of the hidden curriculum in ‘diversity teaching’ (Ramsden, 2002). As Curtis et al. (2019: 17) write: ‘In contrast to cultural competency, the focus of cultural safety moves to the culture of the clinician or the clinical environment rather than the culture of the “exotic other” patient.’ Furthermore, through its broader critique of institutional racism in society as a threat to minoritised cultures, the cultural safety model positions health systems, organisations and providers as the focal point for interventions to promote health equity. By facilitating an inward process of self-examination while turning one’s gaze to the broader structural factors that produce health inequalities, it reveals the psychological, social and historical underpinnings of power imbalances in the doctor–patient relationship that disadvantage minoritised patient groups across societies today (Curtis et al., 2019).</w:t>
      </w:r>
    </w:p>
    <w:p w14:paraId="75C057F2" w14:textId="77777777" w:rsidR="001A4248" w:rsidRPr="00BE6CC0" w:rsidRDefault="001A4248" w:rsidP="001A4248">
      <w:pPr>
        <w:rPr>
          <w:sz w:val="16"/>
        </w:rPr>
      </w:pPr>
      <w:r w:rsidRPr="00BE6CC0">
        <w:rPr>
          <w:rStyle w:val="StyleUnderline"/>
        </w:rPr>
        <w:t>The decolonial mindset is an uncomfortable and challenging space to occupy in medicine</w:t>
      </w:r>
      <w:r w:rsidRPr="00BE6CC0">
        <w:rPr>
          <w:sz w:val="16"/>
        </w:rPr>
        <w:t xml:space="preserve">. Clinicians may struggle to reconcile the tension between contemporary expectations of political correctness and their personal beliefs regarding race-based differences (Hoberman, 2012). </w:t>
      </w:r>
      <w:r w:rsidRPr="00BE6CC0">
        <w:rPr>
          <w:rStyle w:val="StyleUnderline"/>
        </w:rPr>
        <w:t>This is why opportunities for critical reflection around sociocultural issues, exposure to diverse patient narratives and the practice of reflexivity</w:t>
      </w:r>
      <w:r w:rsidRPr="00BE6CC0">
        <w:rPr>
          <w:sz w:val="16"/>
        </w:rPr>
        <w:t xml:space="preserve"> (Iedema, 2011: i84) should be offered throughout medical school, including early exposure to interdisciplinary perspectives. These enable medical students to practice engaging with complexity and ambiguity in the clinical encounter (see GMC, 2018) and develop the intellectual (Miller, 2013) and emotional (Cameron and Inzlicht, 2020) capacity for empathy early on in their professional journeys. The cultural safety model provides a platform to deepen connections between practitioners, patients and their wider community (Pimentel et al., 2020). It also represents a </w:t>
      </w:r>
      <w:r w:rsidRPr="002D6ACB">
        <w:rPr>
          <w:rStyle w:val="Emphasis"/>
          <w:highlight w:val="green"/>
        </w:rPr>
        <w:t>re-imagining</w:t>
      </w:r>
      <w:r w:rsidRPr="00BE6CC0">
        <w:rPr>
          <w:sz w:val="16"/>
        </w:rPr>
        <w:t xml:space="preserve"> of the medical curriculum that holds </w:t>
      </w:r>
      <w:r w:rsidRPr="002D6ACB">
        <w:rPr>
          <w:rStyle w:val="Emphasis"/>
          <w:highlight w:val="green"/>
        </w:rPr>
        <w:t>medical institutions</w:t>
      </w:r>
      <w:r w:rsidRPr="002D6ACB">
        <w:rPr>
          <w:sz w:val="16"/>
          <w:highlight w:val="green"/>
        </w:rPr>
        <w:t xml:space="preserve"> </w:t>
      </w:r>
      <w:r w:rsidRPr="002D6ACB">
        <w:rPr>
          <w:rStyle w:val="StyleUnderline"/>
          <w:highlight w:val="green"/>
        </w:rPr>
        <w:t>accountable</w:t>
      </w:r>
      <w:r w:rsidRPr="00BE6CC0">
        <w:rPr>
          <w:rStyle w:val="StyleUnderline"/>
        </w:rPr>
        <w:t xml:space="preserve"> to their past </w:t>
      </w:r>
      <w:r w:rsidRPr="002D6ACB">
        <w:rPr>
          <w:rStyle w:val="StyleUnderline"/>
          <w:highlight w:val="green"/>
        </w:rPr>
        <w:t>and medical practitioners</w:t>
      </w:r>
      <w:r w:rsidRPr="00BE6CC0">
        <w:rPr>
          <w:rStyle w:val="StyleUnderline"/>
        </w:rPr>
        <w:t xml:space="preserve"> to </w:t>
      </w:r>
      <w:r w:rsidRPr="002D6ACB">
        <w:rPr>
          <w:rStyle w:val="StyleUnderline"/>
          <w:highlight w:val="green"/>
        </w:rPr>
        <w:t>protecting</w:t>
      </w:r>
      <w:r w:rsidRPr="00BE6CC0">
        <w:rPr>
          <w:rStyle w:val="StyleUnderline"/>
        </w:rPr>
        <w:t xml:space="preserve"> the rights of </w:t>
      </w:r>
      <w:r w:rsidRPr="002D6ACB">
        <w:rPr>
          <w:rStyle w:val="StyleUnderline"/>
          <w:highlight w:val="green"/>
        </w:rPr>
        <w:t>their most vulnerable patients</w:t>
      </w:r>
      <w:r w:rsidRPr="00BE6CC0">
        <w:rPr>
          <w:sz w:val="16"/>
        </w:rPr>
        <w:t>. In the following section, we explicate how critically examining the relationship between medicine and colonial history may empower students (Harland and Wald, 2018) to advocate for structural change within their social milieu.</w:t>
      </w:r>
    </w:p>
    <w:p w14:paraId="6EFACA6F" w14:textId="77777777" w:rsidR="001A4248" w:rsidRDefault="001A4248" w:rsidP="001A4248">
      <w:r>
        <w:t>From sanctioned ignorance to critical consciousness</w:t>
      </w:r>
    </w:p>
    <w:p w14:paraId="2634F757" w14:textId="77777777" w:rsidR="001A4248" w:rsidRPr="00BE6CC0" w:rsidRDefault="001A4248" w:rsidP="001A4248">
      <w:pPr>
        <w:rPr>
          <w:rStyle w:val="StyleUnderline"/>
        </w:rPr>
      </w:pPr>
      <w:r w:rsidRPr="00BE6CC0">
        <w:rPr>
          <w:sz w:val="16"/>
        </w:rPr>
        <w:t>The concept of ‘</w:t>
      </w:r>
      <w:r w:rsidRPr="002D6ACB">
        <w:rPr>
          <w:rStyle w:val="StyleUnderline"/>
          <w:highlight w:val="green"/>
        </w:rPr>
        <w:t>critical consciousness’</w:t>
      </w:r>
      <w:r w:rsidRPr="00BE6CC0">
        <w:rPr>
          <w:sz w:val="16"/>
        </w:rPr>
        <w:t xml:space="preserve">, developed and popularised by the Brazilian educator, philosopher and activist Paulo Freire (1973), </w:t>
      </w:r>
      <w:r w:rsidRPr="002D6ACB">
        <w:rPr>
          <w:rStyle w:val="StyleUnderline"/>
          <w:highlight w:val="green"/>
        </w:rPr>
        <w:t>integrates</w:t>
      </w:r>
      <w:r w:rsidRPr="00BE6CC0">
        <w:rPr>
          <w:rStyle w:val="StyleUnderline"/>
        </w:rPr>
        <w:t xml:space="preserve"> critical theory with pedagogy and social justice</w:t>
      </w:r>
      <w:r w:rsidRPr="00BE6CC0">
        <w:rPr>
          <w:sz w:val="16"/>
        </w:rPr>
        <w:t xml:space="preserve"> within a three-component formulation: </w:t>
      </w:r>
      <w:r w:rsidRPr="00BE6CC0">
        <w:rPr>
          <w:rStyle w:val="StyleUnderline"/>
        </w:rPr>
        <w:t xml:space="preserve">(1) critical social </w:t>
      </w:r>
      <w:r w:rsidRPr="002D6ACB">
        <w:rPr>
          <w:rStyle w:val="Emphasis"/>
          <w:highlight w:val="green"/>
        </w:rPr>
        <w:t>analysis</w:t>
      </w:r>
      <w:r w:rsidRPr="00BE6CC0">
        <w:rPr>
          <w:rStyle w:val="StyleUnderline"/>
        </w:rPr>
        <w:t xml:space="preserve"> and reflection; (2) political </w:t>
      </w:r>
      <w:r w:rsidRPr="002D6ACB">
        <w:rPr>
          <w:rStyle w:val="Emphasis"/>
          <w:highlight w:val="green"/>
        </w:rPr>
        <w:t>efficacy</w:t>
      </w:r>
      <w:r w:rsidRPr="00BE6CC0">
        <w:rPr>
          <w:rStyle w:val="StyleUnderline"/>
        </w:rPr>
        <w:t xml:space="preserve">, that is, perceived ability to enact political change; and (3) participation in civic </w:t>
      </w:r>
      <w:r w:rsidRPr="002D6ACB">
        <w:rPr>
          <w:rStyle w:val="StyleUnderline"/>
          <w:highlight w:val="green"/>
        </w:rPr>
        <w:t>and</w:t>
      </w:r>
      <w:r w:rsidRPr="00BE6CC0">
        <w:rPr>
          <w:rStyle w:val="StyleUnderline"/>
        </w:rPr>
        <w:t xml:space="preserve"> political action, that is, </w:t>
      </w:r>
      <w:r w:rsidRPr="002D6ACB">
        <w:rPr>
          <w:rStyle w:val="Emphasis"/>
          <w:highlight w:val="green"/>
        </w:rPr>
        <w:t>praxis</w:t>
      </w:r>
      <w:r w:rsidRPr="00BE6CC0">
        <w:rPr>
          <w:sz w:val="16"/>
        </w:rPr>
        <w:t xml:space="preserve"> (see also Watts et al., 2011). Within medicine doctors play a crucial role in advocating for patients disadvantaged by healthcare practices, policies and environments. </w:t>
      </w:r>
      <w:r w:rsidRPr="002D6ACB">
        <w:rPr>
          <w:rStyle w:val="StyleUnderline"/>
          <w:highlight w:val="green"/>
        </w:rPr>
        <w:t>Equipping clinicians</w:t>
      </w:r>
      <w:r w:rsidRPr="00BE6CC0">
        <w:rPr>
          <w:rStyle w:val="StyleUnderline"/>
        </w:rPr>
        <w:t xml:space="preserve"> to-be </w:t>
      </w:r>
      <w:r w:rsidRPr="002D6ACB">
        <w:rPr>
          <w:rStyle w:val="StyleUnderline"/>
          <w:highlight w:val="green"/>
        </w:rPr>
        <w:t>with</w:t>
      </w:r>
      <w:r w:rsidRPr="00BE6CC0">
        <w:rPr>
          <w:rStyle w:val="StyleUnderline"/>
        </w:rPr>
        <w:t xml:space="preserve"> knowledge of the origins of these structures, along with their </w:t>
      </w:r>
      <w:r w:rsidRPr="002D6ACB">
        <w:rPr>
          <w:rStyle w:val="Emphasis"/>
          <w:highlight w:val="green"/>
        </w:rPr>
        <w:t>agency</w:t>
      </w:r>
      <w:r w:rsidRPr="00BE6CC0">
        <w:rPr>
          <w:rStyle w:val="StyleUnderline"/>
        </w:rPr>
        <w:t xml:space="preserve"> to effect change within the system</w:t>
      </w:r>
      <w:r w:rsidRPr="00BE6CC0">
        <w:rPr>
          <w:sz w:val="16"/>
        </w:rPr>
        <w:t xml:space="preserve"> (Geiger, 2017), </w:t>
      </w:r>
      <w:r w:rsidRPr="00BE6CC0">
        <w:rPr>
          <w:rStyle w:val="StyleUnderline"/>
        </w:rPr>
        <w:t>is a crucial component of</w:t>
      </w:r>
      <w:r w:rsidRPr="00BE6CC0">
        <w:rPr>
          <w:sz w:val="16"/>
        </w:rPr>
        <w:t xml:space="preserve"> the arduous task of </w:t>
      </w:r>
      <w:r w:rsidRPr="002D6ACB">
        <w:rPr>
          <w:rStyle w:val="Emphasis"/>
          <w:highlight w:val="green"/>
        </w:rPr>
        <w:t>dismantling barriers to health justice</w:t>
      </w:r>
      <w:r w:rsidRPr="00BE6CC0">
        <w:rPr>
          <w:sz w:val="16"/>
        </w:rPr>
        <w:t xml:space="preserve">. In this section, we discuss how future </w:t>
      </w:r>
      <w:r w:rsidRPr="00BE6CC0">
        <w:rPr>
          <w:rStyle w:val="StyleUnderline"/>
        </w:rPr>
        <w:t>doctors may learn to enact critical consciousness through praxis by incorporating teaching on global health, history of medicine and critical perspectives on race into the medical curriculum.</w:t>
      </w:r>
    </w:p>
    <w:p w14:paraId="5901978D" w14:textId="77777777" w:rsidR="001A4248" w:rsidRPr="00BE6CC0" w:rsidRDefault="001A4248" w:rsidP="001A4248">
      <w:pPr>
        <w:rPr>
          <w:sz w:val="16"/>
        </w:rPr>
      </w:pPr>
      <w:r w:rsidRPr="00BE6CC0">
        <w:rPr>
          <w:sz w:val="16"/>
        </w:rPr>
        <w:t xml:space="preserve">Globally, the </w:t>
      </w:r>
      <w:r w:rsidRPr="002D6ACB">
        <w:rPr>
          <w:rStyle w:val="StyleUnderline"/>
          <w:highlight w:val="green"/>
        </w:rPr>
        <w:t>COVID</w:t>
      </w:r>
      <w:r w:rsidRPr="00BE6CC0">
        <w:rPr>
          <w:rStyle w:val="StyleUnderline"/>
        </w:rPr>
        <w:t>-19</w:t>
      </w:r>
      <w:r w:rsidRPr="00BE6CC0">
        <w:rPr>
          <w:sz w:val="16"/>
        </w:rPr>
        <w:t xml:space="preserve"> pandemic </w:t>
      </w:r>
      <w:r w:rsidRPr="00BE6CC0">
        <w:rPr>
          <w:rStyle w:val="StyleUnderline"/>
        </w:rPr>
        <w:t xml:space="preserve">has </w:t>
      </w:r>
      <w:r w:rsidRPr="002D6ACB">
        <w:rPr>
          <w:rStyle w:val="StyleUnderline"/>
          <w:highlight w:val="green"/>
        </w:rPr>
        <w:t>revealed</w:t>
      </w:r>
      <w:r w:rsidRPr="00BE6CC0">
        <w:rPr>
          <w:rStyle w:val="StyleUnderline"/>
        </w:rPr>
        <w:t xml:space="preserve"> the </w:t>
      </w:r>
      <w:r w:rsidRPr="002D6ACB">
        <w:rPr>
          <w:rStyle w:val="Emphasis"/>
          <w:highlight w:val="green"/>
        </w:rPr>
        <w:t>fragility</w:t>
      </w:r>
      <w:r w:rsidRPr="002D6ACB">
        <w:rPr>
          <w:rStyle w:val="StyleUnderline"/>
          <w:highlight w:val="green"/>
        </w:rPr>
        <w:t xml:space="preserve"> of our </w:t>
      </w:r>
      <w:r w:rsidRPr="002D6ACB">
        <w:rPr>
          <w:rStyle w:val="Emphasis"/>
          <w:highlight w:val="green"/>
        </w:rPr>
        <w:t>health systems</w:t>
      </w:r>
      <w:r w:rsidRPr="00BE6CC0">
        <w:rPr>
          <w:rStyle w:val="StyleUnderline"/>
        </w:rPr>
        <w:t xml:space="preserve"> and networks, </w:t>
      </w:r>
      <w:r w:rsidRPr="002D6ACB">
        <w:rPr>
          <w:rStyle w:val="StyleUnderline"/>
          <w:highlight w:val="green"/>
        </w:rPr>
        <w:t>along with</w:t>
      </w:r>
      <w:r w:rsidRPr="00BE6CC0">
        <w:rPr>
          <w:rStyle w:val="StyleUnderline"/>
        </w:rPr>
        <w:t xml:space="preserve"> gaping </w:t>
      </w:r>
      <w:r w:rsidRPr="002D6ACB">
        <w:rPr>
          <w:rStyle w:val="StyleUnderline"/>
          <w:highlight w:val="green"/>
        </w:rPr>
        <w:t>disparity in</w:t>
      </w:r>
      <w:r w:rsidRPr="00BE6CC0">
        <w:rPr>
          <w:rStyle w:val="StyleUnderline"/>
        </w:rPr>
        <w:t xml:space="preserve"> the distribution of </w:t>
      </w:r>
      <w:r w:rsidRPr="002D6ACB">
        <w:rPr>
          <w:rStyle w:val="StyleUnderline"/>
          <w:highlight w:val="green"/>
        </w:rPr>
        <w:t>health resources</w:t>
      </w:r>
      <w:r w:rsidRPr="00BE6CC0">
        <w:rPr>
          <w:rStyle w:val="StyleUnderline"/>
        </w:rPr>
        <w:t xml:space="preserve"> across the world</w:t>
      </w:r>
      <w:r w:rsidRPr="00BE6CC0">
        <w:rPr>
          <w:sz w:val="16"/>
        </w:rPr>
        <w:t xml:space="preserve">. The importance of global health perspectives in medical education is two-fold. First, it trains future medical professionals in global health trends and practices, strengthening the capacity for medical systems to operate more robustly within a globalised world (Drain et al., 2007; Peluso et al., 2012). There have been various efforts to challenge colonial-era paradigms of global health and to re-imagine models for equitable health partnerships and resource sharing (Bhatti et al., 2017; Boum et al., 2018; Depasse and Lee, 2013) between lower- and middle-income countries and high-income countries. Knowledge of these models may help to undo epistemic biases against evidence produced in lower- and middle-income countries that offer important contributions to the global repository of medical knowledge. Second, a global historical perspective provides insight into the contribution of empire to global health inequity internationally, as well as on migrant, refugee and asylum-seeker patient populations within our local context. As Gebrial (2020: 28) remarks, </w:t>
      </w:r>
      <w:r w:rsidRPr="002D6ACB">
        <w:rPr>
          <w:rStyle w:val="StyleUnderline"/>
        </w:rPr>
        <w:t>allowing</w:t>
      </w:r>
      <w:r w:rsidRPr="00BE6CC0">
        <w:rPr>
          <w:rStyle w:val="StyleUnderline"/>
        </w:rPr>
        <w:t xml:space="preserve"> the ‘classed and racialised </w:t>
      </w:r>
      <w:r w:rsidRPr="002D6ACB">
        <w:rPr>
          <w:rStyle w:val="StyleUnderline"/>
        </w:rPr>
        <w:t>dynamics of colonialism’ to shape conversations</w:t>
      </w:r>
      <w:r w:rsidRPr="00BE6CC0">
        <w:rPr>
          <w:sz w:val="16"/>
        </w:rPr>
        <w:t xml:space="preserve"> about migration, national identity and entitlement may </w:t>
      </w:r>
      <w:r w:rsidRPr="00BE6CC0">
        <w:rPr>
          <w:rStyle w:val="StyleUnderline"/>
        </w:rPr>
        <w:t xml:space="preserve">facilitate an attitudinal shift away from xenophobia toward </w:t>
      </w:r>
      <w:r w:rsidRPr="00BE6CC0">
        <w:rPr>
          <w:rStyle w:val="Emphasis"/>
        </w:rPr>
        <w:t>hospitability</w:t>
      </w:r>
      <w:r w:rsidRPr="00BE6CC0">
        <w:rPr>
          <w:sz w:val="16"/>
        </w:rPr>
        <w:t xml:space="preserve"> in treating foreign-born patients </w:t>
      </w:r>
      <w:r w:rsidRPr="00BE6CC0">
        <w:rPr>
          <w:rStyle w:val="StyleUnderline"/>
        </w:rPr>
        <w:t>within public healthcare systems</w:t>
      </w:r>
      <w:r w:rsidRPr="00BE6CC0">
        <w:rPr>
          <w:sz w:val="16"/>
        </w:rPr>
        <w:t xml:space="preserve"> (Gebrial, 2020; Shahvisi, 2019; Walia, 2021).</w:t>
      </w:r>
    </w:p>
    <w:p w14:paraId="2D1FD8FC" w14:textId="77777777" w:rsidR="001A4248" w:rsidRPr="00BE6CC0" w:rsidRDefault="001A4248" w:rsidP="001A4248">
      <w:pPr>
        <w:rPr>
          <w:sz w:val="10"/>
          <w:szCs w:val="10"/>
        </w:rPr>
      </w:pPr>
      <w:r w:rsidRPr="00BE6CC0">
        <w:rPr>
          <w:sz w:val="10"/>
          <w:szCs w:val="10"/>
        </w:rPr>
        <w:t>In this article, we have described how biomedicine has often projected a neutral, acultural and apolitical image as an attempt to shed the trappings of its colonial past. Hoberman (2012: 7) suggests that ‘colour-blind writing about medicine’ has led to the dismissal of historical racism as irrelevant to medical science today, when in fact it provides insight into the more insidious manifestation of modern-day racism in clinical practice. Furthermore, it is an essential component of global health education (Greene et al., 2013). Throughout the course of imperial history, healthcare was a highly contested site, where biomedicine was regularly pitted against traditional medical systems, health beliefs and healers from indigenous cultures (Arnold, 1993). Historical commentators have highlighted various failures of public health policies implemented by the British within Australian and African colonies in the nineteenth and twentieth centuries (Bashford, 2003; Cole, 2015; Swanson, 1977), where the well-being of British officials took precedence over that of colonised populations (Cole, 2015; Frenkel and Western, 1988).</w:t>
      </w:r>
    </w:p>
    <w:p w14:paraId="39D41071" w14:textId="77777777" w:rsidR="001A4248" w:rsidRPr="00BE6CC0" w:rsidRDefault="001A4248" w:rsidP="001A4248">
      <w:pPr>
        <w:rPr>
          <w:sz w:val="10"/>
          <w:szCs w:val="10"/>
        </w:rPr>
      </w:pPr>
      <w:r w:rsidRPr="00BE6CC0">
        <w:rPr>
          <w:sz w:val="10"/>
          <w:szCs w:val="10"/>
        </w:rPr>
        <w:t>Continuous with this colonial legacy, the history of medicine reveals numerous instances of racism and outright abuse of human rights in the name of medical research. One of the most well known is the Tuskegee Syphilis Experiment (1932–72), which damaged the trust of the African American community in researchers and medical institutions, contributing to their under-representation in clinical trials in the US and reluctance to access healthcare (Alsan et al., 2020; Freimuth et al., 2001). In other cases, the veneration of White doctors within the medical profession implicated in acts of racialised violence continues unopposed, such as in the case of James Marion Sims, hailed as the ‘father of gynaecology’, who experimented with surgical techniques on Black slaves without anaesthesia (Feagin and Bennefield, 2014). Under the influence of the eugenics movement in the twentieth century, individuals from minority ethnic groups and persons with disabilities fell victim to ‘public health’ policies (for example, coercive sterilisation, institutionalisation and marriage restriction) aimed to restrict the size of their populations across Europe and America (Mitchell and Snyder, 2003). While some of these events have been chronicled and evaluated retrospectively (Hoberman, 2012; Skloot, 2011; Washington, 2006), many memories remain repressed by the passage of time and the perpetuated silencing of minoritised and indigenous voices throughout the world (Mosby, 2013). Spotlighting the darkest moments in the history of medicine reveals the lingering effects of colonial hierarchies in the present day, including notions of inferiority and superiority that remain deeply entrenched in political discourse.</w:t>
      </w:r>
    </w:p>
    <w:p w14:paraId="1787912D" w14:textId="77777777" w:rsidR="001A4248" w:rsidRPr="002D6ACB" w:rsidRDefault="001A4248" w:rsidP="001A4248">
      <w:pPr>
        <w:rPr>
          <w:sz w:val="16"/>
        </w:rPr>
      </w:pPr>
      <w:r w:rsidRPr="00BE6CC0">
        <w:rPr>
          <w:sz w:val="16"/>
        </w:rPr>
        <w:t xml:space="preserve">Finally, a </w:t>
      </w:r>
      <w:r w:rsidRPr="002D6ACB">
        <w:rPr>
          <w:rStyle w:val="StyleUnderline"/>
          <w:highlight w:val="green"/>
        </w:rPr>
        <w:t>critically conscious</w:t>
      </w:r>
      <w:r w:rsidRPr="00BE6CC0">
        <w:rPr>
          <w:rStyle w:val="StyleUnderline"/>
        </w:rPr>
        <w:t xml:space="preserve"> outlook </w:t>
      </w:r>
      <w:r w:rsidRPr="002D6ACB">
        <w:rPr>
          <w:rStyle w:val="StyleUnderline"/>
          <w:highlight w:val="green"/>
        </w:rPr>
        <w:t>should</w:t>
      </w:r>
      <w:r w:rsidRPr="00BE6CC0">
        <w:rPr>
          <w:rStyle w:val="StyleUnderline"/>
        </w:rPr>
        <w:t xml:space="preserve"> also </w:t>
      </w:r>
      <w:r w:rsidRPr="002D6ACB">
        <w:rPr>
          <w:rStyle w:val="StyleUnderline"/>
          <w:highlight w:val="green"/>
        </w:rPr>
        <w:t xml:space="preserve">deconstruct </w:t>
      </w:r>
      <w:r w:rsidRPr="002D6ACB">
        <w:rPr>
          <w:rStyle w:val="Emphasis"/>
          <w:highlight w:val="green"/>
        </w:rPr>
        <w:t>essentialist conceptions of race</w:t>
      </w:r>
      <w:r w:rsidRPr="00BE6CC0">
        <w:rPr>
          <w:sz w:val="16"/>
        </w:rPr>
        <w:t xml:space="preserve"> (Chadha et al., 2020). The scientific validity of racial constructs has been disputed by findings in genome science and physical anthropology (Mccann-Mortimer et al., 2004; Morning, 2011). This has led to calls to deconstruct the notion of ‘race’ in the medical curricula (Braun, 2017; Lim et al., 2021; Tsai et al., 2016) </w:t>
      </w:r>
      <w:r w:rsidRPr="00BE6CC0">
        <w:rPr>
          <w:rStyle w:val="StyleUnderline"/>
        </w:rPr>
        <w:t xml:space="preserve">to </w:t>
      </w:r>
      <w:r w:rsidRPr="002D6ACB">
        <w:rPr>
          <w:rStyle w:val="StyleUnderline"/>
          <w:highlight w:val="green"/>
        </w:rPr>
        <w:t>refute</w:t>
      </w:r>
      <w:r w:rsidRPr="00BE6CC0">
        <w:rPr>
          <w:rStyle w:val="StyleUnderline"/>
        </w:rPr>
        <w:t xml:space="preserve"> the belief that ‘Black’, ‘White’, ‘brown’ are </w:t>
      </w:r>
      <w:r w:rsidRPr="00BE6CC0">
        <w:rPr>
          <w:rStyle w:val="Emphasis"/>
        </w:rPr>
        <w:t xml:space="preserve">discrete and </w:t>
      </w:r>
      <w:r w:rsidRPr="002D6ACB">
        <w:rPr>
          <w:rStyle w:val="Emphasis"/>
          <w:highlight w:val="green"/>
        </w:rPr>
        <w:t>naturally occurring categories</w:t>
      </w:r>
      <w:r w:rsidRPr="00BE6CC0">
        <w:rPr>
          <w:rStyle w:val="StyleUnderline"/>
        </w:rPr>
        <w:t xml:space="preserve"> within the human population</w:t>
      </w:r>
      <w:r w:rsidRPr="00BE6CC0">
        <w:rPr>
          <w:sz w:val="16"/>
        </w:rPr>
        <w:t xml:space="preserve">, rather than terminology steeped in colonial connotations (Wekker, 2016). Through the lens of critical race theory, </w:t>
      </w:r>
      <w:r w:rsidRPr="002D6ACB">
        <w:rPr>
          <w:rStyle w:val="StyleUnderline"/>
          <w:highlight w:val="green"/>
        </w:rPr>
        <w:t xml:space="preserve">systemic racism is preserved through the </w:t>
      </w:r>
      <w:r w:rsidRPr="002D6ACB">
        <w:rPr>
          <w:rStyle w:val="Emphasis"/>
          <w:highlight w:val="green"/>
        </w:rPr>
        <w:t>false attribution of health disparities to racial difference</w:t>
      </w:r>
      <w:r w:rsidRPr="002D6ACB">
        <w:rPr>
          <w:rStyle w:val="StyleUnderline"/>
          <w:highlight w:val="green"/>
        </w:rPr>
        <w:t>, concealing</w:t>
      </w:r>
      <w:r w:rsidRPr="00BE6CC0">
        <w:rPr>
          <w:rStyle w:val="StyleUnderline"/>
        </w:rPr>
        <w:t xml:space="preserve"> how ethnic minority populations are disadvantaged by broader </w:t>
      </w:r>
      <w:r w:rsidRPr="002D6ACB">
        <w:rPr>
          <w:rStyle w:val="StyleUnderline"/>
          <w:highlight w:val="green"/>
        </w:rPr>
        <w:t>sociopolitical determinants of health</w:t>
      </w:r>
      <w:r w:rsidRPr="00BE6CC0">
        <w:rPr>
          <w:sz w:val="16"/>
        </w:rPr>
        <w:t xml:space="preserve"> (Brown, 2003; Ford and Airhihenbuwa, 2010; Jensen et al., 2020; Pollock, 2012). Exposure to such perspectives may help medical students critique with the goal of expanding their understanding of what race and ethnicity entails, challenge racialised prejudice that confounds clinical judgement and critically evaluate race-based recommendations in clinical practice.</w:t>
      </w:r>
    </w:p>
    <w:p w14:paraId="46D921D2" w14:textId="77777777" w:rsidR="001A4248" w:rsidRPr="00E511F8" w:rsidRDefault="001A4248" w:rsidP="001A4248">
      <w:pPr>
        <w:pStyle w:val="Heading3"/>
        <w:rPr>
          <w:rFonts w:asciiTheme="minorHAnsi" w:hAnsiTheme="minorHAnsi" w:cstheme="minorHAnsi"/>
        </w:rPr>
      </w:pPr>
      <w:r>
        <w:rPr>
          <w:rFonts w:asciiTheme="minorHAnsi" w:hAnsiTheme="minorHAnsi" w:cstheme="minorHAnsi"/>
        </w:rPr>
        <w:t>2ac – at: nurses bad/medical norms link</w:t>
      </w:r>
    </w:p>
    <w:p w14:paraId="12F35127" w14:textId="77777777" w:rsidR="001A4248" w:rsidRPr="00D55988" w:rsidRDefault="001A4248" w:rsidP="001A4248">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1B7D132C" w14:textId="77777777" w:rsidR="001A4248" w:rsidRPr="00E511F8" w:rsidRDefault="001A4248" w:rsidP="001A4248">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Doctor.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285535D5" w14:textId="77777777" w:rsidR="001A4248" w:rsidRPr="00AF53B9" w:rsidRDefault="001A4248" w:rsidP="001A4248">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dizzy for 6 months’; that could be anything. But if you ask good questions, do a good exam you’ll eventually get an answer.” His words were echoed by a nursing faculty member who when we met over lunch, leaned forward conspiratorially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67FF04B8" w14:textId="77777777" w:rsidR="001A4248" w:rsidRPr="00AF53B9" w:rsidRDefault="001A4248" w:rsidP="001A4248">
      <w:pPr>
        <w:rPr>
          <w:rFonts w:asciiTheme="minorHAnsi" w:hAnsiTheme="minorHAnsi" w:cstheme="minorHAnsi"/>
          <w:sz w:val="16"/>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Lynaugh 2000; Sandelowski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3D64E69A" w14:textId="77777777" w:rsidR="001A4248" w:rsidRPr="00AF53B9" w:rsidRDefault="001A4248" w:rsidP="001A4248">
      <w:pPr>
        <w:rPr>
          <w:rFonts w:asciiTheme="minorHAnsi" w:hAnsiTheme="minorHAnsi" w:cstheme="minorHAnsi"/>
          <w:sz w:val="16"/>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r w:rsidRPr="00AF53B9">
        <w:rPr>
          <w:rStyle w:val="StyleUnderline"/>
          <w:highlight w:val="green"/>
        </w:rPr>
        <w:t xml:space="preserve"> is</w:t>
      </w:r>
      <w:r w:rsidRPr="003B5FFD">
        <w:rPr>
          <w:rStyle w:val="StyleUnderline"/>
        </w:rPr>
        <w:t xml:space="preserve"> not the work itself but the existential position of being the one who decides.</w:t>
      </w:r>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62EF8107" w14:textId="77777777" w:rsidR="001A4248" w:rsidRPr="00C86E8B" w:rsidRDefault="001A4248" w:rsidP="001A4248">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1935D6A4"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Diagnosis and treatment separates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41781709"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In the ER, you have a lot of autonomy because things are moving really fast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37189CB8" w14:textId="77777777" w:rsidR="001A4248" w:rsidRPr="00AF53B9" w:rsidRDefault="001A4248" w:rsidP="001A4248">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464120A0"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lectures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4B8D758A" w14:textId="77777777" w:rsidR="001A4248" w:rsidRPr="00AF53B9" w:rsidRDefault="001A4248" w:rsidP="001A4248">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0CE2F9B1" w14:textId="77777777" w:rsidR="001A4248" w:rsidRPr="00D55988" w:rsidRDefault="001A4248" w:rsidP="001A4248">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(Apesoa-Varano 2016; Benner and Tanner 1987; Evans 1996; Radwin 1996; Tanner et al. 1993). Although these practices are difficult to define, practicing nurses consistently identify them as central features of what makes nursing unique (Apesoa-Varano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7A91A482"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40610BAF"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660A072C" w14:textId="77777777" w:rsidR="001A4248" w:rsidRPr="00AF53B9" w:rsidRDefault="001A4248" w:rsidP="001A4248">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29C21195" w14:textId="77777777" w:rsidR="001A4248" w:rsidRDefault="001A4248" w:rsidP="001A4248">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Yalda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p w14:paraId="75F88EFA" w14:textId="77777777" w:rsidR="001A4248" w:rsidRDefault="001A4248" w:rsidP="001A4248">
      <w:pPr>
        <w:pStyle w:val="Heading4"/>
        <w:shd w:val="clear" w:color="auto" w:fill="FFFFFF"/>
        <w:spacing w:line="278" w:lineRule="atLeast"/>
        <w:rPr>
          <w:rFonts w:cs="Calibri"/>
          <w:color w:val="222222"/>
          <w:sz w:val="26"/>
          <w:szCs w:val="26"/>
        </w:rPr>
      </w:pPr>
      <w:r>
        <w:rPr>
          <w:rFonts w:cs="Calibri"/>
          <w:color w:val="222222"/>
          <w:sz w:val="26"/>
          <w:szCs w:val="26"/>
        </w:rPr>
        <w:t>Our reps are key to the </w:t>
      </w:r>
      <w:r>
        <w:rPr>
          <w:rFonts w:cs="Calibri"/>
          <w:color w:val="222222"/>
          <w:sz w:val="26"/>
          <w:szCs w:val="26"/>
          <w:u w:val="single"/>
        </w:rPr>
        <w:t>entire case</w:t>
      </w:r>
      <w:r>
        <w:rPr>
          <w:rFonts w:cs="Calibri"/>
          <w:color w:val="222222"/>
          <w:sz w:val="26"/>
          <w:szCs w:val="26"/>
        </w:rPr>
        <w:t> – we win under their framework</w:t>
      </w:r>
    </w:p>
    <w:p w14:paraId="5B921484" w14:textId="77777777" w:rsidR="001A4248" w:rsidRDefault="001A4248" w:rsidP="001A4248">
      <w:pPr>
        <w:shd w:val="clear" w:color="auto" w:fill="FFFFFF"/>
        <w:spacing w:line="235" w:lineRule="atLeast"/>
        <w:rPr>
          <w:color w:val="222222"/>
          <w:sz w:val="22"/>
        </w:rPr>
      </w:pPr>
      <w:r>
        <w:rPr>
          <w:b/>
          <w:bCs/>
          <w:color w:val="222222"/>
          <w:sz w:val="26"/>
          <w:szCs w:val="26"/>
        </w:rPr>
        <w:t>Galperin 20</w:t>
      </w:r>
      <w:r>
        <w:rPr>
          <w:color w:val="222222"/>
          <w:sz w:val="22"/>
        </w:rPr>
        <w:t> (Roman V., McGill University - Desautels Faculty of Management, “Organizational Powers: Contested Innovation and Loss of Professional Jurisdiction in the Case of Retail Medicine,” Organization Science 31(2):508-534. </w:t>
      </w:r>
      <w:hyperlink r:id="rId16" w:tgtFrame="_blank" w:history="1">
        <w:r>
          <w:rPr>
            <w:rStyle w:val="Hyperlink"/>
            <w:color w:val="1155CC"/>
            <w:sz w:val="22"/>
          </w:rPr>
          <w:t>https://doi.org/10.1287/orsc.2019.1314)//NRG</w:t>
        </w:r>
      </w:hyperlink>
    </w:p>
    <w:p w14:paraId="0E29E3FF" w14:textId="77777777" w:rsidR="001A4248" w:rsidRDefault="001A4248" w:rsidP="001A4248">
      <w:pPr>
        <w:shd w:val="clear" w:color="auto" w:fill="FFFFFF"/>
        <w:spacing w:line="235" w:lineRule="atLeast"/>
        <w:rPr>
          <w:color w:val="222222"/>
          <w:sz w:val="22"/>
        </w:rPr>
      </w:pPr>
      <w:r>
        <w:rPr>
          <w:color w:val="222222"/>
          <w:sz w:val="16"/>
          <w:szCs w:val="16"/>
        </w:rPr>
        <w:t>Tensions in </w:t>
      </w:r>
      <w:r>
        <w:rPr>
          <w:color w:val="222222"/>
          <w:sz w:val="22"/>
        </w:rPr>
        <w:t>Interprofessional Settlements and </w:t>
      </w:r>
      <w:r>
        <w:rPr>
          <w:color w:val="222222"/>
          <w:sz w:val="22"/>
          <w:shd w:val="clear" w:color="auto" w:fill="00FF00"/>
        </w:rPr>
        <w:t>Mutability of Jurisdictions</w:t>
      </w:r>
    </w:p>
    <w:p w14:paraId="781C7185" w14:textId="77777777" w:rsidR="001A4248" w:rsidRDefault="001A4248" w:rsidP="001A4248">
      <w:pPr>
        <w:shd w:val="clear" w:color="auto" w:fill="FFFFFF"/>
        <w:spacing w:line="235" w:lineRule="atLeast"/>
        <w:rPr>
          <w:color w:val="222222"/>
          <w:sz w:val="22"/>
        </w:rPr>
      </w:pPr>
      <w:r>
        <w:rPr>
          <w:color w:val="222222"/>
          <w:sz w:val="16"/>
          <w:szCs w:val="16"/>
        </w:rPr>
        <w:t>Many </w:t>
      </w:r>
      <w:r>
        <w:rPr>
          <w:color w:val="222222"/>
          <w:sz w:val="22"/>
        </w:rPr>
        <w:t>professional jurisdictions </w:t>
      </w:r>
      <w:r>
        <w:rPr>
          <w:color w:val="222222"/>
          <w:sz w:val="22"/>
          <w:shd w:val="clear" w:color="auto" w:fill="00FF00"/>
        </w:rPr>
        <w:t>are not monolithic</w:t>
      </w:r>
      <w:r>
        <w:rPr>
          <w:color w:val="222222"/>
          <w:sz w:val="22"/>
        </w:rPr>
        <w:t> but are </w:t>
      </w:r>
      <w:r>
        <w:rPr>
          <w:color w:val="222222"/>
          <w:sz w:val="22"/>
          <w:shd w:val="clear" w:color="auto" w:fill="00FF00"/>
        </w:rPr>
        <w:t>organized by</w:t>
      </w:r>
      <w:r>
        <w:rPr>
          <w:color w:val="222222"/>
          <w:sz w:val="22"/>
        </w:rPr>
        <w:t> uneasy truces, or </w:t>
      </w:r>
      <w:r>
        <w:rPr>
          <w:color w:val="222222"/>
          <w:sz w:val="22"/>
          <w:shd w:val="clear" w:color="auto" w:fill="00FF00"/>
        </w:rPr>
        <w:t>settlements, between</w:t>
      </w:r>
      <w:r>
        <w:rPr>
          <w:color w:val="222222"/>
          <w:sz w:val="22"/>
        </w:rPr>
        <w:t> two or more professions with </w:t>
      </w:r>
      <w:r>
        <w:rPr>
          <w:color w:val="222222"/>
          <w:sz w:val="22"/>
          <w:shd w:val="clear" w:color="auto" w:fill="00FF00"/>
        </w:rPr>
        <w:t>overlapping claims of</w:t>
      </w:r>
      <w:r>
        <w:rPr>
          <w:color w:val="222222"/>
          <w:sz w:val="22"/>
        </w:rPr>
        <w:t> control over </w:t>
      </w:r>
      <w:r>
        <w:rPr>
          <w:color w:val="222222"/>
          <w:sz w:val="22"/>
          <w:shd w:val="clear" w:color="auto" w:fill="00FF00"/>
        </w:rPr>
        <w:t>work</w:t>
      </w:r>
      <w:r>
        <w:rPr>
          <w:color w:val="222222"/>
          <w:sz w:val="16"/>
          <w:szCs w:val="16"/>
        </w:rPr>
        <w:t> (Abbott 1988, pp. 71–77 and 139). Such settlements are rife with tensions that reduce any one profession’s control over expert work. For instance, in subordination settlements, where work is performed by a hierarchy of professions, the ownership of tasks is often contested. Some strategic ambiguity about which professional performs what task is inherent in such settlements and often results in conflicting claims over work (Barley 1986, Nelsen and Barley 1997, Huising 2015). Subordinate professionals become accustomed to performing some of the superordinate professionals’ tasks delegated for efficiency reasons (e.g., paralegals drafting contracts that lawyers then edit and present to clients) or because superordinate professionals deem the tasks low status and “hive off” such work to subordinate professionals to preserve their own status (Hughes 1958, p. 135; Abbott 1988, pp. 65–68; Nelsen and Barley 1997, p. 621). At a critical point, </w:t>
      </w:r>
      <w:r>
        <w:rPr>
          <w:color w:val="222222"/>
          <w:sz w:val="22"/>
          <w:shd w:val="clear" w:color="auto" w:fill="00FF00"/>
        </w:rPr>
        <w:t>subordinate professionals</w:t>
      </w:r>
      <w:r>
        <w:rPr>
          <w:color w:val="222222"/>
          <w:sz w:val="22"/>
        </w:rPr>
        <w:t> may formally claim control over the assimilated tasks and thus </w:t>
      </w:r>
      <w:r>
        <w:rPr>
          <w:b/>
          <w:bCs/>
          <w:color w:val="222222"/>
          <w:sz w:val="22"/>
          <w:bdr w:val="single" w:sz="8" w:space="0" w:color="auto" w:frame="1"/>
          <w:shd w:val="clear" w:color="auto" w:fill="00FF00"/>
        </w:rPr>
        <w:t>upset the settlement</w:t>
      </w:r>
      <w:r>
        <w:rPr>
          <w:color w:val="222222"/>
          <w:sz w:val="22"/>
        </w:rPr>
        <w:t>.</w:t>
      </w:r>
    </w:p>
    <w:p w14:paraId="763BEAE2" w14:textId="77777777" w:rsidR="001A4248" w:rsidRDefault="001A4248" w:rsidP="001A4248">
      <w:pPr>
        <w:shd w:val="clear" w:color="auto" w:fill="FFFFFF"/>
        <w:spacing w:line="235" w:lineRule="atLeast"/>
        <w:rPr>
          <w:color w:val="222222"/>
          <w:sz w:val="22"/>
        </w:rPr>
      </w:pPr>
      <w:r>
        <w:rPr>
          <w:color w:val="222222"/>
          <w:sz w:val="16"/>
          <w:szCs w:val="16"/>
        </w:rPr>
        <w:t>In the United States, a commonly studied example of a subordination settlement rife with competitive tensions is the </w:t>
      </w:r>
      <w:r>
        <w:rPr>
          <w:color w:val="222222"/>
          <w:sz w:val="22"/>
          <w:shd w:val="clear" w:color="auto" w:fill="00FF00"/>
        </w:rPr>
        <w:t>division</w:t>
      </w:r>
      <w:r>
        <w:rPr>
          <w:color w:val="222222"/>
          <w:sz w:val="22"/>
        </w:rPr>
        <w:t> of medical labor </w:t>
      </w:r>
      <w:r>
        <w:rPr>
          <w:color w:val="222222"/>
          <w:sz w:val="22"/>
          <w:shd w:val="clear" w:color="auto" w:fill="00FF00"/>
        </w:rPr>
        <w:t>between </w:t>
      </w:r>
      <w:r>
        <w:rPr>
          <w:b/>
          <w:bCs/>
          <w:color w:val="222222"/>
          <w:sz w:val="22"/>
          <w:bdr w:val="single" w:sz="8" w:space="0" w:color="auto" w:frame="1"/>
          <w:shd w:val="clear" w:color="auto" w:fill="00FF00"/>
        </w:rPr>
        <w:t>doctors</w:t>
      </w:r>
      <w:r>
        <w:rPr>
          <w:color w:val="222222"/>
          <w:sz w:val="22"/>
          <w:shd w:val="clear" w:color="auto" w:fill="00FF00"/>
        </w:rPr>
        <w:t> and </w:t>
      </w:r>
      <w:r>
        <w:rPr>
          <w:b/>
          <w:bCs/>
          <w:color w:val="222222"/>
          <w:sz w:val="22"/>
          <w:bdr w:val="single" w:sz="8" w:space="0" w:color="auto" w:frame="1"/>
          <w:shd w:val="clear" w:color="auto" w:fill="00FF00"/>
        </w:rPr>
        <w:t>nurses</w:t>
      </w:r>
      <w:r>
        <w:rPr>
          <w:color w:val="222222"/>
          <w:sz w:val="16"/>
          <w:szCs w:val="16"/>
        </w:rPr>
        <w:t>. </w:t>
      </w:r>
      <w:r>
        <w:rPr>
          <w:color w:val="222222"/>
          <w:sz w:val="22"/>
        </w:rPr>
        <w:t>Worksite task assimilation by nurses </w:t>
      </w:r>
      <w:r>
        <w:rPr>
          <w:color w:val="222222"/>
          <w:sz w:val="22"/>
          <w:shd w:val="clear" w:color="auto" w:fill="00FF00"/>
        </w:rPr>
        <w:t>resulted in</w:t>
      </w:r>
      <w:r>
        <w:rPr>
          <w:color w:val="222222"/>
          <w:sz w:val="22"/>
        </w:rPr>
        <w:t> their encroachment on the physician jurisdiction and enabled </w:t>
      </w:r>
      <w:r>
        <w:rPr>
          <w:color w:val="222222"/>
          <w:sz w:val="22"/>
          <w:shd w:val="clear" w:color="auto" w:fill="00FF00"/>
        </w:rPr>
        <w:t>the rise of </w:t>
      </w:r>
      <w:r>
        <w:rPr>
          <w:b/>
          <w:bCs/>
          <w:color w:val="222222"/>
          <w:sz w:val="22"/>
          <w:bdr w:val="single" w:sz="8" w:space="0" w:color="auto" w:frame="1"/>
          <w:shd w:val="clear" w:color="auto" w:fill="00FF00"/>
        </w:rPr>
        <w:t>NPs</w:t>
      </w:r>
      <w:r>
        <w:rPr>
          <w:color w:val="222222"/>
          <w:sz w:val="16"/>
          <w:szCs w:val="16"/>
        </w:rPr>
        <w:t>—nurses with advanced practice rights. Over the last few decades, </w:t>
      </w:r>
      <w:r>
        <w:rPr>
          <w:color w:val="222222"/>
          <w:sz w:val="22"/>
        </w:rPr>
        <w:t>in many states, NPs have won legal autonomy to practice, rights to prescribe drugs, and authority to get reimbursed by health insurers as primary care provider</w:t>
      </w:r>
      <w:r>
        <w:rPr>
          <w:color w:val="222222"/>
          <w:sz w:val="16"/>
          <w:szCs w:val="16"/>
        </w:rPr>
        <w:t>s (Cooper et al. 1998, Cooper 2001, Nancarrow and Borthwick 2005, Perry 2009). To be sure, </w:t>
      </w:r>
      <w:r>
        <w:rPr>
          <w:color w:val="222222"/>
          <w:sz w:val="22"/>
        </w:rPr>
        <w:t>finalizing a renegotiation of settlement terms is challenging. Many of the nurses’ </w:t>
      </w:r>
      <w:r>
        <w:rPr>
          <w:b/>
          <w:bCs/>
          <w:color w:val="222222"/>
          <w:sz w:val="22"/>
          <w:bdr w:val="single" w:sz="8" w:space="0" w:color="auto" w:frame="1"/>
          <w:shd w:val="clear" w:color="auto" w:fill="00FF00"/>
        </w:rPr>
        <w:t>jurisdictional advancements are still tentative</w:t>
      </w:r>
      <w:r>
        <w:rPr>
          <w:color w:val="222222"/>
          <w:sz w:val="16"/>
          <w:szCs w:val="16"/>
        </w:rPr>
        <w:t> (Institute of Medicine 2011), in part </w:t>
      </w:r>
      <w:r>
        <w:rPr>
          <w:color w:val="222222"/>
          <w:sz w:val="22"/>
          <w:shd w:val="clear" w:color="auto" w:fill="00FF00"/>
        </w:rPr>
        <w:t>because of </w:t>
      </w:r>
      <w:r>
        <w:rPr>
          <w:color w:val="222222"/>
          <w:sz w:val="22"/>
        </w:rPr>
        <w:t>the </w:t>
      </w:r>
      <w:r>
        <w:rPr>
          <w:color w:val="222222"/>
          <w:sz w:val="22"/>
          <w:shd w:val="clear" w:color="auto" w:fill="00FF00"/>
        </w:rPr>
        <w:t>resistance from physicians</w:t>
      </w:r>
      <w:r>
        <w:rPr>
          <w:color w:val="222222"/>
          <w:sz w:val="16"/>
          <w:szCs w:val="16"/>
        </w:rPr>
        <w:t>, who stand to lose monopoly rents and professional status by relinquishing jurisdictional control (Perry 2009, Kleiner et al. 2016). Therefore, </w:t>
      </w:r>
      <w:r>
        <w:rPr>
          <w:color w:val="222222"/>
          <w:sz w:val="22"/>
        </w:rPr>
        <w:t>although the expansion of NPs’ legal scope of license allowed them to begin competing with physicians as providers of primary care services in many states, the relative lack of organizational, political, and cultural resources vis-a-vis ` physicians has been </w:t>
      </w:r>
      <w:r>
        <w:rPr>
          <w:b/>
          <w:bCs/>
          <w:color w:val="222222"/>
          <w:sz w:val="22"/>
          <w:bdr w:val="single" w:sz="8" w:space="0" w:color="auto" w:frame="1"/>
          <w:shd w:val="clear" w:color="auto" w:fill="00FF00"/>
        </w:rPr>
        <w:t>stalling NPs’ progress</w:t>
      </w:r>
      <w:r>
        <w:rPr>
          <w:color w:val="222222"/>
          <w:sz w:val="22"/>
          <w:shd w:val="clear" w:color="auto" w:fill="00FF00"/>
        </w:rPr>
        <w:t> toward becoming</w:t>
      </w:r>
      <w:r>
        <w:rPr>
          <w:color w:val="222222"/>
          <w:sz w:val="22"/>
        </w:rPr>
        <w:t> fully </w:t>
      </w:r>
      <w:r>
        <w:rPr>
          <w:color w:val="222222"/>
          <w:sz w:val="22"/>
          <w:shd w:val="clear" w:color="auto" w:fill="00FF00"/>
        </w:rPr>
        <w:t>independent</w:t>
      </w:r>
      <w:r>
        <w:rPr>
          <w:color w:val="222222"/>
          <w:sz w:val="22"/>
        </w:rPr>
        <w:t> medical </w:t>
      </w:r>
      <w:r>
        <w:rPr>
          <w:color w:val="222222"/>
          <w:sz w:val="22"/>
          <w:shd w:val="clear" w:color="auto" w:fill="00FF00"/>
        </w:rPr>
        <w:t>practitioners</w:t>
      </w:r>
      <w:r>
        <w:rPr>
          <w:color w:val="222222"/>
          <w:sz w:val="22"/>
        </w:rPr>
        <w:t>.</w:t>
      </w:r>
    </w:p>
    <w:p w14:paraId="73AECBC5" w14:textId="77777777" w:rsidR="001A4248" w:rsidRDefault="001A4248" w:rsidP="001A4248">
      <w:pPr>
        <w:shd w:val="clear" w:color="auto" w:fill="FFFFFF"/>
        <w:spacing w:line="235" w:lineRule="atLeast"/>
        <w:rPr>
          <w:color w:val="222222"/>
          <w:sz w:val="22"/>
        </w:rPr>
      </w:pPr>
      <w:r>
        <w:rPr>
          <w:color w:val="222222"/>
          <w:sz w:val="10"/>
          <w:szCs w:val="10"/>
        </w:rPr>
        <w:t>As I show next, such tensions and the imbalance between claimed rights and their effective use may allow innovative firms that otherwise have no professional authority to overcome barriers to participation in professional work, enter a professional jurisdiction, and capture some of the associated rents. The firms can do so by co-opting subordinate professionals, using their licenses to ensure the legality of the performance of expert tasks and their profession’s jurisdictional claims to assert the safety and the moral acceptability of the innovation.</w:t>
      </w:r>
    </w:p>
    <w:p w14:paraId="13CC4585" w14:textId="77777777" w:rsidR="001A4248" w:rsidRDefault="001A4248" w:rsidP="001A4248">
      <w:pPr>
        <w:shd w:val="clear" w:color="auto" w:fill="FFFFFF"/>
        <w:spacing w:line="235" w:lineRule="atLeast"/>
        <w:rPr>
          <w:color w:val="222222"/>
          <w:sz w:val="22"/>
        </w:rPr>
      </w:pPr>
      <w:r>
        <w:rPr>
          <w:color w:val="222222"/>
          <w:sz w:val="10"/>
          <w:szCs w:val="10"/>
        </w:rPr>
        <w:t>Methods</w:t>
      </w:r>
    </w:p>
    <w:p w14:paraId="1E93CA06" w14:textId="77777777" w:rsidR="001A4248" w:rsidRDefault="001A4248" w:rsidP="001A4248">
      <w:pPr>
        <w:shd w:val="clear" w:color="auto" w:fill="FFFFFF"/>
        <w:spacing w:line="235" w:lineRule="atLeast"/>
        <w:rPr>
          <w:color w:val="222222"/>
          <w:sz w:val="22"/>
        </w:rPr>
      </w:pPr>
      <w:r>
        <w:rPr>
          <w:color w:val="222222"/>
          <w:sz w:val="10"/>
          <w:szCs w:val="10"/>
        </w:rPr>
        <w:t>Research Setting</w:t>
      </w:r>
    </w:p>
    <w:p w14:paraId="26B9FF54" w14:textId="77777777" w:rsidR="001A4248" w:rsidRDefault="001A4248" w:rsidP="001A4248">
      <w:pPr>
        <w:shd w:val="clear" w:color="auto" w:fill="FFFFFF"/>
        <w:spacing w:line="235" w:lineRule="atLeast"/>
        <w:rPr>
          <w:color w:val="222222"/>
          <w:sz w:val="22"/>
        </w:rPr>
      </w:pPr>
      <w:r>
        <w:rPr>
          <w:color w:val="222222"/>
          <w:sz w:val="16"/>
          <w:szCs w:val="16"/>
        </w:rPr>
        <w:t>To explicate a process of innovation-driven deprofessionalization, I analyze the case of the retail health clinics industry, which disrupted the jurisdiction of the medical profession in the U.S. primary healthcare market. Some long-standing inefficiencies in U.S. healthcare (Garber and Skinner 2008) point to the medical profession’s jurisdictional power (Svorny 2004) and make healthcare services a suitable setting to investigate the ability of outsiders to contest a profession’s control over expert tasks. The profession’s control over the supply of licensed practitioners and its resistance to the jurisdictional growth of subordinate professions such as nursing contribute to poor access to primary care (Laurant et al. 2005, Nancarrow and Borthwick 2005, Bodenheimer and Pham 2010). </w:t>
      </w:r>
      <w:r>
        <w:rPr>
          <w:color w:val="222222"/>
          <w:sz w:val="22"/>
          <w:shd w:val="clear" w:color="auto" w:fill="00FF00"/>
        </w:rPr>
        <w:t>Resistance to external control over medical work</w:t>
      </w:r>
      <w:r>
        <w:rPr>
          <w:color w:val="222222"/>
          <w:sz w:val="22"/>
        </w:rPr>
        <w:t>, such as the use of standardized protocols or direct employment of physicians by hospitals, </w:t>
      </w:r>
      <w:r>
        <w:rPr>
          <w:color w:val="222222"/>
          <w:sz w:val="22"/>
          <w:shd w:val="clear" w:color="auto" w:fill="00FF00"/>
        </w:rPr>
        <w:t>contributes to fragmentation, rising costs, and inconsistent quality of care</w:t>
      </w:r>
      <w:r>
        <w:rPr>
          <w:color w:val="222222"/>
          <w:sz w:val="16"/>
          <w:szCs w:val="16"/>
        </w:rPr>
        <w:t> (Rebitzer and Votruba 2011). Medicine’s cultural authority sets the terms of jurisdictional settlements between physicians and other healthcare professionals that govern the division of tasks in organizations and the flows of revenues in the field (Ferlie et al. 2005, Currie et al. 2012).</w:t>
      </w:r>
    </w:p>
    <w:p w14:paraId="4885075E" w14:textId="77777777" w:rsidR="001A4248" w:rsidRDefault="001A4248" w:rsidP="001A4248">
      <w:pPr>
        <w:shd w:val="clear" w:color="auto" w:fill="FFFFFF"/>
        <w:spacing w:line="235" w:lineRule="atLeast"/>
        <w:rPr>
          <w:color w:val="222222"/>
          <w:sz w:val="22"/>
        </w:rPr>
      </w:pPr>
      <w:r>
        <w:rPr>
          <w:color w:val="222222"/>
          <w:sz w:val="22"/>
        </w:rPr>
        <w:t>Studying </w:t>
      </w:r>
      <w:r>
        <w:rPr>
          <w:b/>
          <w:bCs/>
          <w:color w:val="222222"/>
          <w:sz w:val="22"/>
          <w:bdr w:val="single" w:sz="8" w:space="0" w:color="auto" w:frame="1"/>
          <w:shd w:val="clear" w:color="auto" w:fill="00FF00"/>
        </w:rPr>
        <w:t>deprofessionalizing innovation</w:t>
      </w:r>
      <w:r>
        <w:rPr>
          <w:color w:val="222222"/>
          <w:sz w:val="22"/>
        </w:rPr>
        <w:t> in a setting with a strong professional incumbent, such as the medical profession, exposes the challenges of resistance to the innovation and </w:t>
      </w:r>
      <w:r>
        <w:rPr>
          <w:color w:val="222222"/>
          <w:sz w:val="22"/>
          <w:shd w:val="clear" w:color="auto" w:fill="00FF00"/>
        </w:rPr>
        <w:t>the process of </w:t>
      </w:r>
      <w:r>
        <w:rPr>
          <w:b/>
          <w:bCs/>
          <w:color w:val="222222"/>
          <w:sz w:val="22"/>
          <w:bdr w:val="single" w:sz="8" w:space="0" w:color="auto" w:frame="1"/>
          <w:shd w:val="clear" w:color="auto" w:fill="00FF00"/>
        </w:rPr>
        <w:t>overcoming</w:t>
      </w:r>
      <w:r>
        <w:rPr>
          <w:color w:val="222222"/>
          <w:sz w:val="22"/>
        </w:rPr>
        <w:t> that </w:t>
      </w:r>
      <w:r>
        <w:rPr>
          <w:b/>
          <w:bCs/>
          <w:color w:val="222222"/>
          <w:sz w:val="22"/>
          <w:bdr w:val="single" w:sz="8" w:space="0" w:color="auto" w:frame="1"/>
          <w:shd w:val="clear" w:color="auto" w:fill="00FF00"/>
        </w:rPr>
        <w:t>resistance</w:t>
      </w:r>
      <w:r>
        <w:rPr>
          <w:color w:val="222222"/>
          <w:sz w:val="22"/>
        </w:rPr>
        <w:t>.</w:t>
      </w:r>
      <w:r>
        <w:rPr>
          <w:color w:val="222222"/>
          <w:sz w:val="16"/>
          <w:szCs w:val="16"/>
        </w:rPr>
        <w:t> The jurisdictional disruption began when the first retail clinic chain in the United States appeared in Minnesota grocery stores in 2000 under the brand name QuickMedx (rebranded as MinuteClinic in 2002). By 2006, the two largest retail clinic companies—MinuteClinic and TakeCare Health—were acquired by the large retailers CVS and Walgreens, respectively. The subsequent period had the most rapid growth of the retail clinic industry fueled by access to capital provided by the retailers: the industry increased from about 200 clinics in 2006 to over 1,200 by 2009. The industry experienced the strongest resistance from the medical profession during those years, as I show below.</w:t>
      </w:r>
    </w:p>
    <w:p w14:paraId="3278706C" w14:textId="77777777" w:rsidR="001A4248" w:rsidRDefault="001A4248" w:rsidP="001A4248">
      <w:pPr>
        <w:shd w:val="clear" w:color="auto" w:fill="FFFFFF"/>
        <w:spacing w:line="235" w:lineRule="atLeast"/>
        <w:rPr>
          <w:color w:val="222222"/>
          <w:sz w:val="22"/>
        </w:rPr>
      </w:pPr>
      <w:r>
        <w:rPr>
          <w:color w:val="222222"/>
          <w:sz w:val="10"/>
          <w:szCs w:val="10"/>
        </w:rPr>
        <w:t>The industry overcame the profession’s resistance in the third phase, which started around 2009, and by 2015, the retail clinics industry expanded to over 1,500 establishments receiving over 10 million patient visits annually (Bachrach et al. 2015). Retailers assumed full control over the major retail clinic chains and began systematic efforts to integrate with the primary care field. As Figure 1 shows, for example, having secured strong support from the medical insurers, MinuteClinic, the market leader in the industry, began rapid accumulation of contracts and affiliations with large metropolitan and regional hospital systems during that phase.</w:t>
      </w:r>
    </w:p>
    <w:p w14:paraId="517DBFD1" w14:textId="77777777" w:rsidR="001A4248" w:rsidRDefault="001A4248" w:rsidP="001A4248">
      <w:pPr>
        <w:shd w:val="clear" w:color="auto" w:fill="FFFFFF"/>
        <w:spacing w:line="235" w:lineRule="atLeast"/>
        <w:rPr>
          <w:color w:val="222222"/>
          <w:sz w:val="22"/>
        </w:rPr>
      </w:pPr>
      <w:r>
        <w:rPr>
          <w:color w:val="222222"/>
          <w:sz w:val="16"/>
          <w:szCs w:val="16"/>
        </w:rPr>
        <w:t>The new organizational form of retail clinics was a disruptive innovation in the primary care industry not only because medical services were delivered in a retail store setting. </w:t>
      </w:r>
      <w:r>
        <w:rPr>
          <w:color w:val="222222"/>
          <w:sz w:val="22"/>
        </w:rPr>
        <w:t>Other core features of the </w:t>
      </w:r>
      <w:r>
        <w:rPr>
          <w:color w:val="222222"/>
          <w:sz w:val="22"/>
          <w:shd w:val="clear" w:color="auto" w:fill="00FF00"/>
        </w:rPr>
        <w:t>clinics were a departure from the </w:t>
      </w:r>
      <w:r>
        <w:rPr>
          <w:b/>
          <w:bCs/>
          <w:color w:val="222222"/>
          <w:sz w:val="22"/>
          <w:bdr w:val="single" w:sz="8" w:space="0" w:color="auto" w:frame="1"/>
          <w:shd w:val="clear" w:color="auto" w:fill="00FF00"/>
        </w:rPr>
        <w:t>traditional model of primary care</w:t>
      </w:r>
      <w:r>
        <w:rPr>
          <w:color w:val="222222"/>
          <w:sz w:val="22"/>
        </w:rPr>
        <w:t> delivery</w:t>
      </w:r>
      <w:r>
        <w:rPr>
          <w:color w:val="222222"/>
          <w:sz w:val="16"/>
          <w:szCs w:val="16"/>
        </w:rPr>
        <w:t> at a physician’s office: the </w:t>
      </w:r>
      <w:r>
        <w:rPr>
          <w:color w:val="222222"/>
          <w:sz w:val="22"/>
        </w:rPr>
        <w:t>clinics were </w:t>
      </w:r>
      <w:r>
        <w:rPr>
          <w:color w:val="222222"/>
          <w:sz w:val="22"/>
          <w:shd w:val="clear" w:color="auto" w:fill="00FF00"/>
        </w:rPr>
        <w:t>open late and on weekends</w:t>
      </w:r>
      <w:r>
        <w:rPr>
          <w:color w:val="222222"/>
          <w:sz w:val="22"/>
        </w:rPr>
        <w:t>, they required </w:t>
      </w:r>
      <w:r>
        <w:rPr>
          <w:color w:val="222222"/>
          <w:sz w:val="22"/>
          <w:shd w:val="clear" w:color="auto" w:fill="00FF00"/>
        </w:rPr>
        <w:t>no prior appointment</w:t>
      </w:r>
      <w:r>
        <w:rPr>
          <w:color w:val="222222"/>
          <w:sz w:val="22"/>
        </w:rPr>
        <w:t>, and they did </w:t>
      </w:r>
      <w:r>
        <w:rPr>
          <w:color w:val="222222"/>
          <w:sz w:val="22"/>
          <w:shd w:val="clear" w:color="auto" w:fill="00FF00"/>
        </w:rPr>
        <w:t>not require</w:t>
      </w:r>
      <w:r>
        <w:rPr>
          <w:color w:val="222222"/>
          <w:sz w:val="22"/>
        </w:rPr>
        <w:t> medical </w:t>
      </w:r>
      <w:r>
        <w:rPr>
          <w:color w:val="222222"/>
          <w:sz w:val="22"/>
          <w:shd w:val="clear" w:color="auto" w:fill="00FF00"/>
        </w:rPr>
        <w:t>insurance</w:t>
      </w:r>
      <w:r>
        <w:rPr>
          <w:color w:val="222222"/>
          <w:sz w:val="22"/>
        </w:rPr>
        <w:t>, charging instead a flat fee of $35 payable at the time of visit</w:t>
      </w:r>
      <w:r>
        <w:rPr>
          <w:color w:val="222222"/>
          <w:sz w:val="16"/>
          <w:szCs w:val="16"/>
        </w:rPr>
        <w:t>. Patient visits were intended to be brief, and the scope of services at the clinics was explicitly limited to quick tests and treatments of common minor illnesses, such as strep throat, ear infections, minor cuts and bites, skin rashes, pink eye, and seasonal allergies. The “menu” of services offered at the clinics and the exact fees associated with each service were often posted outside the clinic examination rooms.</w:t>
      </w:r>
    </w:p>
    <w:p w14:paraId="603493EF" w14:textId="77777777" w:rsidR="001A4248" w:rsidRDefault="001A4248" w:rsidP="001A4248">
      <w:pPr>
        <w:shd w:val="clear" w:color="auto" w:fill="FFFFFF"/>
        <w:spacing w:line="235" w:lineRule="atLeast"/>
        <w:rPr>
          <w:color w:val="222222"/>
          <w:sz w:val="22"/>
        </w:rPr>
      </w:pPr>
      <w:r>
        <w:rPr>
          <w:color w:val="222222"/>
          <w:sz w:val="16"/>
          <w:szCs w:val="16"/>
        </w:rPr>
        <w:t>Most important, the dominant organization of work in a retail clinic explicitly excluded physicians from performing primary care work—none of the large chains had a physician on site. Instead, </w:t>
      </w:r>
      <w:r>
        <w:rPr>
          <w:color w:val="222222"/>
          <w:sz w:val="22"/>
        </w:rPr>
        <w:t>all services were performed by an NP (or, less often, a physician assistant) working autonomously </w:t>
      </w:r>
      <w:r>
        <w:rPr>
          <w:color w:val="222222"/>
          <w:sz w:val="16"/>
          <w:szCs w:val="16"/>
        </w:rPr>
        <w:t>in a small room and with minimal medical equipment. A software application based on standard protocols of care guided NPs through checking symptoms, administering tests, and writing prescriptions. </w:t>
      </w:r>
      <w:r>
        <w:rPr>
          <w:color w:val="222222"/>
          <w:sz w:val="22"/>
        </w:rPr>
        <w:t>Although retail clinics began accepting insurance and increasing their scope of services</w:t>
      </w:r>
      <w:r>
        <w:rPr>
          <w:color w:val="222222"/>
          <w:sz w:val="16"/>
          <w:szCs w:val="16"/>
        </w:rPr>
        <w:t> within a few years of their initial emergence, </w:t>
      </w:r>
      <w:r>
        <w:rPr>
          <w:color w:val="222222"/>
          <w:sz w:val="22"/>
        </w:rPr>
        <w:t>the features of convenient location and scheduling, software-supported diagnosing and prescribing, and the </w:t>
      </w:r>
      <w:r>
        <w:rPr>
          <w:color w:val="222222"/>
          <w:sz w:val="22"/>
          <w:shd w:val="clear" w:color="auto" w:fill="00FF00"/>
        </w:rPr>
        <w:t>absence of physicians</w:t>
      </w:r>
      <w:r>
        <w:rPr>
          <w:color w:val="222222"/>
          <w:sz w:val="22"/>
        </w:rPr>
        <w:t> on site </w:t>
      </w:r>
      <w:r>
        <w:rPr>
          <w:color w:val="222222"/>
          <w:sz w:val="22"/>
          <w:shd w:val="clear" w:color="auto" w:fill="00FF00"/>
        </w:rPr>
        <w:t>remained at the core of the </w:t>
      </w:r>
      <w:r>
        <w:rPr>
          <w:b/>
          <w:bCs/>
          <w:color w:val="222222"/>
          <w:sz w:val="22"/>
          <w:bdr w:val="single" w:sz="8" w:space="0" w:color="auto" w:frame="1"/>
          <w:shd w:val="clear" w:color="auto" w:fill="00FF00"/>
        </w:rPr>
        <w:t>new organizational form</w:t>
      </w:r>
      <w:r>
        <w:rPr>
          <w:color w:val="222222"/>
          <w:sz w:val="22"/>
        </w:rPr>
        <w:t>.</w:t>
      </w:r>
    </w:p>
    <w:p w14:paraId="5C1C1DF3" w14:textId="77777777" w:rsidR="001A4248" w:rsidRDefault="001A4248" w:rsidP="001A4248">
      <w:pPr>
        <w:shd w:val="clear" w:color="auto" w:fill="FFFFFF"/>
        <w:spacing w:line="235" w:lineRule="atLeast"/>
        <w:rPr>
          <w:color w:val="222222"/>
          <w:sz w:val="22"/>
        </w:rPr>
      </w:pPr>
      <w:r>
        <w:rPr>
          <w:color w:val="222222"/>
          <w:sz w:val="16"/>
          <w:szCs w:val="16"/>
        </w:rPr>
        <w:t>Cutting out physicians from the revenues and control over work in primary care drew ire from the </w:t>
      </w:r>
      <w:r>
        <w:rPr>
          <w:color w:val="222222"/>
          <w:sz w:val="22"/>
          <w:shd w:val="clear" w:color="auto" w:fill="00FF00"/>
        </w:rPr>
        <w:t>physician profession</w:t>
      </w:r>
      <w:r>
        <w:rPr>
          <w:color w:val="222222"/>
          <w:sz w:val="16"/>
          <w:szCs w:val="16"/>
        </w:rPr>
        <w:t>. The defensive strategies deployed by the profession </w:t>
      </w:r>
      <w:r>
        <w:rPr>
          <w:color w:val="222222"/>
          <w:sz w:val="22"/>
          <w:shd w:val="clear" w:color="auto" w:fill="00FF00"/>
        </w:rPr>
        <w:t>sought to</w:t>
      </w:r>
      <w:r>
        <w:rPr>
          <w:color w:val="222222"/>
          <w:sz w:val="22"/>
        </w:rPr>
        <w:t> check the intrusion of retail clinics into the medical profession’s jurisdiction and </w:t>
      </w:r>
      <w:r>
        <w:rPr>
          <w:color w:val="222222"/>
          <w:sz w:val="22"/>
          <w:shd w:val="clear" w:color="auto" w:fill="00FF00"/>
        </w:rPr>
        <w:t>stall the industry’s growth</w:t>
      </w:r>
      <w:r>
        <w:rPr>
          <w:color w:val="222222"/>
          <w:sz w:val="16"/>
          <w:szCs w:val="16"/>
        </w:rPr>
        <w:t>. These efforts were focused on the inherent lack of legitimacy of corporate participation in medical practice. However, as the analysis that I present here suggests, </w:t>
      </w:r>
      <w:r>
        <w:rPr>
          <w:color w:val="222222"/>
          <w:sz w:val="22"/>
        </w:rPr>
        <w:t>retail </w:t>
      </w:r>
      <w:r>
        <w:rPr>
          <w:color w:val="222222"/>
          <w:sz w:val="22"/>
          <w:shd w:val="clear" w:color="auto" w:fill="00FF00"/>
        </w:rPr>
        <w:t>clinics</w:t>
      </w:r>
      <w:r>
        <w:rPr>
          <w:color w:val="222222"/>
          <w:sz w:val="22"/>
        </w:rPr>
        <w:t> weathered the attacks on their legitimacy</w:t>
      </w:r>
      <w:r>
        <w:rPr>
          <w:color w:val="222222"/>
          <w:sz w:val="16"/>
          <w:szCs w:val="16"/>
        </w:rPr>
        <w:t> and continued their foray into primary care by </w:t>
      </w:r>
      <w:r>
        <w:rPr>
          <w:color w:val="222222"/>
          <w:sz w:val="22"/>
          <w:shd w:val="clear" w:color="auto" w:fill="00FF00"/>
        </w:rPr>
        <w:t>relying on </w:t>
      </w:r>
      <w:r>
        <w:rPr>
          <w:b/>
          <w:bCs/>
          <w:color w:val="222222"/>
          <w:sz w:val="22"/>
          <w:bdr w:val="single" w:sz="8" w:space="0" w:color="auto" w:frame="1"/>
          <w:shd w:val="clear" w:color="auto" w:fill="00FF00"/>
        </w:rPr>
        <w:t>NPs’ legal rights to practice autonomously</w:t>
      </w:r>
      <w:r>
        <w:rPr>
          <w:color w:val="222222"/>
          <w:sz w:val="16"/>
          <w:szCs w:val="16"/>
        </w:rPr>
        <w:t> </w:t>
      </w:r>
      <w:r>
        <w:rPr>
          <w:color w:val="222222"/>
          <w:sz w:val="22"/>
        </w:rPr>
        <w:t>and the nursing profession’s repertoire of arguments that NPs are well qualified, cost efficient, and morally necessitated providers of primary care</w:t>
      </w:r>
      <w:r>
        <w:rPr>
          <w:color w:val="222222"/>
          <w:sz w:val="16"/>
          <w:szCs w:val="16"/>
        </w:rPr>
        <w:t>. In the short 15 years from the inception of the organizational form, retail clinics established themselves as a legitimate place for convenient, corporate-controlled primary care; grew in number; expanded their scope of practice; and paved the way for one of the major retail store chains—CVS/Caremark—to eventually proclaim itself to be a healthcare company (Monllos 2016).</w:t>
      </w:r>
    </w:p>
    <w:p w14:paraId="3DB5E338" w14:textId="77777777" w:rsidR="001A4248" w:rsidRDefault="001A4248" w:rsidP="001A4248">
      <w:pPr>
        <w:pStyle w:val="Heading4"/>
        <w:shd w:val="clear" w:color="auto" w:fill="FFFFFF"/>
        <w:spacing w:line="278" w:lineRule="atLeast"/>
        <w:rPr>
          <w:rFonts w:cs="Calibri"/>
          <w:color w:val="222222"/>
          <w:sz w:val="26"/>
          <w:szCs w:val="26"/>
        </w:rPr>
      </w:pPr>
      <w:r>
        <w:rPr>
          <w:rFonts w:cs="Calibri"/>
          <w:color w:val="222222"/>
          <w:sz w:val="26"/>
          <w:szCs w:val="26"/>
        </w:rPr>
        <w:t>Reverse causal – </w:t>
      </w:r>
      <w:r>
        <w:rPr>
          <w:rFonts w:cs="Calibri"/>
          <w:color w:val="222222"/>
          <w:sz w:val="26"/>
          <w:szCs w:val="26"/>
          <w:u w:val="single"/>
        </w:rPr>
        <w:t>their reps</w:t>
      </w:r>
      <w:r>
        <w:rPr>
          <w:rFonts w:cs="Calibri"/>
          <w:color w:val="222222"/>
          <w:sz w:val="26"/>
          <w:szCs w:val="26"/>
        </w:rPr>
        <w:t> cause more SOP restrictions</w:t>
      </w:r>
    </w:p>
    <w:p w14:paraId="05DAC36C" w14:textId="77777777" w:rsidR="001A4248" w:rsidRDefault="001A4248" w:rsidP="001A4248">
      <w:pPr>
        <w:shd w:val="clear" w:color="auto" w:fill="FFFFFF"/>
        <w:spacing w:line="235" w:lineRule="atLeast"/>
        <w:rPr>
          <w:color w:val="222222"/>
          <w:sz w:val="22"/>
        </w:rPr>
      </w:pPr>
      <w:r>
        <w:rPr>
          <w:b/>
          <w:bCs/>
          <w:color w:val="222222"/>
          <w:sz w:val="26"/>
          <w:szCs w:val="26"/>
        </w:rPr>
        <w:t>Galperin 20</w:t>
      </w:r>
      <w:r>
        <w:rPr>
          <w:color w:val="222222"/>
          <w:sz w:val="22"/>
        </w:rPr>
        <w:t> (Roman V., McGill University - Desautels Faculty of Management, “Organizational Powers: Contested Innovation and Loss of Professional Jurisdiction in the Case of Retail Medicine,” Organization Science 31(2):508-534. </w:t>
      </w:r>
      <w:hyperlink r:id="rId17" w:tgtFrame="_blank" w:history="1">
        <w:r>
          <w:rPr>
            <w:rStyle w:val="Hyperlink"/>
            <w:color w:val="1155CC"/>
            <w:sz w:val="22"/>
          </w:rPr>
          <w:t>https://doi.org/10.1287/orsc.2019.1314)//NRG</w:t>
        </w:r>
      </w:hyperlink>
    </w:p>
    <w:p w14:paraId="3487C52D" w14:textId="77777777" w:rsidR="001A4248" w:rsidRDefault="001A4248" w:rsidP="001A4248">
      <w:pPr>
        <w:shd w:val="clear" w:color="auto" w:fill="FFFFFF"/>
        <w:spacing w:line="235" w:lineRule="atLeast"/>
        <w:rPr>
          <w:color w:val="222222"/>
          <w:sz w:val="22"/>
        </w:rPr>
      </w:pPr>
      <w:r>
        <w:rPr>
          <w:color w:val="222222"/>
          <w:sz w:val="18"/>
          <w:szCs w:val="18"/>
        </w:rPr>
        <w:t>Professional Jurisdictions and Contestation of Control Over Work</w:t>
      </w:r>
    </w:p>
    <w:p w14:paraId="57A41900" w14:textId="77777777" w:rsidR="001A4248" w:rsidRDefault="001A4248" w:rsidP="001A4248">
      <w:pPr>
        <w:shd w:val="clear" w:color="auto" w:fill="FFFFFF"/>
        <w:spacing w:line="235" w:lineRule="atLeast"/>
        <w:rPr>
          <w:color w:val="222222"/>
          <w:sz w:val="22"/>
        </w:rPr>
      </w:pPr>
      <w:r>
        <w:rPr>
          <w:color w:val="222222"/>
          <w:sz w:val="16"/>
          <w:szCs w:val="16"/>
        </w:rPr>
        <w:t>A </w:t>
      </w:r>
      <w:r>
        <w:rPr>
          <w:color w:val="222222"/>
          <w:sz w:val="22"/>
        </w:rPr>
        <w:t>central premise in the professionalization literature is that </w:t>
      </w:r>
      <w:r>
        <w:rPr>
          <w:color w:val="222222"/>
          <w:sz w:val="22"/>
          <w:shd w:val="clear" w:color="auto" w:fill="00FF00"/>
        </w:rPr>
        <w:t>occupational groups seek</w:t>
      </w:r>
      <w:r>
        <w:rPr>
          <w:color w:val="222222"/>
          <w:sz w:val="22"/>
        </w:rPr>
        <w:t> to establish </w:t>
      </w:r>
      <w:r>
        <w:rPr>
          <w:color w:val="222222"/>
          <w:sz w:val="22"/>
          <w:shd w:val="clear" w:color="auto" w:fill="00FF00"/>
        </w:rPr>
        <w:t>exclusive control</w:t>
      </w:r>
      <w:r>
        <w:rPr>
          <w:color w:val="222222"/>
          <w:sz w:val="22"/>
        </w:rPr>
        <w:t> </w:t>
      </w:r>
      <w:r>
        <w:rPr>
          <w:color w:val="222222"/>
          <w:sz w:val="22"/>
          <w:shd w:val="clear" w:color="auto" w:fill="00FF00"/>
        </w:rPr>
        <w:t>over</w:t>
      </w:r>
      <w:r>
        <w:rPr>
          <w:color w:val="222222"/>
          <w:sz w:val="22"/>
        </w:rPr>
        <w:t> categories of </w:t>
      </w:r>
      <w:r>
        <w:rPr>
          <w:color w:val="222222"/>
          <w:sz w:val="22"/>
          <w:shd w:val="clear" w:color="auto" w:fill="00FF00"/>
        </w:rPr>
        <w:t>work to achieve </w:t>
      </w:r>
      <w:r>
        <w:rPr>
          <w:b/>
          <w:bCs/>
          <w:color w:val="222222"/>
          <w:sz w:val="22"/>
          <w:bdr w:val="single" w:sz="8" w:space="0" w:color="auto" w:frame="1"/>
          <w:shd w:val="clear" w:color="auto" w:fill="00FF00"/>
        </w:rPr>
        <w:t>closure</w:t>
      </w:r>
      <w:r>
        <w:rPr>
          <w:color w:val="222222"/>
          <w:sz w:val="16"/>
          <w:szCs w:val="16"/>
        </w:rPr>
        <w:t> (Weeden 2002), elevate the status of their members (Wilensky 1964, Sandefur 2001), </w:t>
      </w:r>
      <w:r>
        <w:rPr>
          <w:color w:val="222222"/>
          <w:sz w:val="22"/>
          <w:shd w:val="clear" w:color="auto" w:fill="00FF00"/>
        </w:rPr>
        <w:t>and</w:t>
      </w:r>
      <w:r>
        <w:rPr>
          <w:color w:val="222222"/>
          <w:sz w:val="16"/>
          <w:szCs w:val="16"/>
        </w:rPr>
        <w:t> </w:t>
      </w:r>
      <w:r>
        <w:rPr>
          <w:color w:val="222222"/>
          <w:sz w:val="22"/>
        </w:rPr>
        <w:t>receive </w:t>
      </w:r>
      <w:r>
        <w:rPr>
          <w:b/>
          <w:bCs/>
          <w:color w:val="222222"/>
          <w:sz w:val="22"/>
          <w:bdr w:val="single" w:sz="8" w:space="0" w:color="auto" w:frame="1"/>
          <w:shd w:val="clear" w:color="auto" w:fill="00FF00"/>
        </w:rPr>
        <w:t>monopoly rents</w:t>
      </w:r>
      <w:r>
        <w:rPr>
          <w:color w:val="222222"/>
          <w:sz w:val="16"/>
          <w:szCs w:val="16"/>
        </w:rPr>
        <w:t> (Friedman 1962, Kleiner and Krueger 2010). Empirical research largely corroborates the effects of </w:t>
      </w:r>
      <w:r>
        <w:rPr>
          <w:b/>
          <w:bCs/>
          <w:color w:val="222222"/>
          <w:sz w:val="22"/>
          <w:bdr w:val="single" w:sz="8" w:space="0" w:color="auto" w:frame="1"/>
          <w:shd w:val="clear" w:color="auto" w:fill="00FF00"/>
        </w:rPr>
        <w:t>professional monopoly</w:t>
      </w:r>
      <w:r>
        <w:rPr>
          <w:color w:val="222222"/>
          <w:sz w:val="16"/>
          <w:szCs w:val="16"/>
        </w:rPr>
        <w:t>, especially </w:t>
      </w:r>
      <w:r>
        <w:rPr>
          <w:color w:val="222222"/>
          <w:sz w:val="22"/>
          <w:shd w:val="clear" w:color="auto" w:fill="00FF00"/>
        </w:rPr>
        <w:t>in</w:t>
      </w:r>
      <w:r>
        <w:rPr>
          <w:color w:val="222222"/>
          <w:sz w:val="16"/>
          <w:szCs w:val="16"/>
        </w:rPr>
        <w:t> fields such as </w:t>
      </w:r>
      <w:r>
        <w:rPr>
          <w:b/>
          <w:bCs/>
          <w:color w:val="222222"/>
          <w:sz w:val="22"/>
          <w:bdr w:val="single" w:sz="8" w:space="0" w:color="auto" w:frame="1"/>
          <w:shd w:val="clear" w:color="auto" w:fill="00FF00"/>
        </w:rPr>
        <w:t>medicine</w:t>
      </w:r>
      <w:r>
        <w:rPr>
          <w:color w:val="222222"/>
          <w:sz w:val="16"/>
          <w:szCs w:val="16"/>
        </w:rPr>
        <w:t>, where professions traditionally </w:t>
      </w:r>
      <w:r>
        <w:rPr>
          <w:color w:val="222222"/>
          <w:sz w:val="22"/>
        </w:rPr>
        <w:t>exert strong jurisdictional control over work</w:t>
      </w:r>
      <w:r>
        <w:rPr>
          <w:color w:val="222222"/>
          <w:sz w:val="16"/>
          <w:szCs w:val="16"/>
        </w:rPr>
        <w:t>. For example, </w:t>
      </w:r>
      <w:r>
        <w:rPr>
          <w:color w:val="222222"/>
          <w:sz w:val="22"/>
        </w:rPr>
        <w:t>studies of licensure scope expansion of nurse practitioners</w:t>
      </w:r>
      <w:r>
        <w:rPr>
          <w:color w:val="222222"/>
          <w:sz w:val="16"/>
          <w:szCs w:val="16"/>
        </w:rPr>
        <w:t> (</w:t>
      </w:r>
      <w:r>
        <w:rPr>
          <w:color w:val="222222"/>
          <w:sz w:val="22"/>
        </w:rPr>
        <w:t>NPs</w:t>
      </w:r>
      <w:r>
        <w:rPr>
          <w:color w:val="222222"/>
          <w:sz w:val="16"/>
          <w:szCs w:val="16"/>
        </w:rPr>
        <w:t>; nurses with advanced degrees and qualifications) </w:t>
      </w:r>
      <w:r>
        <w:rPr>
          <w:color w:val="222222"/>
          <w:sz w:val="22"/>
        </w:rPr>
        <w:t>show that as </w:t>
      </w:r>
      <w:r>
        <w:rPr>
          <w:b/>
          <w:bCs/>
          <w:color w:val="222222"/>
          <w:sz w:val="22"/>
          <w:bdr w:val="single" w:sz="8" w:space="0" w:color="auto" w:frame="1"/>
          <w:shd w:val="clear" w:color="auto" w:fill="00FF00"/>
        </w:rPr>
        <w:t>NPs</w:t>
      </w:r>
      <w:r>
        <w:rPr>
          <w:color w:val="222222"/>
          <w:sz w:val="22"/>
          <w:shd w:val="clear" w:color="auto" w:fill="00FF00"/>
        </w:rPr>
        <w:t> grew</w:t>
      </w:r>
      <w:r>
        <w:rPr>
          <w:color w:val="222222"/>
          <w:sz w:val="22"/>
        </w:rPr>
        <w:t> their legal </w:t>
      </w:r>
      <w:r>
        <w:rPr>
          <w:b/>
          <w:bCs/>
          <w:color w:val="222222"/>
          <w:sz w:val="22"/>
          <w:bdr w:val="single" w:sz="8" w:space="0" w:color="auto" w:frame="1"/>
          <w:shd w:val="clear" w:color="auto" w:fill="00FF00"/>
        </w:rPr>
        <w:t>scope of practice</w:t>
      </w:r>
      <w:r>
        <w:rPr>
          <w:color w:val="222222"/>
          <w:sz w:val="22"/>
        </w:rPr>
        <w:t> to include some of the physicians’ tasks, </w:t>
      </w:r>
      <w:r>
        <w:rPr>
          <w:color w:val="222222"/>
          <w:sz w:val="22"/>
          <w:shd w:val="clear" w:color="auto" w:fill="00FF00"/>
        </w:rPr>
        <w:t>physicians’ salaries decreased</w:t>
      </w:r>
      <w:r>
        <w:rPr>
          <w:color w:val="222222"/>
          <w:sz w:val="22"/>
        </w:rPr>
        <w:t> along with the costs of some primary care services, </w:t>
      </w:r>
      <w:r>
        <w:rPr>
          <w:color w:val="222222"/>
          <w:sz w:val="22"/>
          <w:shd w:val="clear" w:color="auto" w:fill="00FF00"/>
        </w:rPr>
        <w:t>suggesting</w:t>
      </w:r>
      <w:r>
        <w:rPr>
          <w:color w:val="222222"/>
          <w:sz w:val="22"/>
        </w:rPr>
        <w:t> the presence of </w:t>
      </w:r>
      <w:r>
        <w:rPr>
          <w:color w:val="222222"/>
          <w:sz w:val="22"/>
          <w:shd w:val="clear" w:color="auto" w:fill="00FF00"/>
        </w:rPr>
        <w:t>monopoly</w:t>
      </w:r>
      <w:r>
        <w:rPr>
          <w:color w:val="222222"/>
          <w:sz w:val="22"/>
        </w:rPr>
        <w:t> rents</w:t>
      </w:r>
      <w:r>
        <w:rPr>
          <w:color w:val="222222"/>
          <w:sz w:val="16"/>
          <w:szCs w:val="16"/>
        </w:rPr>
        <w:t> (Perry 2009, Kleiner et al. 2016).</w:t>
      </w:r>
    </w:p>
    <w:p w14:paraId="4D60040B" w14:textId="77777777" w:rsidR="001A4248" w:rsidRDefault="001A4248" w:rsidP="001A4248">
      <w:pPr>
        <w:shd w:val="clear" w:color="auto" w:fill="FFFFFF"/>
        <w:spacing w:line="235" w:lineRule="atLeast"/>
        <w:rPr>
          <w:color w:val="222222"/>
          <w:sz w:val="22"/>
        </w:rPr>
      </w:pPr>
      <w:r>
        <w:rPr>
          <w:color w:val="222222"/>
          <w:sz w:val="16"/>
          <w:szCs w:val="16"/>
        </w:rPr>
        <w:t>A </w:t>
      </w:r>
      <w:r>
        <w:rPr>
          <w:color w:val="222222"/>
          <w:sz w:val="22"/>
        </w:rPr>
        <w:t>profession’s power to establish monopoly</w:t>
      </w:r>
      <w:r>
        <w:rPr>
          <w:color w:val="222222"/>
          <w:sz w:val="16"/>
          <w:szCs w:val="16"/>
        </w:rPr>
        <w:t> over certain tasks </w:t>
      </w:r>
      <w:r>
        <w:rPr>
          <w:color w:val="222222"/>
          <w:sz w:val="22"/>
        </w:rPr>
        <w:t>arises from its capacity to convince the public and the state that its members are </w:t>
      </w:r>
      <w:r>
        <w:rPr>
          <w:b/>
          <w:bCs/>
          <w:color w:val="222222"/>
          <w:sz w:val="22"/>
          <w:bdr w:val="single" w:sz="8" w:space="0" w:color="auto" w:frame="1"/>
        </w:rPr>
        <w:t>uniquely qualified</w:t>
      </w:r>
      <w:r>
        <w:rPr>
          <w:color w:val="222222"/>
          <w:sz w:val="16"/>
          <w:szCs w:val="16"/>
        </w:rPr>
        <w:t> and committed </w:t>
      </w:r>
      <w:r>
        <w:rPr>
          <w:color w:val="222222"/>
          <w:sz w:val="22"/>
        </w:rPr>
        <w:t>to solve</w:t>
      </w:r>
      <w:r>
        <w:rPr>
          <w:color w:val="222222"/>
          <w:sz w:val="16"/>
          <w:szCs w:val="16"/>
        </w:rPr>
        <w:t> a category of </w:t>
      </w:r>
      <w:r>
        <w:rPr>
          <w:color w:val="222222"/>
          <w:sz w:val="22"/>
        </w:rPr>
        <w:t>human problems</w:t>
      </w:r>
      <w:r>
        <w:rPr>
          <w:color w:val="222222"/>
          <w:sz w:val="16"/>
          <w:szCs w:val="16"/>
        </w:rPr>
        <w:t> (Freidson 1970, 1986; Larson 1977; Abbott 1988). The claims of </w:t>
      </w:r>
      <w:r>
        <w:rPr>
          <w:b/>
          <w:bCs/>
          <w:color w:val="222222"/>
          <w:sz w:val="22"/>
          <w:bdr w:val="single" w:sz="8" w:space="0" w:color="auto" w:frame="1"/>
          <w:shd w:val="clear" w:color="auto" w:fill="00FF00"/>
        </w:rPr>
        <w:t>jurisdiction</w:t>
      </w:r>
      <w:r>
        <w:rPr>
          <w:color w:val="222222"/>
          <w:sz w:val="22"/>
          <w:shd w:val="clear" w:color="auto" w:fill="00FF00"/>
        </w:rPr>
        <w:t> may be used to capture</w:t>
      </w:r>
      <w:r>
        <w:rPr>
          <w:color w:val="222222"/>
          <w:sz w:val="22"/>
        </w:rPr>
        <w:t> control over previously </w:t>
      </w:r>
      <w:r>
        <w:rPr>
          <w:color w:val="222222"/>
          <w:sz w:val="22"/>
          <w:shd w:val="clear" w:color="auto" w:fill="00FF00"/>
        </w:rPr>
        <w:t>nonprofessional tasks</w:t>
      </w:r>
      <w:r>
        <w:rPr>
          <w:color w:val="222222"/>
          <w:sz w:val="16"/>
          <w:szCs w:val="16"/>
        </w:rPr>
        <w:t> (Nelsen and Barley 1997, Fayard et al. 2017), wrest control from a competing occupational group (Heimer 1999, Bucher et al. 2016), </w:t>
      </w:r>
      <w:r>
        <w:rPr>
          <w:color w:val="222222"/>
          <w:sz w:val="22"/>
        </w:rPr>
        <w:t>and prevent nonprofessional outsiders, such as corporations, from performing professional work</w:t>
      </w:r>
      <w:r>
        <w:rPr>
          <w:color w:val="222222"/>
          <w:sz w:val="16"/>
          <w:szCs w:val="16"/>
        </w:rPr>
        <w:t> (Willcox 1959).</w:t>
      </w:r>
    </w:p>
    <w:p w14:paraId="7787FB2D" w14:textId="77777777" w:rsidR="001A4248" w:rsidRDefault="001A4248" w:rsidP="001A4248">
      <w:pPr>
        <w:shd w:val="clear" w:color="auto" w:fill="FFFFFF"/>
        <w:spacing w:line="235" w:lineRule="atLeast"/>
        <w:rPr>
          <w:color w:val="222222"/>
          <w:sz w:val="22"/>
        </w:rPr>
      </w:pPr>
      <w:r>
        <w:rPr>
          <w:color w:val="222222"/>
          <w:sz w:val="16"/>
          <w:szCs w:val="16"/>
        </w:rPr>
        <w:t>A profession claims jurisdiction by proposing a particular organization of work around the problem and casting alternative solutions as ineffective, unsafe, and even immoral. </w:t>
      </w:r>
      <w:r>
        <w:rPr>
          <w:color w:val="222222"/>
          <w:sz w:val="22"/>
          <w:shd w:val="clear" w:color="auto" w:fill="00FF00"/>
        </w:rPr>
        <w:t>Jurisdictional claims</w:t>
      </w:r>
      <w:r>
        <w:rPr>
          <w:color w:val="222222"/>
          <w:sz w:val="22"/>
        </w:rPr>
        <w:t> thus </w:t>
      </w:r>
      <w:r>
        <w:rPr>
          <w:color w:val="222222"/>
          <w:sz w:val="22"/>
          <w:shd w:val="clear" w:color="auto" w:fill="00FF00"/>
        </w:rPr>
        <w:t>assert that</w:t>
      </w:r>
      <w:r>
        <w:rPr>
          <w:color w:val="222222"/>
          <w:sz w:val="16"/>
          <w:szCs w:val="16"/>
        </w:rPr>
        <w:t> the performance of particular expert tasks by members of the profession is legitimate—that is, proper and desirable (Suchman 1995)—whereas the </w:t>
      </w:r>
      <w:r>
        <w:rPr>
          <w:color w:val="222222"/>
          <w:sz w:val="22"/>
          <w:shd w:val="clear" w:color="auto" w:fill="00FF00"/>
        </w:rPr>
        <w:t>solutions</w:t>
      </w:r>
      <w:r>
        <w:rPr>
          <w:color w:val="222222"/>
          <w:sz w:val="22"/>
        </w:rPr>
        <w:t> put forth </w:t>
      </w:r>
      <w:r>
        <w:rPr>
          <w:color w:val="222222"/>
          <w:sz w:val="22"/>
          <w:shd w:val="clear" w:color="auto" w:fill="00FF00"/>
        </w:rPr>
        <w:t>by other professions</w:t>
      </w:r>
      <w:r>
        <w:rPr>
          <w:color w:val="222222"/>
          <w:sz w:val="16"/>
          <w:szCs w:val="16"/>
        </w:rPr>
        <w:t> and nonprofessional actors </w:t>
      </w:r>
      <w:r>
        <w:rPr>
          <w:color w:val="222222"/>
          <w:sz w:val="22"/>
          <w:shd w:val="clear" w:color="auto" w:fill="00FF00"/>
        </w:rPr>
        <w:t>are</w:t>
      </w:r>
      <w:r>
        <w:rPr>
          <w:color w:val="222222"/>
          <w:sz w:val="22"/>
        </w:rPr>
        <w:t> </w:t>
      </w:r>
      <w:r>
        <w:rPr>
          <w:b/>
          <w:bCs/>
          <w:color w:val="222222"/>
          <w:sz w:val="22"/>
          <w:bdr w:val="single" w:sz="8" w:space="0" w:color="auto" w:frame="1"/>
          <w:shd w:val="clear" w:color="auto" w:fill="00FF00"/>
        </w:rPr>
        <w:t>illegitimate</w:t>
      </w:r>
      <w:r>
        <w:rPr>
          <w:color w:val="222222"/>
          <w:sz w:val="16"/>
          <w:szCs w:val="16"/>
        </w:rPr>
        <w:t>. Professions make claims on the collective level, most often through professional associations and prominent members (Strang and Bradburn 2001, Suddaby and Greenwood 2005, Kahl et al. 2016). </w:t>
      </w:r>
      <w:r>
        <w:rPr>
          <w:color w:val="222222"/>
          <w:sz w:val="22"/>
        </w:rPr>
        <w:t>This </w:t>
      </w:r>
      <w:r>
        <w:rPr>
          <w:color w:val="222222"/>
          <w:sz w:val="22"/>
          <w:shd w:val="clear" w:color="auto" w:fill="00FF00"/>
        </w:rPr>
        <w:t>activity</w:t>
      </w:r>
      <w:r>
        <w:rPr>
          <w:color w:val="222222"/>
          <w:sz w:val="22"/>
        </w:rPr>
        <w:t> not only </w:t>
      </w:r>
      <w:r>
        <w:rPr>
          <w:color w:val="222222"/>
          <w:sz w:val="22"/>
          <w:shd w:val="clear" w:color="auto" w:fill="00FF00"/>
        </w:rPr>
        <w:t>shapes</w:t>
      </w:r>
      <w:r>
        <w:rPr>
          <w:color w:val="222222"/>
          <w:sz w:val="22"/>
        </w:rPr>
        <w:t> the </w:t>
      </w:r>
      <w:r>
        <w:rPr>
          <w:b/>
          <w:bCs/>
          <w:color w:val="222222"/>
          <w:sz w:val="22"/>
          <w:bdr w:val="single" w:sz="8" w:space="0" w:color="auto" w:frame="1"/>
          <w:shd w:val="clear" w:color="auto" w:fill="00FF00"/>
        </w:rPr>
        <w:t>public perception</w:t>
      </w:r>
      <w:r>
        <w:rPr>
          <w:color w:val="222222"/>
          <w:sz w:val="22"/>
        </w:rPr>
        <w:t> of the profession’s work but also </w:t>
      </w:r>
      <w:r>
        <w:rPr>
          <w:b/>
          <w:bCs/>
          <w:color w:val="222222"/>
          <w:sz w:val="22"/>
          <w:bdr w:val="single" w:sz="8" w:space="0" w:color="auto" w:frame="1"/>
          <w:shd w:val="clear" w:color="auto" w:fill="00FF00"/>
        </w:rPr>
        <w:t>informs decisions</w:t>
      </w:r>
      <w:r>
        <w:rPr>
          <w:color w:val="222222"/>
          <w:sz w:val="22"/>
          <w:shd w:val="clear" w:color="auto" w:fill="00FF00"/>
        </w:rPr>
        <w:t> of </w:t>
      </w:r>
      <w:r>
        <w:rPr>
          <w:b/>
          <w:bCs/>
          <w:color w:val="222222"/>
          <w:sz w:val="22"/>
          <w:bdr w:val="single" w:sz="8" w:space="0" w:color="auto" w:frame="1"/>
          <w:shd w:val="clear" w:color="auto" w:fill="00FF00"/>
        </w:rPr>
        <w:t>regulators</w:t>
      </w:r>
      <w:r>
        <w:rPr>
          <w:color w:val="222222"/>
          <w:sz w:val="22"/>
          <w:shd w:val="clear" w:color="auto" w:fill="00FF00"/>
        </w:rPr>
        <w:t> and </w:t>
      </w:r>
      <w:r>
        <w:rPr>
          <w:b/>
          <w:bCs/>
          <w:color w:val="222222"/>
          <w:sz w:val="22"/>
          <w:bdr w:val="single" w:sz="8" w:space="0" w:color="auto" w:frame="1"/>
          <w:shd w:val="clear" w:color="auto" w:fill="00FF00"/>
        </w:rPr>
        <w:t>legislators</w:t>
      </w:r>
      <w:r>
        <w:rPr>
          <w:color w:val="222222"/>
          <w:sz w:val="22"/>
          <w:shd w:val="clear" w:color="auto" w:fill="00FF00"/>
        </w:rPr>
        <w:t>, culminating in</w:t>
      </w:r>
      <w:r>
        <w:rPr>
          <w:color w:val="222222"/>
          <w:sz w:val="22"/>
        </w:rPr>
        <w:t> legal protection of the work from competing practitioners typically enforced through </w:t>
      </w:r>
      <w:r>
        <w:rPr>
          <w:color w:val="222222"/>
          <w:sz w:val="22"/>
          <w:shd w:val="clear" w:color="auto" w:fill="00FF00"/>
        </w:rPr>
        <w:t>licensure requirements</w:t>
      </w:r>
      <w:r>
        <w:rPr>
          <w:color w:val="222222"/>
          <w:sz w:val="16"/>
          <w:szCs w:val="16"/>
        </w:rPr>
        <w:t> (Freidson 1986). </w:t>
      </w:r>
      <w:r>
        <w:rPr>
          <w:color w:val="222222"/>
          <w:sz w:val="22"/>
        </w:rPr>
        <w:t>The publicly made claims are enacted in worksites where professionals compete with members of other occupational groups for </w:t>
      </w:r>
      <w:r>
        <w:rPr>
          <w:b/>
          <w:bCs/>
          <w:color w:val="222222"/>
          <w:sz w:val="22"/>
          <w:bdr w:val="single" w:sz="8" w:space="0" w:color="auto" w:frame="1"/>
        </w:rPr>
        <w:t>local control</w:t>
      </w:r>
      <w:r>
        <w:rPr>
          <w:color w:val="222222"/>
          <w:sz w:val="22"/>
        </w:rPr>
        <w:t> over the performance of tasks comprising their jurisdiction, negotiating the </w:t>
      </w:r>
      <w:r>
        <w:rPr>
          <w:b/>
          <w:bCs/>
          <w:color w:val="222222"/>
          <w:sz w:val="22"/>
          <w:bdr w:val="single" w:sz="8" w:space="0" w:color="auto" w:frame="1"/>
        </w:rPr>
        <w:t>allocation of authority</w:t>
      </w:r>
      <w:r>
        <w:rPr>
          <w:color w:val="222222"/>
          <w:sz w:val="22"/>
        </w:rPr>
        <w:t>, </w:t>
      </w:r>
      <w:r>
        <w:rPr>
          <w:b/>
          <w:bCs/>
          <w:color w:val="222222"/>
          <w:sz w:val="22"/>
          <w:bdr w:val="single" w:sz="8" w:space="0" w:color="auto" w:frame="1"/>
        </w:rPr>
        <w:t>status</w:t>
      </w:r>
      <w:r>
        <w:rPr>
          <w:color w:val="222222"/>
          <w:sz w:val="22"/>
        </w:rPr>
        <w:t>, and </w:t>
      </w:r>
      <w:r>
        <w:rPr>
          <w:b/>
          <w:bCs/>
          <w:color w:val="222222"/>
          <w:sz w:val="22"/>
          <w:bdr w:val="single" w:sz="8" w:space="0" w:color="auto" w:frame="1"/>
        </w:rPr>
        <w:t>economic benefits</w:t>
      </w:r>
      <w:r>
        <w:rPr>
          <w:color w:val="222222"/>
          <w:sz w:val="16"/>
          <w:szCs w:val="16"/>
        </w:rPr>
        <w:t> (Barley 1986, Heimer 1999, Kellogg 2009, Huising 2015). Thus, making jurisdictional claims is a core activity that allows professions to capture and maintain control over work.</w:t>
      </w:r>
    </w:p>
    <w:p w14:paraId="15EE6E6B" w14:textId="547B9F04" w:rsidR="00A95652" w:rsidRDefault="001A4248" w:rsidP="001A4248">
      <w:pPr>
        <w:pStyle w:val="Heading1"/>
      </w:pPr>
      <w:r>
        <w:t>1AR</w:t>
      </w:r>
    </w:p>
    <w:p w14:paraId="45C87473" w14:textId="77777777" w:rsidR="001A4248" w:rsidRDefault="001A4248" w:rsidP="001A4248">
      <w:pPr>
        <w:pStyle w:val="Heading3"/>
      </w:pPr>
      <w:r>
        <w:t>1AR---AT: Link</w:t>
      </w:r>
    </w:p>
    <w:p w14:paraId="36284335" w14:textId="77777777" w:rsidR="001A4248" w:rsidRDefault="001A4248" w:rsidP="001A4248">
      <w:pPr>
        <w:pStyle w:val="Heading4"/>
      </w:pPr>
      <w:r>
        <w:t xml:space="preserve">their understanding of power is </w:t>
      </w:r>
      <w:r w:rsidRPr="00447753">
        <w:rPr>
          <w:u w:val="single"/>
        </w:rPr>
        <w:t>depoli</w:t>
      </w:r>
      <w:r>
        <w:rPr>
          <w:u w:val="single"/>
        </w:rPr>
        <w:t>ti</w:t>
      </w:r>
      <w:r w:rsidRPr="00447753">
        <w:rPr>
          <w:u w:val="single"/>
        </w:rPr>
        <w:t>cizing</w:t>
      </w:r>
      <w:r>
        <w:t xml:space="preserve"> </w:t>
      </w:r>
    </w:p>
    <w:p w14:paraId="41A72384" w14:textId="77777777" w:rsidR="001A4248" w:rsidRDefault="001A4248" w:rsidP="001A4248">
      <w:r w:rsidRPr="008754B5">
        <w:rPr>
          <w:rStyle w:val="Style13ptBold"/>
        </w:rPr>
        <w:t>Huysmans</w:t>
      </w:r>
      <w:r w:rsidRPr="00C839C4">
        <w:rPr>
          <w:b/>
        </w:rPr>
        <w:t xml:space="preserve"> </w:t>
      </w:r>
      <w:r w:rsidRPr="008754B5">
        <w:rPr>
          <w:rStyle w:val="Style13ptBold"/>
        </w:rPr>
        <w:t>08</w:t>
      </w:r>
      <w:r>
        <w:t xml:space="preserve"> (Jef – Professor of Security Studies at the Open University, “The Jargon of Exception—On Schmitt, Agamben and the Absence of Political Society,” in International Political Sociology, Volume 2, Issue 2, June 2008, http://onlinelibrary.wiley.com/doi/10.1111/j.1749-5687.2008.00042.x/abstract)</w:t>
      </w:r>
    </w:p>
    <w:p w14:paraId="440A61EF" w14:textId="77777777" w:rsidR="001A4248" w:rsidRDefault="001A4248" w:rsidP="001A4248">
      <w:pPr>
        <w:rPr>
          <w:sz w:val="14"/>
        </w:rPr>
      </w:pPr>
      <w:r w:rsidRPr="005761E2">
        <w:rPr>
          <w:sz w:val="14"/>
        </w:rPr>
        <w:t xml:space="preserve">Deploying the jargon of exception and especially </w:t>
      </w:r>
      <w:r w:rsidRPr="00A75BC4">
        <w:rPr>
          <w:rStyle w:val="StyleUnderline"/>
          <w:highlight w:val="cyan"/>
        </w:rPr>
        <w:t>Agamben’s conception of the exception-being-the-rule</w:t>
      </w:r>
      <w:r w:rsidRPr="005761E2">
        <w:rPr>
          <w:sz w:val="14"/>
        </w:rPr>
        <w:t xml:space="preserve"> for reconfiguring conceptions of politics in a biopolitical age </w:t>
      </w:r>
      <w:r w:rsidRPr="00A75BC4">
        <w:rPr>
          <w:rStyle w:val="StyleUnderline"/>
          <w:highlight w:val="cyan"/>
        </w:rPr>
        <w:t>comes at a serious cost</w:t>
      </w:r>
      <w:r w:rsidRPr="005761E2">
        <w:rPr>
          <w:sz w:val="14"/>
        </w:rPr>
        <w:t xml:space="preserve">, though. </w:t>
      </w:r>
      <w:r w:rsidRPr="00A75BC4">
        <w:rPr>
          <w:rStyle w:val="StyleUnderline"/>
          <w:highlight w:val="cyan"/>
        </w:rPr>
        <w:t>It inserts</w:t>
      </w:r>
      <w:r w:rsidRPr="00C839C4">
        <w:rPr>
          <w:rStyle w:val="StyleUnderline"/>
        </w:rPr>
        <w:t xml:space="preserve"> both a diagnosis of our time and </w:t>
      </w:r>
      <w:r w:rsidRPr="00A75BC4">
        <w:rPr>
          <w:rStyle w:val="StyleUnderline"/>
          <w:highlight w:val="cyan"/>
        </w:rPr>
        <w:t xml:space="preserve">a conceptual apparatus for rethinking politics that has </w:t>
      </w:r>
      <w:r w:rsidRPr="00A75BC4">
        <w:rPr>
          <w:rStyle w:val="Emphasis"/>
          <w:highlight w:val="cyan"/>
        </w:rPr>
        <w:t>no place</w:t>
      </w:r>
      <w:r w:rsidRPr="00A75BC4">
        <w:rPr>
          <w:rStyle w:val="StyleUnderline"/>
          <w:highlight w:val="cyan"/>
        </w:rPr>
        <w:t xml:space="preserve"> for</w:t>
      </w:r>
      <w:r w:rsidRPr="00C839C4">
        <w:rPr>
          <w:rStyle w:val="StyleUnderline"/>
        </w:rPr>
        <w:t xml:space="preserve"> the category that has been central to</w:t>
      </w:r>
      <w:r w:rsidRPr="005761E2">
        <w:rPr>
          <w:sz w:val="14"/>
        </w:rPr>
        <w:t xml:space="preserve"> the </w:t>
      </w:r>
      <w:r w:rsidRPr="00C839C4">
        <w:rPr>
          <w:rStyle w:val="StyleUnderline"/>
        </w:rPr>
        <w:t>modern</w:t>
      </w:r>
      <w:r w:rsidRPr="005761E2">
        <w:rPr>
          <w:sz w:val="14"/>
        </w:rPr>
        <w:t xml:space="preserve"> democratic </w:t>
      </w:r>
      <w:r w:rsidRPr="00C839C4">
        <w:rPr>
          <w:rStyle w:val="StyleUnderline"/>
        </w:rPr>
        <w:t xml:space="preserve">tradition: the </w:t>
      </w:r>
      <w:r w:rsidRPr="00A75BC4">
        <w:rPr>
          <w:rStyle w:val="StyleUnderline"/>
          <w:highlight w:val="cyan"/>
        </w:rPr>
        <w:t>political significance of people</w:t>
      </w:r>
      <w:r w:rsidRPr="005761E2">
        <w:rPr>
          <w:sz w:val="14"/>
        </w:rPr>
        <w:t xml:space="preserve"> as a multiplicity of social relations that condition politics and that are constituted by the mediations of various objectified forms and processes (for example, scientific knowledge, technologies, property relations, legal institutions...). </w:t>
      </w:r>
      <w:r w:rsidRPr="00A75BC4">
        <w:rPr>
          <w:rStyle w:val="StyleUnderline"/>
          <w:highlight w:val="cyan"/>
        </w:rPr>
        <w:t>Even if one would argue that Agamben’s framing of</w:t>
      </w:r>
      <w:r w:rsidRPr="005761E2">
        <w:rPr>
          <w:sz w:val="14"/>
        </w:rPr>
        <w:t xml:space="preserve"> the </w:t>
      </w:r>
      <w:r w:rsidRPr="00C839C4">
        <w:rPr>
          <w:rStyle w:val="StyleUnderline"/>
        </w:rPr>
        <w:t xml:space="preserve">current </w:t>
      </w:r>
      <w:r w:rsidRPr="00A75BC4">
        <w:rPr>
          <w:rStyle w:val="StyleUnderline"/>
          <w:highlight w:val="cyan"/>
        </w:rPr>
        <w:t>political conditions are valuable</w:t>
      </w:r>
      <w:r w:rsidRPr="00C839C4">
        <w:rPr>
          <w:rStyle w:val="StyleUnderline"/>
        </w:rPr>
        <w:t xml:space="preserve"> for understanding</w:t>
      </w:r>
      <w:r w:rsidRPr="005761E2">
        <w:rPr>
          <w:sz w:val="14"/>
        </w:rPr>
        <w:t xml:space="preserve"> important </w:t>
      </w:r>
      <w:r w:rsidRPr="00C839C4">
        <w:rPr>
          <w:rStyle w:val="StyleUnderline"/>
        </w:rPr>
        <w:t>changes</w:t>
      </w:r>
      <w:r w:rsidRPr="005761E2">
        <w:rPr>
          <w:sz w:val="14"/>
        </w:rPr>
        <w:t xml:space="preserve"> that have taken place in the twentieth century and that are continuing in the twenty first, </w:t>
      </w:r>
      <w:r w:rsidRPr="00A75BC4">
        <w:rPr>
          <w:rStyle w:val="StyleUnderline"/>
          <w:highlight w:val="cyan"/>
        </w:rPr>
        <w:t>they</w:t>
      </w:r>
      <w:r w:rsidRPr="005761E2">
        <w:rPr>
          <w:sz w:val="14"/>
        </w:rPr>
        <w:t xml:space="preserve"> also </w:t>
      </w:r>
      <w:r w:rsidRPr="00A75BC4">
        <w:rPr>
          <w:rStyle w:val="StyleUnderline"/>
          <w:highlight w:val="cyan"/>
        </w:rPr>
        <w:t>are</w:t>
      </w:r>
      <w:r w:rsidRPr="005761E2">
        <w:rPr>
          <w:sz w:val="14"/>
        </w:rPr>
        <w:t xml:space="preserve"> to a considerable extent </w:t>
      </w:r>
      <w:r w:rsidRPr="00A75BC4">
        <w:rPr>
          <w:rStyle w:val="Emphasis"/>
          <w:highlight w:val="cyan"/>
        </w:rPr>
        <w:t>depoliticizing</w:t>
      </w:r>
      <w:r w:rsidRPr="005761E2">
        <w:rPr>
          <w:sz w:val="14"/>
        </w:rPr>
        <w:t xml:space="preserve">. </w:t>
      </w:r>
      <w:r w:rsidRPr="00C839C4">
        <w:rPr>
          <w:rStyle w:val="StyleUnderline"/>
        </w:rPr>
        <w:t>Agamben’s</w:t>
      </w:r>
      <w:r w:rsidRPr="005761E2">
        <w:rPr>
          <w:sz w:val="14"/>
        </w:rPr>
        <w:t xml:space="preserve"> work </w:t>
      </w:r>
      <w:r w:rsidRPr="00C839C4">
        <w:rPr>
          <w:rStyle w:val="StyleUnderline"/>
        </w:rPr>
        <w:t>tends to guide</w:t>
      </w:r>
      <w:r w:rsidRPr="005761E2">
        <w:rPr>
          <w:sz w:val="14"/>
        </w:rPr>
        <w:t xml:space="preserve"> the </w:t>
      </w:r>
      <w:r w:rsidRPr="00C839C4">
        <w:rPr>
          <w:rStyle w:val="StyleUnderline"/>
        </w:rPr>
        <w:t>analysis to unmediated</w:t>
      </w:r>
      <w:r w:rsidRPr="005761E2">
        <w:rPr>
          <w:sz w:val="14"/>
        </w:rPr>
        <w:t xml:space="preserve">, </w:t>
      </w:r>
      <w:r w:rsidRPr="00C839C4">
        <w:rPr>
          <w:rStyle w:val="StyleUnderline"/>
        </w:rPr>
        <w:t>factual life</w:t>
      </w:r>
      <w:r w:rsidRPr="005761E2">
        <w:rPr>
          <w:sz w:val="14"/>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sidRPr="00C839C4">
        <w:rPr>
          <w:rStyle w:val="StyleUnderline"/>
        </w:rPr>
        <w:t xml:space="preserve">such </w:t>
      </w:r>
      <w:r w:rsidRPr="00A75BC4">
        <w:rPr>
          <w:rStyle w:val="StyleUnderline"/>
          <w:highlight w:val="cyan"/>
        </w:rPr>
        <w:t>a conception of</w:t>
      </w:r>
      <w:r w:rsidRPr="00C839C4">
        <w:rPr>
          <w:rStyle w:val="StyleUnderline"/>
        </w:rPr>
        <w:t xml:space="preserve"> bodily</w:t>
      </w:r>
      <w:r w:rsidRPr="005761E2">
        <w:rPr>
          <w:sz w:val="14"/>
        </w:rPr>
        <w:t xml:space="preserve">, </w:t>
      </w:r>
      <w:r w:rsidRPr="00A75BC4">
        <w:rPr>
          <w:rStyle w:val="StyleUnderline"/>
          <w:highlight w:val="cyan"/>
        </w:rPr>
        <w:t>naked life is not political</w:t>
      </w:r>
      <w:r w:rsidRPr="005761E2">
        <w:rPr>
          <w:sz w:val="14"/>
        </w:rPr>
        <w:t xml:space="preserve">. </w:t>
      </w:r>
      <w:r w:rsidRPr="00A75BC4">
        <w:rPr>
          <w:rStyle w:val="StyleUnderline"/>
          <w:highlight w:val="cyan"/>
        </w:rPr>
        <w:t>It ignores how this life only</w:t>
      </w:r>
      <w:r w:rsidRPr="00C839C4">
        <w:rPr>
          <w:rStyle w:val="StyleUnderline"/>
        </w:rPr>
        <w:t xml:space="preserve"> exists and </w:t>
      </w:r>
      <w:r w:rsidRPr="00A75BC4">
        <w:rPr>
          <w:rStyle w:val="StyleUnderline"/>
          <w:highlight w:val="cyan"/>
        </w:rPr>
        <w:t>takes</w:t>
      </w:r>
      <w:r w:rsidRPr="00C839C4">
        <w:rPr>
          <w:rStyle w:val="StyleUnderline"/>
        </w:rPr>
        <w:t xml:space="preserve"> on political </w:t>
      </w:r>
      <w:r w:rsidRPr="00A75BC4">
        <w:rPr>
          <w:rStyle w:val="StyleUnderline"/>
          <w:highlight w:val="cyan"/>
        </w:rPr>
        <w:t>form through various socioeconomic</w:t>
      </w:r>
      <w:r w:rsidRPr="005761E2">
        <w:rPr>
          <w:sz w:val="14"/>
        </w:rPr>
        <w:t xml:space="preserve">, technological, scientific, legal, </w:t>
      </w:r>
      <w:r w:rsidRPr="00C839C4">
        <w:rPr>
          <w:rStyle w:val="StyleUnderline"/>
        </w:rPr>
        <w:t xml:space="preserve">and other </w:t>
      </w:r>
      <w:r w:rsidRPr="00A75BC4">
        <w:rPr>
          <w:rStyle w:val="StyleUnderline"/>
          <w:highlight w:val="cyan"/>
        </w:rPr>
        <w:t>mediations</w:t>
      </w:r>
      <w:r w:rsidRPr="005761E2">
        <w:rPr>
          <w:sz w:val="14"/>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sidRPr="00A75BC4">
        <w:rPr>
          <w:rStyle w:val="StyleUnderline"/>
          <w:highlight w:val="cyan"/>
        </w:rPr>
        <w:t>Reading the politics of exception as the central lens onto</w:t>
      </w:r>
      <w:r w:rsidRPr="005761E2">
        <w:rPr>
          <w:sz w:val="14"/>
        </w:rPr>
        <w:t xml:space="preserve"> modern con- ceptions of </w:t>
      </w:r>
      <w:r w:rsidRPr="00A75BC4">
        <w:rPr>
          <w:rStyle w:val="StyleUnderline"/>
          <w:highlight w:val="cyan"/>
        </w:rPr>
        <w:t>politics</w:t>
      </w:r>
      <w:r w:rsidRPr="005761E2">
        <w:rPr>
          <w:sz w:val="14"/>
        </w:rPr>
        <w:t xml:space="preserve">, as both Agamben and Schmitt do, </w:t>
      </w:r>
      <w:r w:rsidRPr="00A75BC4">
        <w:rPr>
          <w:rStyle w:val="Emphasis"/>
          <w:highlight w:val="cyan"/>
        </w:rPr>
        <w:t>erases</w:t>
      </w:r>
      <w:r w:rsidRPr="005761E2">
        <w:rPr>
          <w:sz w:val="14"/>
        </w:rPr>
        <w:t xml:space="preserve"> from the concept of politics </w:t>
      </w:r>
      <w:r w:rsidRPr="00A75BC4">
        <w:rPr>
          <w:rStyle w:val="Emphasis"/>
          <w:highlight w:val="cyan"/>
        </w:rPr>
        <w:t>a rich</w:t>
      </w:r>
      <w:r w:rsidRPr="005761E2">
        <w:rPr>
          <w:rStyle w:val="StyleUnderline"/>
        </w:rPr>
        <w:t xml:space="preserve"> and constitutive </w:t>
      </w:r>
      <w:r w:rsidRPr="00A75BC4">
        <w:rPr>
          <w:rStyle w:val="Emphasis"/>
          <w:highlight w:val="cyan"/>
        </w:rPr>
        <w:t>history of</w:t>
      </w:r>
      <w:r w:rsidRPr="00C839C4">
        <w:rPr>
          <w:rStyle w:val="Emphasis"/>
        </w:rPr>
        <w:t xml:space="preserve"> sociopolitical </w:t>
      </w:r>
      <w:r w:rsidRPr="00A75BC4">
        <w:rPr>
          <w:rStyle w:val="Emphasis"/>
          <w:highlight w:val="cyan"/>
        </w:rPr>
        <w:t>struggle</w:t>
      </w:r>
      <w:r w:rsidRPr="005761E2">
        <w:rPr>
          <w:sz w:val="14"/>
        </w:rPr>
        <w:t xml:space="preserve">s, traditions of thought linked to this history, </w:t>
      </w:r>
      <w:r w:rsidRPr="005761E2">
        <w:rPr>
          <w:rStyle w:val="StyleUnderline"/>
        </w:rPr>
        <w:t xml:space="preserve">and key sites and temporalities of politics as well as the central processes </w:t>
      </w:r>
      <w:r w:rsidRPr="00A75BC4">
        <w:rPr>
          <w:rStyle w:val="Emphasis"/>
          <w:highlight w:val="cyan"/>
        </w:rPr>
        <w:t>through which individualized</w:t>
      </w:r>
      <w:r w:rsidRPr="00C839C4">
        <w:rPr>
          <w:rStyle w:val="Emphasis"/>
        </w:rPr>
        <w:t xml:space="preserve"> bodily </w:t>
      </w:r>
      <w:r w:rsidRPr="00A75BC4">
        <w:rPr>
          <w:rStyle w:val="Emphasis"/>
          <w:highlight w:val="cyan"/>
        </w:rPr>
        <w:t>resistances gain</w:t>
      </w:r>
      <w:r w:rsidRPr="005761E2">
        <w:rPr>
          <w:sz w:val="14"/>
        </w:rPr>
        <w:t xml:space="preserve"> their sociopolitical </w:t>
      </w:r>
      <w:r w:rsidRPr="00A75BC4">
        <w:rPr>
          <w:rStyle w:val="Emphasis"/>
          <w:highlight w:val="cyan"/>
        </w:rPr>
        <w:t>significance</w:t>
      </w:r>
      <w:r w:rsidRPr="005761E2">
        <w:rPr>
          <w:sz w:val="14"/>
        </w:rPr>
        <w:t>.</w:t>
      </w:r>
    </w:p>
    <w:p w14:paraId="5D5BE5A4" w14:textId="77777777" w:rsidR="001A4248" w:rsidRPr="009172F2" w:rsidRDefault="001A4248" w:rsidP="001A4248">
      <w:pPr>
        <w:rPr>
          <w:u w:val="single"/>
        </w:rPr>
      </w:pPr>
    </w:p>
    <w:p w14:paraId="298599EC" w14:textId="77777777" w:rsidR="001A4248" w:rsidRDefault="001A4248" w:rsidP="001A4248">
      <w:pPr>
        <w:pStyle w:val="Heading4"/>
      </w:pPr>
      <w:r>
        <w:t>Third, rejecting liberalism is worse</w:t>
      </w:r>
    </w:p>
    <w:p w14:paraId="056EC84E" w14:textId="77777777" w:rsidR="001A4248" w:rsidRDefault="001A4248" w:rsidP="001A4248">
      <w:r w:rsidRPr="00882B55">
        <w:rPr>
          <w:rStyle w:val="Style13ptBold"/>
        </w:rPr>
        <w:t>Badano 13</w:t>
      </w:r>
      <w:r>
        <w:t xml:space="preserve"> (Gabriele,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06071C73" w14:textId="77777777" w:rsidR="001A4248" w:rsidRDefault="001A4248" w:rsidP="001A4248">
      <w:pPr>
        <w:rPr>
          <w:rStyle w:val="StyleUnderline"/>
        </w:rPr>
      </w:pPr>
      <w:r w:rsidRPr="001C192F">
        <w:rPr>
          <w:sz w:val="16"/>
        </w:rPr>
        <w:t xml:space="preserve">I argue that </w:t>
      </w:r>
      <w:r w:rsidRPr="00D5546C">
        <w:rPr>
          <w:rStyle w:val="StyleUnderline"/>
        </w:rPr>
        <w:t xml:space="preserve">any proposal </w:t>
      </w:r>
      <w:r w:rsidRPr="00D5546C">
        <w:rPr>
          <w:rStyle w:val="Emphasis"/>
          <w:highlight w:val="green"/>
        </w:rPr>
        <w:t>abandoning the language of political justice</w:t>
      </w:r>
      <w:r w:rsidRPr="00D5546C">
        <w:rPr>
          <w:rStyle w:val="StyleUnderline"/>
          <w:highlight w:val="green"/>
        </w:rPr>
        <w:t xml:space="preserve"> would not</w:t>
      </w:r>
      <w:r w:rsidRPr="009F632A">
        <w:rPr>
          <w:rStyle w:val="StyleUnderline"/>
        </w:rPr>
        <w:t xml:space="preserve"> seem to </w:t>
      </w:r>
      <w:r w:rsidRPr="00D5546C">
        <w:rPr>
          <w:rStyle w:val="StyleUnderline"/>
          <w:highlight w:val="green"/>
        </w:rPr>
        <w:t>do enough for</w:t>
      </w:r>
      <w:r w:rsidRPr="009F632A">
        <w:rPr>
          <w:rStyle w:val="StyleUnderline"/>
        </w:rPr>
        <w:t xml:space="preserve"> those </w:t>
      </w:r>
      <w:r w:rsidRPr="00D5546C">
        <w:rPr>
          <w:rStyle w:val="StyleUnderline"/>
          <w:highlight w:val="green"/>
        </w:rPr>
        <w:t>individuals with disabilities</w:t>
      </w:r>
      <w:r w:rsidRPr="009F632A">
        <w:rPr>
          <w:rStyle w:val="StyleUnderline"/>
        </w:rPr>
        <w:t xml:space="preserve"> who fall outside the basic idea of persons</w:t>
      </w:r>
      <w:r w:rsidRPr="001C192F">
        <w:rPr>
          <w:sz w:val="16"/>
        </w:rPr>
        <w:t xml:space="preserve"> as depicted by Rawls. In fact, the intuitions supporting the idea that </w:t>
      </w:r>
      <w:r w:rsidRPr="00D5546C">
        <w:rPr>
          <w:rStyle w:val="StyleUnderline"/>
          <w:highlight w:val="green"/>
        </w:rPr>
        <w:t>concepts like rights</w:t>
      </w:r>
      <w:r w:rsidRPr="009F632A">
        <w:rPr>
          <w:rStyle w:val="StyleUnderline"/>
        </w:rPr>
        <w:t xml:space="preserve"> and opportunities </w:t>
      </w:r>
      <w:r w:rsidRPr="00D5546C">
        <w:rPr>
          <w:rStyle w:val="StyleUnderline"/>
          <w:highlight w:val="green"/>
        </w:rPr>
        <w:t xml:space="preserve">are </w:t>
      </w:r>
      <w:r w:rsidRPr="00D5546C">
        <w:rPr>
          <w:rStyle w:val="Emphasis"/>
          <w:highlight w:val="green"/>
        </w:rPr>
        <w:t>indispensable</w:t>
      </w:r>
      <w:r w:rsidRPr="001C192F">
        <w:rPr>
          <w:sz w:val="16"/>
        </w:rPr>
        <w:t xml:space="preserve"> are very strong.11 Let us go back to the examples of individuals falling outside Rawls’s idea of persons because their disabilities prevent them from being a net beneﬁt to social cooperation. They are individuals who need multiple carers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should we accept that those individuals ought to be given no rights or opportunities? An afﬁrmative answer would strike us as implausible,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 In sum, Rawls’s political liberalism is not amenable to any extension that, keeping the basic ideas of society and persons intact, is able to include a </w:t>
      </w:r>
      <w:r w:rsidRPr="007D64DA">
        <w:rPr>
          <w:sz w:val="16"/>
        </w:rPr>
        <w:t xml:space="preserve">concern with the status of individuals with disabilities. In addition, the proposal that the interests of the disabled are not for public reason to protect is not satisfactory. Consequently, </w:t>
      </w:r>
      <w:r w:rsidRPr="007D64DA">
        <w:rPr>
          <w:rStyle w:val="Emphasis"/>
        </w:rPr>
        <w:t>a substantial revision</w:t>
      </w:r>
      <w:r w:rsidRPr="007D64DA">
        <w:rPr>
          <w:rStyle w:val="StyleUnderline"/>
        </w:rPr>
        <w:t xml:space="preserve"> is the only way to reconcile political liberalism with our intuitions concerning what is</w:t>
      </w:r>
      <w:r w:rsidRPr="001C192F">
        <w:rPr>
          <w:rStyle w:val="StyleUnderline"/>
        </w:rPr>
        <w:t xml:space="preserve"> due to the disabled</w:t>
      </w:r>
      <w:r w:rsidRPr="001C192F">
        <w:rPr>
          <w:sz w:val="16"/>
        </w:rPr>
        <w:t xml:space="preserve">. 5. </w:t>
      </w:r>
      <w:r w:rsidRPr="001C192F">
        <w:rPr>
          <w:rStyle w:val="StyleUnderline"/>
        </w:rPr>
        <w:t>Revising political liberalism</w:t>
      </w:r>
      <w:r w:rsidRPr="001C192F">
        <w:rPr>
          <w:sz w:val="16"/>
        </w:rPr>
        <w:t xml:space="preserve"> I: </w:t>
      </w:r>
      <w:r w:rsidRPr="00C75ECE">
        <w:rPr>
          <w:rStyle w:val="StyleUnderline"/>
        </w:rPr>
        <w:t>beyond Hartley’s contractualism</w:t>
      </w:r>
      <w:r w:rsidRPr="001C192F">
        <w:rPr>
          <w:sz w:val="16"/>
        </w:rPr>
        <w:t xml:space="preserve"> The aim of this section and the next is to propose </w:t>
      </w:r>
      <w:r w:rsidRPr="00C75ECE">
        <w:rPr>
          <w:rStyle w:val="StyleUnderline"/>
        </w:rPr>
        <w:t xml:space="preserve">a substantial </w:t>
      </w:r>
      <w:r w:rsidRPr="00D5546C">
        <w:rPr>
          <w:rStyle w:val="Emphasis"/>
          <w:highlight w:val="green"/>
        </w:rPr>
        <w:t>revision</w:t>
      </w:r>
      <w:r w:rsidRPr="001C192F">
        <w:rPr>
          <w:sz w:val="16"/>
        </w:rPr>
        <w:t xml:space="preserve"> of Rawls’s theory that </w:t>
      </w:r>
      <w:r w:rsidRPr="00D5546C">
        <w:rPr>
          <w:rStyle w:val="StyleUnderline"/>
          <w:highlight w:val="green"/>
        </w:rPr>
        <w:t>accommodates the justice claims of the disabled while upholding</w:t>
      </w:r>
      <w:r w:rsidRPr="00C75ECE">
        <w:rPr>
          <w:rStyle w:val="StyleUnderline"/>
        </w:rPr>
        <w:t xml:space="preserve"> the project of political </w:t>
      </w:r>
      <w:r w:rsidRPr="00D5546C">
        <w:rPr>
          <w:rStyle w:val="StyleUnderline"/>
          <w:highlight w:val="green"/>
        </w:rPr>
        <w:t>liberalism</w:t>
      </w:r>
      <w:r w:rsidRPr="001C192F">
        <w:rPr>
          <w:sz w:val="16"/>
        </w:rPr>
        <w:t xml:space="preserve">. A question that needs to be answered at this point is: </w:t>
      </w:r>
      <w:r w:rsidRPr="00D5546C">
        <w:rPr>
          <w:rStyle w:val="StyleUnderline"/>
        </w:rPr>
        <w:t>why should we uphold</w:t>
      </w:r>
      <w:r w:rsidRPr="00C75ECE">
        <w:rPr>
          <w:rStyle w:val="StyleUnderline"/>
        </w:rPr>
        <w:t xml:space="preserve"> the project of political </w:t>
      </w:r>
      <w:r w:rsidRPr="00D5546C">
        <w:rPr>
          <w:rStyle w:val="StyleUnderline"/>
        </w:rPr>
        <w:t>liberalism</w:t>
      </w:r>
      <w:r w:rsidRPr="00C75ECE">
        <w:rPr>
          <w:rStyle w:val="StyleUnderline"/>
        </w:rPr>
        <w:t xml:space="preserve">, rather than endorsing a different model </w:t>
      </w:r>
      <w:r w:rsidRPr="001C192F">
        <w:rPr>
          <w:sz w:val="16"/>
        </w:rPr>
        <w:t xml:space="preserve">that more neatly ﬁts with our intuitions concerning what is due to the disabled? </w:t>
      </w:r>
      <w:r w:rsidRPr="00D5546C">
        <w:rPr>
          <w:rStyle w:val="StyleUnderline"/>
          <w:highlight w:val="green"/>
        </w:rPr>
        <w:t>First</w:t>
      </w:r>
      <w:r w:rsidRPr="00D5546C">
        <w:rPr>
          <w:sz w:val="16"/>
          <w:highlight w:val="green"/>
        </w:rPr>
        <w:t xml:space="preserve">, </w:t>
      </w:r>
      <w:r w:rsidRPr="00D5546C">
        <w:rPr>
          <w:rStyle w:val="StyleUnderline"/>
          <w:highlight w:val="green"/>
        </w:rPr>
        <w:t>the general project</w:t>
      </w:r>
      <w:r w:rsidRPr="001C192F">
        <w:rPr>
          <w:sz w:val="16"/>
        </w:rPr>
        <w:t xml:space="preserve"> of political liberalism </w:t>
      </w:r>
      <w:r w:rsidRPr="00D5546C">
        <w:rPr>
          <w:rStyle w:val="Emphasis"/>
          <w:highlight w:val="green"/>
        </w:rPr>
        <w:t>is compelling</w:t>
      </w:r>
      <w:r w:rsidRPr="001C192F">
        <w:rPr>
          <w:sz w:val="16"/>
        </w:rPr>
        <w:t xml:space="preserve">. Rawls’s </w:t>
      </w:r>
      <w:r w:rsidRPr="009F632A">
        <w:rPr>
          <w:rStyle w:val="StyleUnderline"/>
        </w:rPr>
        <w:t xml:space="preserve">political liberalism aims </w:t>
      </w:r>
      <w:r w:rsidRPr="00D5546C">
        <w:rPr>
          <w:rStyle w:val="StyleUnderline"/>
          <w:highlight w:val="green"/>
        </w:rPr>
        <w:t>to identify a common ground</w:t>
      </w:r>
      <w:r w:rsidRPr="009F632A">
        <w:rPr>
          <w:rStyle w:val="StyleUnderline"/>
        </w:rPr>
        <w:t xml:space="preserve"> of political ideas that can work as the basis on which the most important political decisions should be made</w:t>
      </w:r>
      <w:r w:rsidRPr="001C192F">
        <w:rPr>
          <w:sz w:val="16"/>
        </w:rPr>
        <w:t xml:space="preserve">. This project is of the greatest importance because, if successful, it creates legitimacy by building institutions on the basis of concepts that are acceptable to each reasonable individual. Moreover, it promotes stability in societies that are characterized by deep pluralism. </w:t>
      </w:r>
      <w:r w:rsidRPr="00D5546C">
        <w:rPr>
          <w:rStyle w:val="StyleUnderline"/>
          <w:highlight w:val="green"/>
        </w:rPr>
        <w:t>Second</w:t>
      </w:r>
      <w:r w:rsidRPr="001C192F">
        <w:rPr>
          <w:sz w:val="16"/>
        </w:rPr>
        <w:t xml:space="preserve">, </w:t>
      </w:r>
      <w:r w:rsidRPr="009F632A">
        <w:rPr>
          <w:rStyle w:val="StyleUnderline"/>
        </w:rPr>
        <w:t xml:space="preserve">despite Rawls’s failure to take the interests of the disabled into consideration, political </w:t>
      </w:r>
      <w:r w:rsidRPr="00D5546C">
        <w:rPr>
          <w:rStyle w:val="StyleUnderline"/>
          <w:highlight w:val="green"/>
        </w:rPr>
        <w:t xml:space="preserve">liberalism is </w:t>
      </w:r>
      <w:r w:rsidRPr="00D5546C">
        <w:rPr>
          <w:rStyle w:val="Emphasis"/>
          <w:highlight w:val="green"/>
        </w:rPr>
        <w:t>well suited to support the justice claims of individuals with disabilities</w:t>
      </w:r>
      <w:r w:rsidRPr="001C192F">
        <w:rPr>
          <w:sz w:val="16"/>
        </w:rPr>
        <w:t xml:space="preserve">. This is because the idea that the disabled are citizens who deserve our respect is part of the common culture of our societies. In other words, </w:t>
      </w:r>
      <w:r w:rsidRPr="00D5546C">
        <w:rPr>
          <w:rStyle w:val="StyleUnderline"/>
          <w:highlight w:val="green"/>
        </w:rPr>
        <w:t xml:space="preserve">there is an </w:t>
      </w:r>
      <w:r w:rsidRPr="00D5546C">
        <w:rPr>
          <w:rStyle w:val="Emphasis"/>
          <w:highlight w:val="green"/>
        </w:rPr>
        <w:t>overlapping consensus</w:t>
      </w:r>
      <w:r w:rsidRPr="009F632A">
        <w:rPr>
          <w:rStyle w:val="StyleUnderline"/>
        </w:rPr>
        <w:t xml:space="preserve"> on the idea </w:t>
      </w:r>
      <w:r w:rsidRPr="00D5546C">
        <w:rPr>
          <w:rStyle w:val="StyleUnderline"/>
          <w:highlight w:val="green"/>
        </w:rPr>
        <w:t>that rights, opportunities and distributive shares must be granted</w:t>
      </w:r>
      <w:r w:rsidRPr="001C192F">
        <w:rPr>
          <w:sz w:val="16"/>
        </w:rPr>
        <w:t xml:space="preserve"> to individuals who are not fully cooperating members of society, including those who fall below full moral powers. </w:t>
      </w:r>
      <w:r w:rsidRPr="009F632A">
        <w:rPr>
          <w:rStyle w:val="StyleUnderline"/>
        </w:rPr>
        <w:t>It is widely believed that those with physical disabilities should have the same rights as their fellow citizens</w:t>
      </w:r>
      <w:r w:rsidRPr="001C192F">
        <w:rPr>
          <w:sz w:val="16"/>
        </w:rPr>
        <w:t xml:space="preserve">, live in a social environment that does not excessively limit their opportunities and receive beneﬁts that help meet their special needs.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w:t>
      </w:r>
      <w:r w:rsidRPr="00D5546C">
        <w:rPr>
          <w:rStyle w:val="StyleUnderline"/>
        </w:rPr>
        <w:t>the United Nations Convention</w:t>
      </w:r>
      <w:r w:rsidRPr="001C192F">
        <w:rPr>
          <w:rStyle w:val="StyleUnderline"/>
        </w:rPr>
        <w:t xml:space="preserve"> on the Rights of Persons with Disabilities</w:t>
      </w:r>
      <w:r w:rsidRPr="001C192F">
        <w:rPr>
          <w:sz w:val="16"/>
        </w:rPr>
        <w:t xml:space="preserve"> (UN General Assembly, A/61/611) </w:t>
      </w:r>
      <w:r w:rsidRPr="00D5546C">
        <w:rPr>
          <w:rStyle w:val="StyleUnderline"/>
        </w:rPr>
        <w:t>can be taken as the epitome of this widespread attitude</w:t>
      </w:r>
      <w:r w:rsidRPr="001C192F">
        <w:rPr>
          <w:sz w:val="16"/>
        </w:rPr>
        <w:t xml:space="preserve">. Adopted in 2006, </w:t>
      </w:r>
      <w:r w:rsidRPr="001C192F">
        <w:rPr>
          <w:rStyle w:val="StyleUnderline"/>
        </w:rPr>
        <w:t>the Convention requires that all individuals with disabilities should share in the enjoyment of equal fundamental rights.</w:t>
      </w:r>
    </w:p>
    <w:p w14:paraId="59DB1F86" w14:textId="77777777" w:rsidR="001A4248" w:rsidRPr="004B5919" w:rsidRDefault="001A4248" w:rsidP="001A4248"/>
    <w:p w14:paraId="465536EA" w14:textId="77777777" w:rsidR="001A4248" w:rsidRDefault="001A4248" w:rsidP="001A4248">
      <w:pPr>
        <w:pStyle w:val="Heading2"/>
      </w:pPr>
      <w:r>
        <w:t>CP</w:t>
      </w:r>
    </w:p>
    <w:p w14:paraId="4E2883AD" w14:textId="77777777" w:rsidR="001A4248" w:rsidRDefault="001A4248" w:rsidP="001A4248">
      <w:pPr>
        <w:pStyle w:val="Heading3"/>
      </w:pPr>
      <w:r>
        <w:t>1AR---PDB</w:t>
      </w:r>
    </w:p>
    <w:p w14:paraId="0350676E" w14:textId="77777777" w:rsidR="001A4248" w:rsidRDefault="001A4248" w:rsidP="001A4248">
      <w:pPr>
        <w:pStyle w:val="Heading4"/>
        <w:rPr>
          <w:rStyle w:val="Style13ptBold"/>
          <w:rFonts w:asciiTheme="minorHAnsi" w:hAnsiTheme="minorHAnsi" w:cstheme="minorHAnsi"/>
          <w:b/>
          <w:bCs w:val="0"/>
        </w:rPr>
      </w:pPr>
      <w:r>
        <w:rPr>
          <w:rStyle w:val="Style13ptBold"/>
          <w:rFonts w:asciiTheme="minorHAnsi" w:hAnsiTheme="minorHAnsi" w:cstheme="minorHAnsi"/>
          <w:b/>
          <w:bCs w:val="0"/>
        </w:rPr>
        <w:t xml:space="preserve">The idea that </w:t>
      </w:r>
      <w:r w:rsidRPr="00DA2868">
        <w:rPr>
          <w:rStyle w:val="Style13ptBold"/>
          <w:rFonts w:asciiTheme="minorHAnsi" w:hAnsiTheme="minorHAnsi" w:cstheme="minorHAnsi"/>
          <w:b/>
          <w:bCs w:val="0"/>
          <w:u w:val="single"/>
        </w:rPr>
        <w:t>util</w:t>
      </w:r>
      <w:r>
        <w:rPr>
          <w:rStyle w:val="Style13ptBold"/>
          <w:rFonts w:asciiTheme="minorHAnsi" w:hAnsiTheme="minorHAnsi" w:cstheme="minorHAnsi"/>
          <w:b/>
          <w:bCs w:val="0"/>
        </w:rPr>
        <w:t xml:space="preserve"> and </w:t>
      </w:r>
      <w:r w:rsidRPr="00DA2868">
        <w:rPr>
          <w:rStyle w:val="Style13ptBold"/>
          <w:rFonts w:asciiTheme="minorHAnsi" w:hAnsiTheme="minorHAnsi" w:cstheme="minorHAnsi"/>
          <w:b/>
          <w:bCs w:val="0"/>
          <w:u w:val="single"/>
        </w:rPr>
        <w:t>deontology</w:t>
      </w:r>
      <w:r>
        <w:rPr>
          <w:rStyle w:val="Style13ptBold"/>
          <w:rFonts w:asciiTheme="minorHAnsi" w:hAnsiTheme="minorHAnsi" w:cstheme="minorHAnsi"/>
          <w:b/>
          <w:bCs w:val="0"/>
        </w:rPr>
        <w:t xml:space="preserve"> are </w:t>
      </w:r>
      <w:r w:rsidRPr="00DA2868">
        <w:rPr>
          <w:rStyle w:val="Style13ptBold"/>
          <w:rFonts w:asciiTheme="minorHAnsi" w:hAnsiTheme="minorHAnsi" w:cstheme="minorHAnsi"/>
          <w:b/>
          <w:bCs w:val="0"/>
          <w:u w:val="single"/>
        </w:rPr>
        <w:t>mutually exclusive</w:t>
      </w:r>
      <w:r>
        <w:rPr>
          <w:rStyle w:val="Style13ptBold"/>
          <w:rFonts w:asciiTheme="minorHAnsi" w:hAnsiTheme="minorHAnsi" w:cstheme="minorHAnsi"/>
          <w:b/>
          <w:bCs w:val="0"/>
        </w:rPr>
        <w:t xml:space="preserve"> is </w:t>
      </w:r>
      <w:r w:rsidRPr="00DA2868">
        <w:rPr>
          <w:rStyle w:val="Style13ptBold"/>
          <w:rFonts w:asciiTheme="minorHAnsi" w:hAnsiTheme="minorHAnsi" w:cstheme="minorHAnsi"/>
          <w:b/>
          <w:bCs w:val="0"/>
          <w:u w:val="single"/>
        </w:rPr>
        <w:t>wrong</w:t>
      </w:r>
    </w:p>
    <w:p w14:paraId="3E9CA9CC" w14:textId="77777777" w:rsidR="001A4248" w:rsidRDefault="001A4248" w:rsidP="001A4248">
      <w:r w:rsidRPr="000C0FE1">
        <w:rPr>
          <w:rStyle w:val="Style13ptBold"/>
        </w:rPr>
        <w:t>Patil et al. 20</w:t>
      </w:r>
      <w:r>
        <w:t xml:space="preserve"> (Indrajeet Patil, Wouter Kool, Stephanie Campbell, Mina Cikara, Fiery Cushman, Department of Psychology @ Harvard University, Micaela Maria Zucchelli, Department of Psychology @ University of Bologna, Federico Fornasier, Marta Calò, Department of Life Sciences @ University of Trieste, Giorgia Silani, Department of Applied Psychology: Health, Development, Enhancement and Intervention @ University of Vienna, “Reasoning Supports Utilitarian Resolutions to Moral Dilemmas Across Diverse Measures,” 01/09/20, J Pers Soc Psychol. 2020, doi:10.1037/pspp0000281, TM)</w:t>
      </w:r>
    </w:p>
    <w:p w14:paraId="1B2AD1DA" w14:textId="77777777" w:rsidR="001A4248" w:rsidRPr="00F62450" w:rsidRDefault="001A4248" w:rsidP="001A4248">
      <w:pPr>
        <w:rPr>
          <w:rStyle w:val="Style13ptBold"/>
          <w:rFonts w:asciiTheme="minorHAnsi" w:hAnsiTheme="minorHAnsi" w:cstheme="minorHAnsi"/>
          <w:b w:val="0"/>
          <w:bCs w:val="0"/>
          <w:sz w:val="16"/>
        </w:rPr>
      </w:pPr>
      <w:r w:rsidRPr="00F62450">
        <w:rPr>
          <w:rStyle w:val="Style13ptBold"/>
          <w:rFonts w:asciiTheme="minorHAnsi" w:hAnsiTheme="minorHAnsi" w:cstheme="minorHAnsi"/>
          <w:b w:val="0"/>
          <w:bCs w:val="0"/>
          <w:sz w:val="16"/>
        </w:rPr>
        <w:t>Conceptual Challenges</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Given the volume of empirical work inspired by the dual process model, it is remarkable that we remain so uncertain about</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 xml:space="preserve">several of its core claims. This owes, in part, to </w:t>
      </w:r>
      <w:r w:rsidRPr="00F62450">
        <w:rPr>
          <w:rStyle w:val="StyleUnderline"/>
        </w:rPr>
        <w:t xml:space="preserve">underlying </w:t>
      </w:r>
      <w:r w:rsidRPr="00F62450">
        <w:rPr>
          <w:rStyle w:val="StyleUnderline"/>
          <w:highlight w:val="green"/>
        </w:rPr>
        <w:t>conceptual issues prevalent in</w:t>
      </w:r>
      <w:r w:rsidRPr="00F62450">
        <w:rPr>
          <w:rStyle w:val="Style13ptBold"/>
          <w:rFonts w:asciiTheme="minorHAnsi" w:hAnsiTheme="minorHAnsi" w:cstheme="minorHAnsi"/>
          <w:b w:val="0"/>
          <w:bCs w:val="0"/>
          <w:sz w:val="16"/>
        </w:rPr>
        <w:t xml:space="preserve"> the </w:t>
      </w:r>
      <w:r w:rsidRPr="00F62450">
        <w:rPr>
          <w:rStyle w:val="StyleUnderline"/>
          <w:highlight w:val="green"/>
        </w:rPr>
        <w:t>existing lit</w:t>
      </w:r>
      <w:r w:rsidRPr="00F62450">
        <w:rPr>
          <w:rStyle w:val="StyleUnderline"/>
        </w:rPr>
        <w:t>erature</w:t>
      </w:r>
      <w:r w:rsidRPr="00F62450">
        <w:rPr>
          <w:rStyle w:val="Style13ptBold"/>
          <w:rFonts w:asciiTheme="minorHAnsi" w:hAnsiTheme="minorHAnsi" w:cstheme="minorHAnsi"/>
          <w:b w:val="0"/>
          <w:bCs w:val="0"/>
          <w:sz w:val="16"/>
        </w:rPr>
        <w:t>. As noted above,</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 xml:space="preserve">a </w:t>
      </w:r>
      <w:r w:rsidRPr="00EB45AA">
        <w:rPr>
          <w:rStyle w:val="StyleUnderline"/>
        </w:rPr>
        <w:t>major conceptual issue</w:t>
      </w:r>
      <w:r w:rsidRPr="00F62450">
        <w:rPr>
          <w:rStyle w:val="Style13ptBold"/>
          <w:rFonts w:asciiTheme="minorHAnsi" w:hAnsiTheme="minorHAnsi" w:cstheme="minorHAnsi"/>
          <w:b w:val="0"/>
          <w:bCs w:val="0"/>
          <w:sz w:val="16"/>
        </w:rPr>
        <w:t xml:space="preserve"> in this body of work </w:t>
      </w:r>
      <w:r w:rsidRPr="003679CF">
        <w:rPr>
          <w:rStyle w:val="StyleUnderline"/>
          <w:highlight w:val="green"/>
        </w:rPr>
        <w:t xml:space="preserve">is that </w:t>
      </w:r>
      <w:r w:rsidRPr="003679CF">
        <w:rPr>
          <w:rStyle w:val="Emphasis"/>
          <w:highlight w:val="green"/>
        </w:rPr>
        <w:t>ut</w:t>
      </w:r>
      <w:r w:rsidRPr="00F62450">
        <w:rPr>
          <w:rStyle w:val="Emphasis"/>
          <w:highlight w:val="green"/>
        </w:rPr>
        <w:t>il</w:t>
      </w:r>
      <w:r w:rsidRPr="00EB45AA">
        <w:rPr>
          <w:rStyle w:val="Emphasis"/>
        </w:rPr>
        <w:t>itarian</w:t>
      </w:r>
      <w:r w:rsidRPr="00EB45AA">
        <w:rPr>
          <w:rStyle w:val="StyleUnderline"/>
        </w:rPr>
        <w:t xml:space="preserve"> </w:t>
      </w:r>
      <w:r w:rsidRPr="00F62450">
        <w:rPr>
          <w:rStyle w:val="StyleUnderline"/>
          <w:highlight w:val="green"/>
        </w:rPr>
        <w:t xml:space="preserve">and </w:t>
      </w:r>
      <w:r w:rsidRPr="00F62450">
        <w:rPr>
          <w:rStyle w:val="Emphasis"/>
          <w:highlight w:val="green"/>
        </w:rPr>
        <w:t>deontologi</w:t>
      </w:r>
      <w:r w:rsidRPr="00EB45AA">
        <w:rPr>
          <w:rStyle w:val="Emphasis"/>
        </w:rPr>
        <w:t>cal inclinations</w:t>
      </w:r>
      <w:r w:rsidRPr="00EB45AA">
        <w:rPr>
          <w:rStyle w:val="StyleUnderline"/>
        </w:rPr>
        <w:t xml:space="preserve"> </w:t>
      </w:r>
      <w:r w:rsidRPr="003679CF">
        <w:rPr>
          <w:rStyle w:val="StyleUnderline"/>
          <w:highlight w:val="green"/>
        </w:rPr>
        <w:t>are treated as mutually exclusive</w:t>
      </w:r>
      <w:r w:rsidRPr="00EB45AA">
        <w:rPr>
          <w:rStyle w:val="StyleUnderline"/>
        </w:rPr>
        <w:t xml:space="preserve"> psychological </w:t>
      </w:r>
      <w:r w:rsidRPr="003679CF">
        <w:rPr>
          <w:rStyle w:val="StyleUnderline"/>
          <w:highlight w:val="green"/>
        </w:rPr>
        <w:t>processes</w:t>
      </w:r>
      <w:r w:rsidRPr="00F62450">
        <w:rPr>
          <w:rStyle w:val="Style13ptBold"/>
          <w:rFonts w:asciiTheme="minorHAnsi" w:hAnsiTheme="minorHAnsi" w:cstheme="minorHAnsi"/>
          <w:b w:val="0"/>
          <w:bCs w:val="0"/>
          <w:sz w:val="16"/>
        </w:rPr>
        <w:t xml:space="preserve">, when in fact the </w:t>
      </w:r>
      <w:r w:rsidRPr="00EB45AA">
        <w:rPr>
          <w:rStyle w:val="StyleUnderline"/>
        </w:rPr>
        <w:t xml:space="preserve">theory states that </w:t>
      </w:r>
      <w:r w:rsidRPr="003679CF">
        <w:rPr>
          <w:rStyle w:val="StyleUnderline"/>
          <w:highlight w:val="green"/>
        </w:rPr>
        <w:t xml:space="preserve">they are </w:t>
      </w:r>
      <w:r w:rsidRPr="003679CF">
        <w:rPr>
          <w:rStyle w:val="Emphasis"/>
          <w:highlight w:val="green"/>
        </w:rPr>
        <w:t>independent</w:t>
      </w:r>
      <w:r w:rsidRPr="003679CF">
        <w:rPr>
          <w:rStyle w:val="StyleUnderline"/>
          <w:highlight w:val="green"/>
        </w:rPr>
        <w:t xml:space="preserve"> and </w:t>
      </w:r>
      <w:r w:rsidRPr="003679CF">
        <w:rPr>
          <w:rStyle w:val="Emphasis"/>
          <w:highlight w:val="green"/>
        </w:rPr>
        <w:t>nonexclusive</w:t>
      </w:r>
      <w:r w:rsidRPr="003679CF">
        <w:rPr>
          <w:rStyle w:val="Emphasis"/>
        </w:rPr>
        <w:t xml:space="preserve"> processes</w:t>
      </w:r>
      <w:r w:rsidRPr="00F62450">
        <w:rPr>
          <w:rStyle w:val="Style13ptBold"/>
          <w:rFonts w:asciiTheme="minorHAnsi" w:hAnsiTheme="minorHAnsi" w:cstheme="minorHAnsi"/>
          <w:b w:val="0"/>
          <w:bCs w:val="0"/>
          <w:sz w:val="16"/>
        </w:rPr>
        <w:t xml:space="preserve"> (Conway &amp; Gawronski,</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2013). (The “conflict” between them in many studies is forced</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only by the structure of the sacrificial dilemmas used as stimuli.)</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This point has two important consequences. First, even if reasoning supports utilitarian moral judgment, individual differences in</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the propensity for utilitarian moral judgment in sacrificial dilemmas could be determined mostly by individual differences in the</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competing motive to avoid direct, personal harm. Second, and of</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 xml:space="preserve">greatest relevance to the present work, </w:t>
      </w:r>
      <w:r w:rsidRPr="00F62450">
        <w:rPr>
          <w:rStyle w:val="StyleUnderline"/>
        </w:rPr>
        <w:t>evidence</w:t>
      </w:r>
      <w:r w:rsidRPr="00EB45AA">
        <w:rPr>
          <w:rStyle w:val="StyleUnderline"/>
        </w:rPr>
        <w:t xml:space="preserve"> that individual</w:t>
      </w:r>
      <w:r>
        <w:rPr>
          <w:rStyle w:val="StyleUnderline"/>
        </w:rPr>
        <w:t xml:space="preserve"> </w:t>
      </w:r>
      <w:r w:rsidRPr="00EB45AA">
        <w:rPr>
          <w:rStyle w:val="StyleUnderline"/>
        </w:rPr>
        <w:t>differences in reasoning correlate with individual differences in</w:t>
      </w:r>
      <w:r>
        <w:rPr>
          <w:rStyle w:val="StyleUnderline"/>
        </w:rPr>
        <w:t xml:space="preserve"> </w:t>
      </w:r>
      <w:r w:rsidRPr="00EB45AA">
        <w:rPr>
          <w:rStyle w:val="StyleUnderline"/>
        </w:rPr>
        <w:t>utilitarian moral judgments in sacrificial dilemmas need not imply</w:t>
      </w:r>
      <w:r>
        <w:rPr>
          <w:rStyle w:val="StyleUnderline"/>
        </w:rPr>
        <w:t xml:space="preserve"> </w:t>
      </w:r>
      <w:r w:rsidRPr="00EB45AA">
        <w:rPr>
          <w:rStyle w:val="StyleUnderline"/>
        </w:rPr>
        <w:t>that reasoning contributes principally to cost-benefit analysis</w:t>
      </w:r>
      <w:r w:rsidRPr="00F62450">
        <w:rPr>
          <w:rStyle w:val="Style13ptBold"/>
          <w:rFonts w:asciiTheme="minorHAnsi" w:hAnsiTheme="minorHAnsi" w:cstheme="minorHAnsi"/>
          <w:b w:val="0"/>
          <w:bCs w:val="0"/>
          <w:sz w:val="16"/>
        </w:rPr>
        <w:t>. An</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 xml:space="preserve">alternative possibility is that </w:t>
      </w:r>
      <w:r w:rsidRPr="00EB45AA">
        <w:rPr>
          <w:rStyle w:val="StyleUnderline"/>
        </w:rPr>
        <w:t>reasoning inhibits</w:t>
      </w:r>
      <w:r w:rsidRPr="00F62450">
        <w:rPr>
          <w:rStyle w:val="Style13ptBold"/>
          <w:rFonts w:asciiTheme="minorHAnsi" w:hAnsiTheme="minorHAnsi" w:cstheme="minorHAnsi"/>
          <w:b w:val="0"/>
          <w:bCs w:val="0"/>
          <w:sz w:val="16"/>
        </w:rPr>
        <w:t xml:space="preserve"> the </w:t>
      </w:r>
      <w:r w:rsidRPr="00EB45AA">
        <w:rPr>
          <w:rStyle w:val="StyleUnderline"/>
        </w:rPr>
        <w:t>strong emotional response to</w:t>
      </w:r>
      <w:r w:rsidRPr="00F62450">
        <w:rPr>
          <w:rStyle w:val="Style13ptBold"/>
          <w:rFonts w:asciiTheme="minorHAnsi" w:hAnsiTheme="minorHAnsi" w:cstheme="minorHAnsi"/>
          <w:b w:val="0"/>
          <w:bCs w:val="0"/>
          <w:sz w:val="16"/>
        </w:rPr>
        <w:t xml:space="preserve"> the </w:t>
      </w:r>
      <w:r w:rsidRPr="00EB45AA">
        <w:rPr>
          <w:rStyle w:val="StyleUnderline"/>
        </w:rPr>
        <w:t>harm involved in the moral dilemma</w:t>
      </w:r>
      <w:r w:rsidRPr="00F62450">
        <w:rPr>
          <w:rStyle w:val="Style13ptBold"/>
          <w:rFonts w:asciiTheme="minorHAnsi" w:hAnsiTheme="minorHAnsi" w:cstheme="minorHAnsi"/>
          <w:b w:val="0"/>
          <w:bCs w:val="0"/>
          <w:sz w:val="16"/>
        </w:rPr>
        <w:t xml:space="preserve"> (Cushman, Gray, Gaffey, &amp; Mendes, 2012). In other words, the </w:t>
      </w:r>
      <w:r w:rsidRPr="00EB45AA">
        <w:rPr>
          <w:rStyle w:val="StyleUnderline"/>
        </w:rPr>
        <w:t>existing</w:t>
      </w:r>
      <w:r>
        <w:rPr>
          <w:rStyle w:val="StyleUnderline"/>
        </w:rPr>
        <w:t xml:space="preserve"> </w:t>
      </w:r>
      <w:r w:rsidRPr="00EB45AA">
        <w:rPr>
          <w:rStyle w:val="StyleUnderline"/>
        </w:rPr>
        <w:t>work argues that better reasoners are more likely to endorse</w:t>
      </w:r>
      <w:r>
        <w:rPr>
          <w:rStyle w:val="StyleUnderline"/>
        </w:rPr>
        <w:t xml:space="preserve"> </w:t>
      </w:r>
      <w:r w:rsidRPr="00EB45AA">
        <w:rPr>
          <w:rStyle w:val="StyleUnderline"/>
        </w:rPr>
        <w:t>utilitarian responses on moral dilemmas because they are more</w:t>
      </w:r>
      <w:r>
        <w:rPr>
          <w:rStyle w:val="StyleUnderline"/>
        </w:rPr>
        <w:t xml:space="preserve"> </w:t>
      </w:r>
      <w:r w:rsidRPr="00EB45AA">
        <w:rPr>
          <w:rStyle w:val="StyleUnderline"/>
        </w:rPr>
        <w:t>adept at weighing</w:t>
      </w:r>
      <w:r w:rsidRPr="00F62450">
        <w:rPr>
          <w:rStyle w:val="Style13ptBold"/>
          <w:rFonts w:asciiTheme="minorHAnsi" w:hAnsiTheme="minorHAnsi" w:cstheme="minorHAnsi"/>
          <w:b w:val="0"/>
          <w:bCs w:val="0"/>
          <w:sz w:val="16"/>
        </w:rPr>
        <w:t xml:space="preserve"> the </w:t>
      </w:r>
      <w:r w:rsidRPr="00EB45AA">
        <w:rPr>
          <w:rStyle w:val="StyleUnderline"/>
        </w:rPr>
        <w:t>cost of harming someone with</w:t>
      </w:r>
      <w:r w:rsidRPr="00F62450">
        <w:rPr>
          <w:rStyle w:val="Style13ptBold"/>
          <w:rFonts w:asciiTheme="minorHAnsi" w:hAnsiTheme="minorHAnsi" w:cstheme="minorHAnsi"/>
          <w:b w:val="0"/>
          <w:bCs w:val="0"/>
          <w:sz w:val="16"/>
        </w:rPr>
        <w:t xml:space="preserve"> the </w:t>
      </w:r>
      <w:r w:rsidRPr="00EB45AA">
        <w:rPr>
          <w:rStyle w:val="StyleUnderline"/>
        </w:rPr>
        <w:t>benefit of</w:t>
      </w:r>
      <w:r>
        <w:rPr>
          <w:rStyle w:val="StyleUnderline"/>
        </w:rPr>
        <w:t xml:space="preserve"> </w:t>
      </w:r>
      <w:r w:rsidRPr="00EB45AA">
        <w:rPr>
          <w:rStyle w:val="StyleUnderline"/>
        </w:rPr>
        <w:t>saving more lives</w:t>
      </w:r>
      <w:r w:rsidRPr="00F62450">
        <w:rPr>
          <w:rStyle w:val="Style13ptBold"/>
          <w:rFonts w:asciiTheme="minorHAnsi" w:hAnsiTheme="minorHAnsi" w:cstheme="minorHAnsi"/>
          <w:b w:val="0"/>
          <w:bCs w:val="0"/>
          <w:sz w:val="16"/>
        </w:rPr>
        <w:t>. But the manner in which these studies have</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indexed utilitarianism makes these findings compatible with the</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 xml:space="preserve">alternative explanation that </w:t>
      </w:r>
      <w:r w:rsidRPr="00EB45AA">
        <w:rPr>
          <w:rStyle w:val="StyleUnderline"/>
        </w:rPr>
        <w:t>better reasoners are</w:t>
      </w:r>
      <w:r w:rsidRPr="00F62450">
        <w:rPr>
          <w:rStyle w:val="Style13ptBold"/>
          <w:rFonts w:asciiTheme="minorHAnsi" w:hAnsiTheme="minorHAnsi" w:cstheme="minorHAnsi"/>
          <w:b w:val="0"/>
          <w:bCs w:val="0"/>
          <w:sz w:val="16"/>
        </w:rPr>
        <w:t xml:space="preserve"> simply </w:t>
      </w:r>
      <w:r w:rsidRPr="00EB45AA">
        <w:rPr>
          <w:rStyle w:val="StyleUnderline"/>
        </w:rPr>
        <w:t>less emotionally responsive to</w:t>
      </w:r>
      <w:r w:rsidRPr="00F62450">
        <w:rPr>
          <w:rStyle w:val="Style13ptBold"/>
          <w:rFonts w:asciiTheme="minorHAnsi" w:hAnsiTheme="minorHAnsi" w:cstheme="minorHAnsi"/>
          <w:b w:val="0"/>
          <w:bCs w:val="0"/>
          <w:sz w:val="16"/>
        </w:rPr>
        <w:t xml:space="preserve"> the </w:t>
      </w:r>
      <w:r w:rsidRPr="00EB45AA">
        <w:rPr>
          <w:rStyle w:val="StyleUnderline"/>
        </w:rPr>
        <w:t>aversive nature of harm</w:t>
      </w:r>
      <w:r w:rsidRPr="00F62450">
        <w:rPr>
          <w:rStyle w:val="Style13ptBold"/>
          <w:rFonts w:asciiTheme="minorHAnsi" w:hAnsiTheme="minorHAnsi" w:cstheme="minorHAnsi"/>
          <w:b w:val="0"/>
          <w:bCs w:val="0"/>
          <w:sz w:val="16"/>
        </w:rPr>
        <w:t xml:space="preserve"> (Bartels &amp;</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Pizarro, 2011). We resolve this conceptual ambiguity by relying on</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the process dissociation (PD) method (Conway &amp; Gawronski,</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2013; Conway et al., 2018; Gawronski et al., 2017; Reynolds &amp;</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Conway, 2018) in several of the studies reported here. This method</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(discussed in depth later) allows researchers to independently</w:t>
      </w:r>
      <w:r>
        <w:rPr>
          <w:rStyle w:val="Style13ptBold"/>
          <w:rFonts w:asciiTheme="minorHAnsi" w:hAnsiTheme="minorHAnsi" w:cstheme="minorHAnsi"/>
          <w:b w:val="0"/>
          <w:bCs w:val="0"/>
          <w:sz w:val="16"/>
        </w:rPr>
        <w:t xml:space="preserve"> </w:t>
      </w:r>
      <w:r w:rsidRPr="00F62450">
        <w:rPr>
          <w:rStyle w:val="Style13ptBold"/>
          <w:rFonts w:asciiTheme="minorHAnsi" w:hAnsiTheme="minorHAnsi" w:cstheme="minorHAnsi"/>
          <w:b w:val="0"/>
          <w:bCs w:val="0"/>
          <w:sz w:val="16"/>
        </w:rPr>
        <w:t>assess individual differences in cost-benefit analysis versus aversion to harm.</w:t>
      </w:r>
    </w:p>
    <w:p w14:paraId="54C16166" w14:textId="77777777" w:rsidR="001A4248" w:rsidRDefault="001A4248" w:rsidP="001A4248">
      <w:pPr>
        <w:pStyle w:val="Heading3"/>
      </w:pPr>
      <w:r>
        <w:t xml:space="preserve">1AR---Deontology Bad </w:t>
      </w:r>
    </w:p>
    <w:p w14:paraId="19C271A8" w14:textId="77777777" w:rsidR="001A4248" w:rsidRDefault="001A4248" w:rsidP="001A4248">
      <w:pPr>
        <w:pStyle w:val="Heading4"/>
        <w:rPr>
          <w:rStyle w:val="Style13ptBold"/>
          <w:rFonts w:asciiTheme="minorHAnsi" w:hAnsiTheme="minorHAnsi" w:cstheme="minorHAnsi"/>
          <w:b/>
          <w:bCs w:val="0"/>
        </w:rPr>
      </w:pPr>
      <w:r>
        <w:rPr>
          <w:rStyle w:val="Style13ptBold"/>
          <w:rFonts w:asciiTheme="minorHAnsi" w:hAnsiTheme="minorHAnsi" w:cstheme="minorHAnsi"/>
          <w:b/>
          <w:bCs w:val="0"/>
        </w:rPr>
        <w:t>Util is good – it represents reasoning, NOT irrational emotional responses</w:t>
      </w:r>
    </w:p>
    <w:p w14:paraId="538EE736" w14:textId="77777777" w:rsidR="001A4248" w:rsidRDefault="001A4248" w:rsidP="001A4248">
      <w:pPr>
        <w:rPr>
          <w:sz w:val="16"/>
          <w:szCs w:val="14"/>
        </w:rPr>
      </w:pPr>
      <w:r w:rsidRPr="005E3DD0">
        <w:rPr>
          <w:sz w:val="16"/>
          <w:szCs w:val="14"/>
        </w:rPr>
        <w:t>--</w:t>
      </w:r>
      <w:r>
        <w:rPr>
          <w:sz w:val="16"/>
          <w:szCs w:val="14"/>
        </w:rPr>
        <w:t>impact turns empathy as a basis for decisionmaking since its irrational and contradictory</w:t>
      </w:r>
    </w:p>
    <w:p w14:paraId="2C48F0C3" w14:textId="77777777" w:rsidR="001A4248" w:rsidRPr="005E3DD0" w:rsidRDefault="001A4248" w:rsidP="001A4248">
      <w:pPr>
        <w:rPr>
          <w:sz w:val="16"/>
          <w:szCs w:val="14"/>
        </w:rPr>
      </w:pPr>
      <w:r>
        <w:rPr>
          <w:sz w:val="16"/>
          <w:szCs w:val="14"/>
        </w:rPr>
        <w:t>--util solves empathy args bc their studies are wrong – increased util =/= decreased deontology and vice versa</w:t>
      </w:r>
    </w:p>
    <w:p w14:paraId="05494322" w14:textId="77777777" w:rsidR="001A4248" w:rsidRPr="00EB45AA" w:rsidRDefault="001A4248" w:rsidP="001A4248">
      <w:r w:rsidRPr="000C0FE1">
        <w:rPr>
          <w:rStyle w:val="Style13ptBold"/>
        </w:rPr>
        <w:t>Patil et al. 20</w:t>
      </w:r>
      <w:r>
        <w:t xml:space="preserve"> (Indrajeet Patil, Wouter Kool, Stephanie Campbell, Mina Cikara, Fiery Cushman, Department of Psychology @ Harvard University, Micaela Maria Zucchelli, Department of Psychology @ University of Bologna, Federico Fornasier, Marta Calò, Department of Life Sciences @ University of Trieste, Giorgia Silani, Department of Applied Psychology: Health, Development, Enhancement and Intervention @ University of Vienna, “Reasoning Supports Utilitarian Resolutions to Moral Dilemmas Across Diverse Measures,” 01/09/20, J Pers Soc Psychol. 2020, doi:10.1037/pspp0000281, TM)</w:t>
      </w:r>
    </w:p>
    <w:p w14:paraId="66A11E1B" w14:textId="77777777" w:rsidR="001A4248" w:rsidRPr="0098348E" w:rsidRDefault="001A4248" w:rsidP="001A4248">
      <w:pPr>
        <w:rPr>
          <w:sz w:val="16"/>
          <w:szCs w:val="14"/>
        </w:rPr>
      </w:pPr>
      <w:r w:rsidRPr="0098348E">
        <w:rPr>
          <w:sz w:val="16"/>
        </w:rPr>
        <w:t>Results</w:t>
      </w:r>
      <w:r>
        <w:rPr>
          <w:sz w:val="16"/>
        </w:rPr>
        <w:t xml:space="preserve"> </w:t>
      </w:r>
      <w:r w:rsidRPr="0098348E">
        <w:rPr>
          <w:sz w:val="16"/>
        </w:rPr>
        <w:t>Collapsing across Studies 3A–3E, we observed the predicted</w:t>
      </w:r>
      <w:r>
        <w:rPr>
          <w:sz w:val="16"/>
        </w:rPr>
        <w:t xml:space="preserve"> </w:t>
      </w:r>
      <w:r w:rsidRPr="0098348E">
        <w:rPr>
          <w:rStyle w:val="StyleUnderline"/>
          <w:highlight w:val="green"/>
        </w:rPr>
        <w:t>positive correlation between</w:t>
      </w:r>
      <w:r w:rsidRPr="0098348E">
        <w:rPr>
          <w:sz w:val="16"/>
        </w:rPr>
        <w:t xml:space="preserve"> the </w:t>
      </w:r>
      <w:r w:rsidRPr="0098348E">
        <w:rPr>
          <w:rStyle w:val="StyleUnderline"/>
          <w:highlight w:val="green"/>
        </w:rPr>
        <w:t>util</w:t>
      </w:r>
      <w:r w:rsidRPr="00EB45AA">
        <w:rPr>
          <w:rStyle w:val="StyleUnderline"/>
        </w:rPr>
        <w:t xml:space="preserve">itarian parameter </w:t>
      </w:r>
      <w:r w:rsidRPr="0098348E">
        <w:rPr>
          <w:rStyle w:val="StyleUnderline"/>
          <w:highlight w:val="green"/>
        </w:rPr>
        <w:t>and</w:t>
      </w:r>
      <w:r w:rsidRPr="0098348E">
        <w:rPr>
          <w:sz w:val="16"/>
        </w:rPr>
        <w:t xml:space="preserve"> measures</w:t>
      </w:r>
      <w:r>
        <w:rPr>
          <w:sz w:val="16"/>
        </w:rPr>
        <w:t xml:space="preserve"> </w:t>
      </w:r>
      <w:r w:rsidRPr="0098348E">
        <w:rPr>
          <w:sz w:val="16"/>
        </w:rPr>
        <w:t xml:space="preserve">of </w:t>
      </w:r>
      <w:r w:rsidRPr="0098348E">
        <w:rPr>
          <w:rStyle w:val="StyleUnderline"/>
          <w:highlight w:val="green"/>
        </w:rPr>
        <w:t>reasoning</w:t>
      </w:r>
      <w:r w:rsidRPr="0098348E">
        <w:rPr>
          <w:sz w:val="16"/>
        </w:rPr>
        <w:t>. Although this association was statistically significant</w:t>
      </w:r>
      <w:r>
        <w:rPr>
          <w:sz w:val="16"/>
        </w:rPr>
        <w:t xml:space="preserve"> </w:t>
      </w:r>
      <w:r w:rsidRPr="0098348E">
        <w:rPr>
          <w:sz w:val="16"/>
        </w:rPr>
        <w:t>only for a subset of the measures, the random-effects meta-analysis</w:t>
      </w:r>
      <w:r>
        <w:rPr>
          <w:sz w:val="16"/>
        </w:rPr>
        <w:t xml:space="preserve"> </w:t>
      </w:r>
      <w:r w:rsidRPr="0098348E">
        <w:rPr>
          <w:sz w:val="16"/>
        </w:rPr>
        <w:t>showed that the summary effect differed significantly from zero</w:t>
      </w:r>
      <w:r>
        <w:rPr>
          <w:sz w:val="16"/>
        </w:rPr>
        <w:t xml:space="preserve"> </w:t>
      </w:r>
      <w:r w:rsidRPr="0098348E">
        <w:rPr>
          <w:sz w:val="16"/>
        </w:rPr>
        <w:t xml:space="preserve">(see Figure 3). By contrast, </w:t>
      </w:r>
      <w:r w:rsidRPr="00EB45AA">
        <w:rPr>
          <w:rStyle w:val="StyleUnderline"/>
        </w:rPr>
        <w:t xml:space="preserve">we </w:t>
      </w:r>
      <w:r w:rsidRPr="0098348E">
        <w:rPr>
          <w:rStyle w:val="StyleUnderline"/>
          <w:highlight w:val="green"/>
        </w:rPr>
        <w:t xml:space="preserve">found </w:t>
      </w:r>
      <w:r w:rsidRPr="0098348E">
        <w:rPr>
          <w:rStyle w:val="Emphasis"/>
          <w:highlight w:val="green"/>
        </w:rPr>
        <w:t>no support</w:t>
      </w:r>
      <w:r w:rsidRPr="0098348E">
        <w:rPr>
          <w:rStyle w:val="StyleUnderline"/>
          <w:highlight w:val="green"/>
        </w:rPr>
        <w:t xml:space="preserve"> for</w:t>
      </w:r>
      <w:r w:rsidRPr="00EB45AA">
        <w:rPr>
          <w:rStyle w:val="StyleUnderline"/>
        </w:rPr>
        <w:t xml:space="preserve"> an </w:t>
      </w:r>
      <w:r w:rsidRPr="00EB45AA">
        <w:rPr>
          <w:rStyle w:val="Emphasis"/>
        </w:rPr>
        <w:t>association</w:t>
      </w:r>
      <w:r>
        <w:rPr>
          <w:rStyle w:val="StyleUnderline"/>
        </w:rPr>
        <w:t xml:space="preserve"> </w:t>
      </w:r>
      <w:r w:rsidRPr="00EB45AA">
        <w:rPr>
          <w:rStyle w:val="StyleUnderline"/>
        </w:rPr>
        <w:t xml:space="preserve">between </w:t>
      </w:r>
      <w:r w:rsidRPr="0098348E">
        <w:rPr>
          <w:rStyle w:val="Emphasis"/>
          <w:highlight w:val="green"/>
        </w:rPr>
        <w:t>reasoning</w:t>
      </w:r>
      <w:r w:rsidRPr="00EB45AA">
        <w:rPr>
          <w:rStyle w:val="StyleUnderline"/>
        </w:rPr>
        <w:t xml:space="preserve"> measures </w:t>
      </w:r>
      <w:r w:rsidRPr="0098348E">
        <w:rPr>
          <w:rStyle w:val="StyleUnderline"/>
          <w:highlight w:val="green"/>
        </w:rPr>
        <w:t>and</w:t>
      </w:r>
      <w:r w:rsidRPr="00EB45AA">
        <w:rPr>
          <w:rStyle w:val="StyleUnderline"/>
        </w:rPr>
        <w:t xml:space="preserve"> the </w:t>
      </w:r>
      <w:r w:rsidRPr="0098348E">
        <w:rPr>
          <w:rStyle w:val="Emphasis"/>
          <w:highlight w:val="green"/>
        </w:rPr>
        <w:t>deontological parameter</w:t>
      </w:r>
      <w:r w:rsidRPr="0098348E">
        <w:rPr>
          <w:sz w:val="16"/>
        </w:rPr>
        <w:t>. We</w:t>
      </w:r>
      <w:r>
        <w:rPr>
          <w:sz w:val="16"/>
        </w:rPr>
        <w:t xml:space="preserve"> </w:t>
      </w:r>
      <w:r w:rsidRPr="0098348E">
        <w:rPr>
          <w:sz w:val="16"/>
        </w:rPr>
        <w:t>found similar results by repeating the same analysis with robust</w:t>
      </w:r>
      <w:r>
        <w:rPr>
          <w:sz w:val="16"/>
        </w:rPr>
        <w:t xml:space="preserve"> </w:t>
      </w:r>
      <w:r w:rsidRPr="0098348E">
        <w:rPr>
          <w:sz w:val="16"/>
        </w:rPr>
        <w:t>linear regression (see Supplemental Figure S1 in Supplemental</w:t>
      </w:r>
      <w:r>
        <w:rPr>
          <w:sz w:val="16"/>
        </w:rPr>
        <w:t xml:space="preserve"> </w:t>
      </w:r>
      <w:r w:rsidRPr="0098348E">
        <w:rPr>
          <w:sz w:val="16"/>
        </w:rPr>
        <w:t>Text S5 in the online supplemental materials).</w:t>
      </w:r>
      <w:r>
        <w:rPr>
          <w:sz w:val="16"/>
        </w:rPr>
        <w:t xml:space="preserve"> </w:t>
      </w:r>
      <w:r w:rsidRPr="0098348E">
        <w:rPr>
          <w:sz w:val="16"/>
        </w:rPr>
        <w:t xml:space="preserve">These results are consistent with the DPM’s proposal that </w:t>
      </w:r>
      <w:r w:rsidRPr="0098348E">
        <w:rPr>
          <w:rStyle w:val="StyleUnderline"/>
          <w:highlight w:val="green"/>
        </w:rPr>
        <w:t xml:space="preserve">individuals with </w:t>
      </w:r>
      <w:r w:rsidRPr="0098348E">
        <w:rPr>
          <w:rStyle w:val="Emphasis"/>
          <w:highlight w:val="green"/>
        </w:rPr>
        <w:t>greater reasoning</w:t>
      </w:r>
      <w:r w:rsidRPr="00EB45AA">
        <w:rPr>
          <w:rStyle w:val="Emphasis"/>
        </w:rPr>
        <w:t xml:space="preserve"> abilities</w:t>
      </w:r>
      <w:r w:rsidRPr="0098348E">
        <w:rPr>
          <w:sz w:val="16"/>
        </w:rPr>
        <w:t>/tendencies (as assessed</w:t>
      </w:r>
      <w:r>
        <w:rPr>
          <w:sz w:val="16"/>
        </w:rPr>
        <w:t xml:space="preserve"> </w:t>
      </w:r>
      <w:r w:rsidRPr="0098348E">
        <w:rPr>
          <w:sz w:val="16"/>
        </w:rPr>
        <w:t xml:space="preserve">here using the two-step tasks, CRT, and BB) </w:t>
      </w:r>
      <w:r w:rsidRPr="00EB45AA">
        <w:rPr>
          <w:rStyle w:val="StyleUnderline"/>
        </w:rPr>
        <w:t xml:space="preserve">and a greater preference for a </w:t>
      </w:r>
      <w:r w:rsidRPr="00EB45AA">
        <w:rPr>
          <w:rStyle w:val="Emphasis"/>
        </w:rPr>
        <w:t>cognitive style of thinking</w:t>
      </w:r>
      <w:r w:rsidRPr="0098348E">
        <w:rPr>
          <w:sz w:val="16"/>
        </w:rPr>
        <w:t xml:space="preserve"> (indexed using self-report</w:t>
      </w:r>
      <w:r>
        <w:rPr>
          <w:sz w:val="16"/>
        </w:rPr>
        <w:t xml:space="preserve"> </w:t>
      </w:r>
      <w:r w:rsidRPr="0098348E">
        <w:rPr>
          <w:sz w:val="16"/>
        </w:rPr>
        <w:t xml:space="preserve">measures NFC, AOT, and REI) </w:t>
      </w:r>
      <w:r w:rsidRPr="0098348E">
        <w:rPr>
          <w:rStyle w:val="StyleUnderline"/>
          <w:highlight w:val="green"/>
        </w:rPr>
        <w:t xml:space="preserve">are more likely to use </w:t>
      </w:r>
      <w:r w:rsidRPr="0098348E">
        <w:rPr>
          <w:rStyle w:val="Emphasis"/>
          <w:highlight w:val="green"/>
        </w:rPr>
        <w:t>cost-benefit</w:t>
      </w:r>
      <w:r>
        <w:rPr>
          <w:rStyle w:val="Emphasis"/>
          <w:highlight w:val="green"/>
        </w:rPr>
        <w:t xml:space="preserve"> </w:t>
      </w:r>
      <w:r w:rsidRPr="0098348E">
        <w:rPr>
          <w:rStyle w:val="Emphasis"/>
          <w:highlight w:val="green"/>
        </w:rPr>
        <w:t>thinking</w:t>
      </w:r>
      <w:r w:rsidRPr="0098348E">
        <w:rPr>
          <w:rStyle w:val="StyleUnderline"/>
          <w:highlight w:val="green"/>
        </w:rPr>
        <w:t xml:space="preserve"> to </w:t>
      </w:r>
      <w:r w:rsidRPr="0098348E">
        <w:rPr>
          <w:rStyle w:val="Emphasis"/>
          <w:highlight w:val="green"/>
        </w:rPr>
        <w:t>override</w:t>
      </w:r>
      <w:r w:rsidRPr="00EB45AA">
        <w:rPr>
          <w:rStyle w:val="StyleUnderline"/>
        </w:rPr>
        <w:t xml:space="preserve"> a contradictory intuitive, </w:t>
      </w:r>
      <w:r w:rsidRPr="0098348E">
        <w:rPr>
          <w:rStyle w:val="Emphasis"/>
          <w:highlight w:val="green"/>
        </w:rPr>
        <w:t>emotional response</w:t>
      </w:r>
      <w:r>
        <w:rPr>
          <w:sz w:val="16"/>
        </w:rPr>
        <w:t xml:space="preserve"> </w:t>
      </w:r>
      <w:r w:rsidRPr="0098348E">
        <w:rPr>
          <w:sz w:val="16"/>
        </w:rPr>
        <w:t>(see Figure 3). Importantly, as would be expected from the DPM,</w:t>
      </w:r>
      <w:r>
        <w:rPr>
          <w:sz w:val="16"/>
        </w:rPr>
        <w:t xml:space="preserve"> </w:t>
      </w:r>
      <w:r w:rsidRPr="0098348E">
        <w:rPr>
          <w:sz w:val="16"/>
        </w:rPr>
        <w:t>reasoning ability or style of thinking did not predict the magnitude</w:t>
      </w:r>
      <w:r>
        <w:rPr>
          <w:sz w:val="16"/>
        </w:rPr>
        <w:t xml:space="preserve"> </w:t>
      </w:r>
      <w:r w:rsidRPr="0098348E">
        <w:rPr>
          <w:sz w:val="16"/>
        </w:rPr>
        <w:t>of the putative emotional response (for more detailed visualizations, see Supplemental Figures S1–S9 in Supplemental Text S3 in</w:t>
      </w:r>
      <w:r>
        <w:rPr>
          <w:sz w:val="16"/>
        </w:rPr>
        <w:t xml:space="preserve"> </w:t>
      </w:r>
      <w:r w:rsidRPr="0098348E">
        <w:rPr>
          <w:sz w:val="16"/>
        </w:rPr>
        <w:t>the online supplemental materials).</w:t>
      </w:r>
      <w:r>
        <w:rPr>
          <w:sz w:val="16"/>
        </w:rPr>
        <w:t xml:space="preserve"> </w:t>
      </w:r>
      <w:r w:rsidRPr="0098348E">
        <w:rPr>
          <w:sz w:val="16"/>
        </w:rPr>
        <w:t>General Discussion</w:t>
      </w:r>
      <w:r>
        <w:rPr>
          <w:sz w:val="16"/>
        </w:rPr>
        <w:t xml:space="preserve"> </w:t>
      </w:r>
      <w:r w:rsidRPr="0098348E">
        <w:rPr>
          <w:sz w:val="16"/>
        </w:rPr>
        <w:t xml:space="preserve">The DPM of morality maintains that </w:t>
      </w:r>
      <w:r w:rsidRPr="0098348E">
        <w:rPr>
          <w:rStyle w:val="StyleUnderline"/>
        </w:rPr>
        <w:t>utilitarian responding to</w:t>
      </w:r>
      <w:r>
        <w:rPr>
          <w:rStyle w:val="StyleUnderline"/>
        </w:rPr>
        <w:t xml:space="preserve"> </w:t>
      </w:r>
      <w:r w:rsidRPr="0098348E">
        <w:rPr>
          <w:rStyle w:val="StyleUnderline"/>
        </w:rPr>
        <w:t>sacrificial dilemmas requires reasoning to conduct a cost-benefit</w:t>
      </w:r>
      <w:r>
        <w:rPr>
          <w:rStyle w:val="StyleUnderline"/>
        </w:rPr>
        <w:t xml:space="preserve"> </w:t>
      </w:r>
      <w:r w:rsidRPr="0098348E">
        <w:rPr>
          <w:rStyle w:val="StyleUnderline"/>
        </w:rPr>
        <w:t>analysis and also to override an emotional aversion to harm</w:t>
      </w:r>
      <w:r>
        <w:rPr>
          <w:rStyle w:val="StyleUnderline"/>
        </w:rPr>
        <w:t xml:space="preserve"> </w:t>
      </w:r>
      <w:r w:rsidRPr="0098348E">
        <w:rPr>
          <w:sz w:val="16"/>
        </w:rPr>
        <w:t xml:space="preserve">(Greene et al., 2004). Thus, </w:t>
      </w:r>
      <w:r w:rsidRPr="0098348E">
        <w:rPr>
          <w:rStyle w:val="StyleUnderline"/>
        </w:rPr>
        <w:t>individuals with a greater ability to</w:t>
      </w:r>
      <w:r>
        <w:rPr>
          <w:rStyle w:val="StyleUnderline"/>
        </w:rPr>
        <w:t xml:space="preserve"> </w:t>
      </w:r>
      <w:r w:rsidRPr="0098348E">
        <w:rPr>
          <w:rStyle w:val="StyleUnderline"/>
        </w:rPr>
        <w:t>reason, or propensity for reasoning, are predicted to make utilitarian moral judgments</w:t>
      </w:r>
      <w:r w:rsidRPr="0098348E">
        <w:rPr>
          <w:sz w:val="16"/>
        </w:rPr>
        <w:t xml:space="preserve"> more often in sacrificial dilemmas. Although</w:t>
      </w:r>
      <w:r>
        <w:rPr>
          <w:sz w:val="16"/>
        </w:rPr>
        <w:t xml:space="preserve"> </w:t>
      </w:r>
      <w:r w:rsidRPr="0098348E">
        <w:rPr>
          <w:sz w:val="16"/>
        </w:rPr>
        <w:t>some prior work has supported this prediction, other work has not.</w:t>
      </w:r>
      <w:r>
        <w:rPr>
          <w:sz w:val="16"/>
        </w:rPr>
        <w:t xml:space="preserve"> </w:t>
      </w:r>
      <w:r w:rsidRPr="0098348E">
        <w:rPr>
          <w:sz w:val="16"/>
        </w:rPr>
        <w:t>Overall, this literature has been hampered by both conceptual</w:t>
      </w:r>
      <w:r>
        <w:rPr>
          <w:sz w:val="16"/>
        </w:rPr>
        <w:t xml:space="preserve"> </w:t>
      </w:r>
      <w:r w:rsidRPr="0098348E">
        <w:rPr>
          <w:sz w:val="16"/>
        </w:rPr>
        <w:t>challenges (on account of not using the PD approach to index</w:t>
      </w:r>
      <w:r>
        <w:rPr>
          <w:sz w:val="16"/>
        </w:rPr>
        <w:t xml:space="preserve"> </w:t>
      </w:r>
      <w:r w:rsidRPr="0098348E">
        <w:rPr>
          <w:sz w:val="16"/>
        </w:rPr>
        <w:t>utilitarian inclinations) and methodological weaknesses. In the</w:t>
      </w:r>
      <w:r>
        <w:rPr>
          <w:sz w:val="16"/>
        </w:rPr>
        <w:t xml:space="preserve"> </w:t>
      </w:r>
      <w:r w:rsidRPr="0098348E">
        <w:rPr>
          <w:sz w:val="16"/>
        </w:rPr>
        <w:t>current work, we use a PD approach to properly assay utilitarian</w:t>
      </w:r>
      <w:r>
        <w:rPr>
          <w:sz w:val="16"/>
        </w:rPr>
        <w:t xml:space="preserve"> </w:t>
      </w:r>
      <w:r w:rsidRPr="0098348E">
        <w:rPr>
          <w:sz w:val="16"/>
        </w:rPr>
        <w:t>attitudes and overcome prior methodological limitations to show</w:t>
      </w:r>
      <w:r>
        <w:rPr>
          <w:sz w:val="16"/>
        </w:rPr>
        <w:t xml:space="preserve"> </w:t>
      </w:r>
      <w:r w:rsidRPr="0098348E">
        <w:rPr>
          <w:sz w:val="16"/>
        </w:rPr>
        <w:t>that better reasoning skills are indeed on average associated with a</w:t>
      </w:r>
      <w:r>
        <w:rPr>
          <w:sz w:val="16"/>
        </w:rPr>
        <w:t xml:space="preserve"> </w:t>
      </w:r>
      <w:r w:rsidRPr="0098348E">
        <w:rPr>
          <w:sz w:val="16"/>
        </w:rPr>
        <w:t>preference for utilitarian outcomes in sacrificial moral dilemmas.</w:t>
      </w:r>
      <w:r>
        <w:rPr>
          <w:sz w:val="16"/>
        </w:rPr>
        <w:t xml:space="preserve"> </w:t>
      </w:r>
      <w:r w:rsidRPr="0098348E">
        <w:rPr>
          <w:rStyle w:val="StyleUnderline"/>
        </w:rPr>
        <w:t>Across eight studies</w:t>
      </w:r>
      <w:r w:rsidRPr="0098348E">
        <w:rPr>
          <w:sz w:val="16"/>
        </w:rPr>
        <w:t xml:space="preserve"> and a variety of self-report, behavioral, and</w:t>
      </w:r>
      <w:r>
        <w:rPr>
          <w:sz w:val="16"/>
        </w:rPr>
        <w:t xml:space="preserve"> </w:t>
      </w:r>
      <w:r w:rsidRPr="0098348E">
        <w:rPr>
          <w:sz w:val="16"/>
        </w:rPr>
        <w:t xml:space="preserve">neuroanatomical measures, we find that </w:t>
      </w:r>
      <w:r w:rsidRPr="0098348E">
        <w:rPr>
          <w:rStyle w:val="StyleUnderline"/>
        </w:rPr>
        <w:t>reasoning ability and a</w:t>
      </w:r>
      <w:r>
        <w:rPr>
          <w:rStyle w:val="StyleUnderline"/>
        </w:rPr>
        <w:t xml:space="preserve"> </w:t>
      </w:r>
      <w:r w:rsidRPr="0098348E">
        <w:rPr>
          <w:rStyle w:val="StyleUnderline"/>
        </w:rPr>
        <w:t>tendency toward deliberative thinking are positively associated</w:t>
      </w:r>
      <w:r>
        <w:rPr>
          <w:rStyle w:val="StyleUnderline"/>
        </w:rPr>
        <w:t xml:space="preserve"> </w:t>
      </w:r>
      <w:r w:rsidRPr="0098348E">
        <w:rPr>
          <w:rStyle w:val="StyleUnderline"/>
        </w:rPr>
        <w:t>with a preference for utilitarian solutions, independent of individual differences in harm aversion</w:t>
      </w:r>
      <w:r w:rsidRPr="0098348E">
        <w:rPr>
          <w:sz w:val="16"/>
        </w:rPr>
        <w:t>.</w:t>
      </w:r>
      <w:r>
        <w:rPr>
          <w:sz w:val="16"/>
        </w:rPr>
        <w:t xml:space="preserve"> </w:t>
      </w:r>
      <w:r w:rsidRPr="0098348E">
        <w:rPr>
          <w:sz w:val="16"/>
        </w:rPr>
        <w:t>In recent years psychologists have paid increasing attention to</w:t>
      </w:r>
      <w:r>
        <w:rPr>
          <w:sz w:val="16"/>
        </w:rPr>
        <w:t xml:space="preserve"> </w:t>
      </w:r>
      <w:r w:rsidRPr="0098348E">
        <w:rPr>
          <w:sz w:val="16"/>
        </w:rPr>
        <w:t>the importance of conducting rigorous, principled tests of influential theories (e.g., see Lai et al., 2014, for a parallel approach in the</w:t>
      </w:r>
      <w:r>
        <w:rPr>
          <w:sz w:val="16"/>
        </w:rPr>
        <w:t xml:space="preserve"> </w:t>
      </w:r>
      <w:r w:rsidRPr="0098348E">
        <w:rPr>
          <w:sz w:val="16"/>
        </w:rPr>
        <w:t>domain of IAT interventions). Here, our approach has been to</w:t>
      </w:r>
      <w:r>
        <w:rPr>
          <w:sz w:val="16"/>
        </w:rPr>
        <w:t xml:space="preserve"> </w:t>
      </w:r>
      <w:r w:rsidRPr="0098348E">
        <w:rPr>
          <w:sz w:val="16"/>
        </w:rPr>
        <w:t>incorporate several different measures of reasoning drawn from</w:t>
      </w:r>
      <w:r>
        <w:rPr>
          <w:sz w:val="16"/>
        </w:rPr>
        <w:t xml:space="preserve"> </w:t>
      </w:r>
      <w:r w:rsidRPr="0098348E">
        <w:rPr>
          <w:sz w:val="16"/>
        </w:rPr>
        <w:t>diverse subfields of psychological research and employing a variety of methods. We have also used a large set of moral dilemmas,</w:t>
      </w:r>
      <w:r>
        <w:rPr>
          <w:sz w:val="16"/>
        </w:rPr>
        <w:t xml:space="preserve"> </w:t>
      </w:r>
      <w:r w:rsidRPr="0098348E">
        <w:rPr>
          <w:sz w:val="16"/>
        </w:rPr>
        <w:t>including both traditional sacrificial dilemmas and those developed for PD. Generalizing across these dimensions of variability,</w:t>
      </w:r>
      <w:r>
        <w:rPr>
          <w:sz w:val="16"/>
        </w:rPr>
        <w:t xml:space="preserve"> </w:t>
      </w:r>
      <w:r w:rsidRPr="0098348E">
        <w:rPr>
          <w:sz w:val="16"/>
        </w:rPr>
        <w:t>we find a consistent relationship between reasoning and utilitarian</w:t>
      </w:r>
      <w:r>
        <w:rPr>
          <w:sz w:val="16"/>
        </w:rPr>
        <w:t xml:space="preserve"> </w:t>
      </w:r>
      <w:r w:rsidRPr="0098348E">
        <w:rPr>
          <w:sz w:val="16"/>
        </w:rPr>
        <w:t>moral judgments. An important consequence of this finding is that</w:t>
      </w:r>
      <w:r>
        <w:rPr>
          <w:sz w:val="16"/>
        </w:rPr>
        <w:t xml:space="preserve"> </w:t>
      </w:r>
      <w:r w:rsidRPr="0098348E">
        <w:rPr>
          <w:sz w:val="16"/>
        </w:rPr>
        <w:t>researchers may now seek to better characterize the precise nature</w:t>
      </w:r>
      <w:r>
        <w:rPr>
          <w:sz w:val="16"/>
        </w:rPr>
        <w:t xml:space="preserve"> </w:t>
      </w:r>
      <w:r w:rsidRPr="0098348E">
        <w:rPr>
          <w:sz w:val="16"/>
        </w:rPr>
        <w:t>of this relationship with increased confidence that, in the most</w:t>
      </w:r>
      <w:r>
        <w:rPr>
          <w:sz w:val="16"/>
        </w:rPr>
        <w:t xml:space="preserve"> </w:t>
      </w:r>
      <w:r w:rsidRPr="0098348E">
        <w:rPr>
          <w:sz w:val="16"/>
        </w:rPr>
        <w:t>general sense, some important relationship exists. Although this</w:t>
      </w:r>
      <w:r>
        <w:rPr>
          <w:sz w:val="16"/>
        </w:rPr>
        <w:t xml:space="preserve"> </w:t>
      </w:r>
      <w:r w:rsidRPr="0098348E">
        <w:rPr>
          <w:sz w:val="16"/>
        </w:rPr>
        <w:t>series of studies provides an intriguing data set documenting the</w:t>
      </w:r>
      <w:r>
        <w:rPr>
          <w:sz w:val="16"/>
        </w:rPr>
        <w:t xml:space="preserve"> </w:t>
      </w:r>
      <w:r w:rsidRPr="0098348E">
        <w:rPr>
          <w:sz w:val="16"/>
        </w:rPr>
        <w:t>relative strength of the correlations between diverse measures of</w:t>
      </w:r>
      <w:r>
        <w:rPr>
          <w:sz w:val="16"/>
        </w:rPr>
        <w:t xml:space="preserve"> </w:t>
      </w:r>
      <w:r w:rsidRPr="0098348E">
        <w:rPr>
          <w:sz w:val="16"/>
        </w:rPr>
        <w:t>reasoning and utilitarian moral judgments, it was not designed to</w:t>
      </w:r>
      <w:r>
        <w:rPr>
          <w:sz w:val="16"/>
        </w:rPr>
        <w:t xml:space="preserve"> </w:t>
      </w:r>
      <w:r w:rsidRPr="0098348E">
        <w:rPr>
          <w:sz w:val="16"/>
        </w:rPr>
        <w:t>characterize a detailed pattern of associations (e.g., some specific</w:t>
      </w:r>
      <w:r>
        <w:rPr>
          <w:sz w:val="16"/>
        </w:rPr>
        <w:t xml:space="preserve"> </w:t>
      </w:r>
      <w:r w:rsidRPr="0098348E">
        <w:rPr>
          <w:sz w:val="16"/>
        </w:rPr>
        <w:t>[FIGURE OMITTED]</w:t>
      </w:r>
      <w:r>
        <w:rPr>
          <w:sz w:val="16"/>
        </w:rPr>
        <w:t xml:space="preserve"> </w:t>
      </w:r>
      <w:r w:rsidRPr="0098348E">
        <w:rPr>
          <w:sz w:val="16"/>
        </w:rPr>
        <w:t>correlations would be stronger than others) but instead to firmly</w:t>
      </w:r>
      <w:r>
        <w:rPr>
          <w:sz w:val="16"/>
        </w:rPr>
        <w:t xml:space="preserve"> </w:t>
      </w:r>
      <w:r w:rsidRPr="0098348E">
        <w:rPr>
          <w:sz w:val="16"/>
        </w:rPr>
        <w:t>establish the relationship’s general form.</w:t>
      </w:r>
      <w:r>
        <w:rPr>
          <w:sz w:val="16"/>
        </w:rPr>
        <w:t xml:space="preserve"> </w:t>
      </w:r>
      <w:r w:rsidRPr="0098348E">
        <w:rPr>
          <w:sz w:val="16"/>
        </w:rPr>
        <w:t>Our study does inform a contemporary debate over the cause of</w:t>
      </w:r>
      <w:r>
        <w:rPr>
          <w:sz w:val="16"/>
        </w:rPr>
        <w:t xml:space="preserve"> </w:t>
      </w:r>
      <w:r w:rsidRPr="0098348E">
        <w:rPr>
          <w:sz w:val="16"/>
        </w:rPr>
        <w:t xml:space="preserve">“utilitarianism” as a dimension of individual difference. </w:t>
      </w:r>
      <w:r w:rsidRPr="0098348E">
        <w:rPr>
          <w:rStyle w:val="StyleUnderline"/>
          <w:highlight w:val="green"/>
        </w:rPr>
        <w:t>Several studies</w:t>
      </w:r>
      <w:r w:rsidRPr="0098348E">
        <w:rPr>
          <w:sz w:val="16"/>
        </w:rPr>
        <w:t xml:space="preserve"> convincingly </w:t>
      </w:r>
      <w:r w:rsidRPr="0098348E">
        <w:rPr>
          <w:rStyle w:val="StyleUnderline"/>
          <w:highlight w:val="green"/>
        </w:rPr>
        <w:t>argue</w:t>
      </w:r>
      <w:r w:rsidRPr="0098348E">
        <w:rPr>
          <w:rStyle w:val="StyleUnderline"/>
        </w:rPr>
        <w:t xml:space="preserve"> that </w:t>
      </w:r>
      <w:r w:rsidRPr="0098348E">
        <w:rPr>
          <w:rStyle w:val="StyleUnderline"/>
          <w:highlight w:val="green"/>
        </w:rPr>
        <w:t>individuals with cold-hearted attitudes</w:t>
      </w:r>
      <w:r>
        <w:rPr>
          <w:sz w:val="16"/>
        </w:rPr>
        <w:t xml:space="preserve"> </w:t>
      </w:r>
      <w:r w:rsidRPr="0098348E">
        <w:rPr>
          <w:sz w:val="16"/>
        </w:rPr>
        <w:t xml:space="preserve">toward others’ wellbeing, psychopathic traits, and antisocial tendencies </w:t>
      </w:r>
      <w:r w:rsidRPr="0098348E">
        <w:rPr>
          <w:rStyle w:val="StyleUnderline"/>
        </w:rPr>
        <w:t xml:space="preserve">tend to </w:t>
      </w:r>
      <w:r w:rsidRPr="0098348E">
        <w:rPr>
          <w:rStyle w:val="StyleUnderline"/>
          <w:highlight w:val="green"/>
        </w:rPr>
        <w:t>favor util</w:t>
      </w:r>
      <w:r w:rsidRPr="0098348E">
        <w:rPr>
          <w:rStyle w:val="StyleUnderline"/>
        </w:rPr>
        <w:t>itarian actions on moral dilemmas</w:t>
      </w:r>
      <w:r w:rsidRPr="0098348E">
        <w:rPr>
          <w:sz w:val="16"/>
        </w:rPr>
        <w:t xml:space="preserve"> (Bartels &amp;</w:t>
      </w:r>
      <w:r>
        <w:rPr>
          <w:sz w:val="16"/>
        </w:rPr>
        <w:t xml:space="preserve"> </w:t>
      </w:r>
      <w:r w:rsidRPr="0098348E">
        <w:rPr>
          <w:sz w:val="16"/>
        </w:rPr>
        <w:t>Pizarro, 2011; Djeriouat &amp; Trémolière, 2014; Duke &amp; Bègue, 2015;</w:t>
      </w:r>
      <w:r>
        <w:rPr>
          <w:sz w:val="16"/>
        </w:rPr>
        <w:t xml:space="preserve"> </w:t>
      </w:r>
      <w:r w:rsidRPr="0098348E">
        <w:rPr>
          <w:sz w:val="16"/>
        </w:rPr>
        <w:t>Francis et al., 2016; Gawronski et al., 2017; Gleichgerrcht &amp; Young,</w:t>
      </w:r>
      <w:r>
        <w:rPr>
          <w:sz w:val="16"/>
        </w:rPr>
        <w:t xml:space="preserve"> </w:t>
      </w:r>
      <w:r w:rsidRPr="0098348E">
        <w:rPr>
          <w:sz w:val="16"/>
        </w:rPr>
        <w:t>2013; Kahane, Everett, Earp, Farias, &amp; Savulescu, 2015; Marshall,</w:t>
      </w:r>
      <w:r>
        <w:rPr>
          <w:sz w:val="16"/>
        </w:rPr>
        <w:t xml:space="preserve"> </w:t>
      </w:r>
      <w:r w:rsidRPr="0098348E">
        <w:rPr>
          <w:sz w:val="16"/>
        </w:rPr>
        <w:t>Watts, &amp; Lilienfeld, 2018; McDonald, Defever, &amp; Navarrete, 2017;</w:t>
      </w:r>
      <w:r>
        <w:rPr>
          <w:sz w:val="16"/>
        </w:rPr>
        <w:t xml:space="preserve"> </w:t>
      </w:r>
      <w:r w:rsidRPr="0098348E">
        <w:rPr>
          <w:sz w:val="16"/>
        </w:rPr>
        <w:t>Park, Kappes, Rho, &amp; Van Bavel, 2016; Patil, 2015; Patil, Melsbach,</w:t>
      </w:r>
      <w:r>
        <w:rPr>
          <w:sz w:val="16"/>
        </w:rPr>
        <w:t xml:space="preserve"> </w:t>
      </w:r>
      <w:r w:rsidRPr="0098348E">
        <w:rPr>
          <w:sz w:val="16"/>
        </w:rPr>
        <w:t xml:space="preserve">Hennig-Fast, &amp; Silani, 2016; Patil &amp; Silani, 2014; Reynolds &amp; Conway, 2018; Tassy, Deruelle, Mancini, Leistedt, &amp; Wicker, 2013). </w:t>
      </w:r>
      <w:r w:rsidRPr="0098348E">
        <w:rPr>
          <w:rStyle w:val="StyleUnderline"/>
        </w:rPr>
        <w:t>This</w:t>
      </w:r>
      <w:r>
        <w:rPr>
          <w:rStyle w:val="StyleUnderline"/>
        </w:rPr>
        <w:t xml:space="preserve"> </w:t>
      </w:r>
      <w:r w:rsidRPr="0098348E">
        <w:rPr>
          <w:rStyle w:val="StyleUnderline"/>
        </w:rPr>
        <w:t>has been taken to mean that a “utilitarian” response on the moral</w:t>
      </w:r>
      <w:r>
        <w:rPr>
          <w:rStyle w:val="StyleUnderline"/>
        </w:rPr>
        <w:t xml:space="preserve"> </w:t>
      </w:r>
      <w:r w:rsidRPr="0098348E">
        <w:rPr>
          <w:rStyle w:val="StyleUnderline"/>
        </w:rPr>
        <w:t>dilemma is diagnostic of dark traits</w:t>
      </w:r>
      <w:r w:rsidRPr="0098348E">
        <w:rPr>
          <w:sz w:val="16"/>
        </w:rPr>
        <w:t xml:space="preserve"> (Bartels &amp; Pizarro, 2011) rather</w:t>
      </w:r>
      <w:r>
        <w:rPr>
          <w:sz w:val="16"/>
        </w:rPr>
        <w:t xml:space="preserve"> </w:t>
      </w:r>
      <w:r w:rsidRPr="0098348E">
        <w:rPr>
          <w:sz w:val="16"/>
        </w:rPr>
        <w:t>than an impartial concern for the wellbeing of the actors involved in</w:t>
      </w:r>
      <w:r>
        <w:rPr>
          <w:sz w:val="16"/>
        </w:rPr>
        <w:t xml:space="preserve"> </w:t>
      </w:r>
      <w:r w:rsidRPr="0098348E">
        <w:rPr>
          <w:sz w:val="16"/>
        </w:rPr>
        <w:t xml:space="preserve">the dilemma (Kahane et al., 2015). </w:t>
      </w:r>
      <w:r w:rsidRPr="0098348E">
        <w:rPr>
          <w:rStyle w:val="StyleUnderline"/>
          <w:highlight w:val="green"/>
        </w:rPr>
        <w:t>But</w:t>
      </w:r>
      <w:r w:rsidRPr="0098348E">
        <w:rPr>
          <w:rStyle w:val="StyleUnderline"/>
        </w:rPr>
        <w:t xml:space="preserve"> the </w:t>
      </w:r>
      <w:r w:rsidRPr="0098348E">
        <w:rPr>
          <w:rStyle w:val="Emphasis"/>
          <w:highlight w:val="green"/>
        </w:rPr>
        <w:t>relevant studies</w:t>
      </w:r>
      <w:r w:rsidRPr="0098348E">
        <w:rPr>
          <w:rStyle w:val="StyleUnderline"/>
        </w:rPr>
        <w:t xml:space="preserve"> have </w:t>
      </w:r>
      <w:r w:rsidRPr="0098348E">
        <w:rPr>
          <w:rStyle w:val="StyleUnderline"/>
          <w:highlight w:val="green"/>
        </w:rPr>
        <w:t>used</w:t>
      </w:r>
      <w:r>
        <w:rPr>
          <w:rStyle w:val="StyleUnderline"/>
          <w:highlight w:val="green"/>
        </w:rPr>
        <w:t xml:space="preserve"> </w:t>
      </w:r>
      <w:r w:rsidRPr="0098348E">
        <w:rPr>
          <w:rStyle w:val="StyleUnderline"/>
          <w:highlight w:val="green"/>
        </w:rPr>
        <w:t xml:space="preserve">a </w:t>
      </w:r>
      <w:r w:rsidRPr="0098348E">
        <w:rPr>
          <w:rStyle w:val="Emphasis"/>
          <w:highlight w:val="green"/>
        </w:rPr>
        <w:t>single index</w:t>
      </w:r>
      <w:r w:rsidRPr="0098348E">
        <w:rPr>
          <w:rStyle w:val="StyleUnderline"/>
          <w:highlight w:val="green"/>
        </w:rPr>
        <w:t xml:space="preserve"> to represent </w:t>
      </w:r>
      <w:r w:rsidRPr="0098348E">
        <w:rPr>
          <w:rStyle w:val="Emphasis"/>
          <w:highlight w:val="green"/>
        </w:rPr>
        <w:t>moral judgments</w:t>
      </w:r>
      <w:r w:rsidRPr="0098348E">
        <w:rPr>
          <w:rStyle w:val="StyleUnderline"/>
        </w:rPr>
        <w:t xml:space="preserve"> of </w:t>
      </w:r>
      <w:r w:rsidRPr="0098348E">
        <w:rPr>
          <w:rStyle w:val="Emphasis"/>
        </w:rPr>
        <w:t>moral dilemmas</w:t>
      </w:r>
      <w:r w:rsidRPr="0098348E">
        <w:rPr>
          <w:sz w:val="16"/>
        </w:rPr>
        <w:t>,</w:t>
      </w:r>
      <w:r>
        <w:rPr>
          <w:sz w:val="16"/>
        </w:rPr>
        <w:t xml:space="preserve"> </w:t>
      </w:r>
      <w:r w:rsidRPr="0098348E">
        <w:rPr>
          <w:rStyle w:val="StyleUnderline"/>
        </w:rPr>
        <w:t>which conflates disregard for deontic prohibitions and endorsement of</w:t>
      </w:r>
      <w:r>
        <w:rPr>
          <w:rStyle w:val="StyleUnderline"/>
        </w:rPr>
        <w:t xml:space="preserve"> </w:t>
      </w:r>
      <w:r w:rsidRPr="0098348E">
        <w:rPr>
          <w:rStyle w:val="StyleUnderline"/>
        </w:rPr>
        <w:t>utilitarian principles. Once utility maximization and harm avoidance</w:t>
      </w:r>
      <w:r>
        <w:rPr>
          <w:rStyle w:val="StyleUnderline"/>
        </w:rPr>
        <w:t xml:space="preserve"> </w:t>
      </w:r>
      <w:r w:rsidRPr="0098348E">
        <w:rPr>
          <w:rStyle w:val="StyleUnderline"/>
        </w:rPr>
        <w:t>concerns are separately assayed, however, individuals who perceive</w:t>
      </w:r>
      <w:r>
        <w:rPr>
          <w:rStyle w:val="StyleUnderline"/>
        </w:rPr>
        <w:t xml:space="preserve"> </w:t>
      </w:r>
      <w:r w:rsidRPr="0098348E">
        <w:rPr>
          <w:rStyle w:val="StyleUnderline"/>
        </w:rPr>
        <w:t>themselves to be more rational</w:t>
      </w:r>
      <w:r w:rsidRPr="0098348E">
        <w:rPr>
          <w:sz w:val="16"/>
        </w:rPr>
        <w:t xml:space="preserve"> (as reported on questionnaires like the</w:t>
      </w:r>
      <w:r>
        <w:rPr>
          <w:sz w:val="16"/>
        </w:rPr>
        <w:t xml:space="preserve"> </w:t>
      </w:r>
      <w:r w:rsidRPr="0098348E">
        <w:rPr>
          <w:sz w:val="16"/>
        </w:rPr>
        <w:t xml:space="preserve">NFC, REI, and AOT) </w:t>
      </w:r>
      <w:r w:rsidRPr="0098348E">
        <w:rPr>
          <w:rStyle w:val="StyleUnderline"/>
        </w:rPr>
        <w:t>and who perform well on cognitively demanding behavioral tasks</w:t>
      </w:r>
      <w:r w:rsidRPr="0098348E">
        <w:rPr>
          <w:sz w:val="16"/>
        </w:rPr>
        <w:t xml:space="preserve"> (e.g., two-step RL tasks, BB, and CRT) </w:t>
      </w:r>
      <w:r w:rsidRPr="0098348E">
        <w:rPr>
          <w:rStyle w:val="StyleUnderline"/>
        </w:rPr>
        <w:t>prefer</w:t>
      </w:r>
      <w:r>
        <w:rPr>
          <w:rStyle w:val="StyleUnderline"/>
        </w:rPr>
        <w:t xml:space="preserve"> </w:t>
      </w:r>
      <w:r w:rsidRPr="0098348E">
        <w:rPr>
          <w:rStyle w:val="StyleUnderline"/>
        </w:rPr>
        <w:t>utilitarian solutions to moral dilemmas because of their elevated</w:t>
      </w:r>
      <w:r>
        <w:rPr>
          <w:rStyle w:val="StyleUnderline"/>
        </w:rPr>
        <w:t xml:space="preserve"> </w:t>
      </w:r>
      <w:r w:rsidRPr="0098348E">
        <w:rPr>
          <w:rStyle w:val="StyleUnderline"/>
        </w:rPr>
        <w:t>concerns for maximizing utility, and not due to reduced concerns</w:t>
      </w:r>
      <w:r>
        <w:rPr>
          <w:rStyle w:val="StyleUnderline"/>
        </w:rPr>
        <w:t xml:space="preserve"> </w:t>
      </w:r>
      <w:r w:rsidRPr="0098348E">
        <w:rPr>
          <w:rStyle w:val="StyleUnderline"/>
        </w:rPr>
        <w:t>about harm avoidance</w:t>
      </w:r>
      <w:r w:rsidRPr="0098348E">
        <w:rPr>
          <w:sz w:val="16"/>
        </w:rPr>
        <w:t xml:space="preserve">. Moreover, </w:t>
      </w:r>
      <w:r w:rsidRPr="0098348E">
        <w:rPr>
          <w:rStyle w:val="StyleUnderline"/>
          <w:highlight w:val="green"/>
        </w:rPr>
        <w:t>other studies</w:t>
      </w:r>
      <w:r w:rsidRPr="0098348E">
        <w:rPr>
          <w:rStyle w:val="StyleUnderline"/>
        </w:rPr>
        <w:t xml:space="preserve"> using</w:t>
      </w:r>
      <w:r w:rsidRPr="0098348E">
        <w:rPr>
          <w:sz w:val="16"/>
        </w:rPr>
        <w:t xml:space="preserve"> the PD </w:t>
      </w:r>
      <w:r w:rsidRPr="0098348E">
        <w:rPr>
          <w:rStyle w:val="StyleUnderline"/>
        </w:rPr>
        <w:t xml:space="preserve">approach </w:t>
      </w:r>
      <w:r w:rsidRPr="0098348E">
        <w:rPr>
          <w:rStyle w:val="StyleUnderline"/>
          <w:highlight w:val="green"/>
        </w:rPr>
        <w:t>show</w:t>
      </w:r>
      <w:r w:rsidRPr="0098348E">
        <w:rPr>
          <w:rStyle w:val="StyleUnderline"/>
        </w:rPr>
        <w:t xml:space="preserve"> that </w:t>
      </w:r>
      <w:r w:rsidRPr="0098348E">
        <w:rPr>
          <w:rStyle w:val="StyleUnderline"/>
          <w:highlight w:val="green"/>
        </w:rPr>
        <w:t>dark personality traits</w:t>
      </w:r>
      <w:r w:rsidRPr="0098348E">
        <w:rPr>
          <w:sz w:val="16"/>
        </w:rPr>
        <w:t xml:space="preserve"> in fact </w:t>
      </w:r>
      <w:r w:rsidRPr="0098348E">
        <w:rPr>
          <w:rStyle w:val="StyleUnderline"/>
          <w:highlight w:val="green"/>
        </w:rPr>
        <w:t xml:space="preserve">predict </w:t>
      </w:r>
      <w:r w:rsidRPr="00F62450">
        <w:rPr>
          <w:rStyle w:val="Emphasis"/>
          <w:highlight w:val="green"/>
        </w:rPr>
        <w:t>reduced deontologi</w:t>
      </w:r>
      <w:r w:rsidRPr="00F62450">
        <w:rPr>
          <w:rStyle w:val="StyleUnderline"/>
        </w:rPr>
        <w:t>cal inclinations</w:t>
      </w:r>
      <w:r w:rsidRPr="0098348E">
        <w:rPr>
          <w:sz w:val="16"/>
        </w:rPr>
        <w:t xml:space="preserve"> (i.e., a reduced aversion to harm), </w:t>
      </w:r>
      <w:r w:rsidRPr="0098348E">
        <w:rPr>
          <w:rStyle w:val="Emphasis"/>
          <w:highlight w:val="green"/>
        </w:rPr>
        <w:t>not increased util</w:t>
      </w:r>
      <w:r w:rsidRPr="0098348E">
        <w:rPr>
          <w:rStyle w:val="StyleUnderline"/>
        </w:rPr>
        <w:t>itarian inclinations</w:t>
      </w:r>
      <w:r w:rsidRPr="0098348E">
        <w:rPr>
          <w:sz w:val="16"/>
        </w:rPr>
        <w:t xml:space="preserve"> (Conway et al., 2018; Conway, Reynolds,</w:t>
      </w:r>
      <w:r>
        <w:rPr>
          <w:sz w:val="16"/>
        </w:rPr>
        <w:t xml:space="preserve"> </w:t>
      </w:r>
      <w:r w:rsidRPr="0098348E">
        <w:rPr>
          <w:sz w:val="16"/>
        </w:rPr>
        <w:t>Celestin, &amp; Pizarro, 2019; Gawronski et al., 2017; Reynolds &amp;</w:t>
      </w:r>
      <w:r>
        <w:rPr>
          <w:sz w:val="16"/>
        </w:rPr>
        <w:t xml:space="preserve"> </w:t>
      </w:r>
      <w:r w:rsidRPr="0098348E">
        <w:rPr>
          <w:sz w:val="16"/>
        </w:rPr>
        <w:t xml:space="preserve">Conway, 2018). In sum, </w:t>
      </w:r>
      <w:r w:rsidRPr="0098348E">
        <w:rPr>
          <w:rStyle w:val="StyleUnderline"/>
          <w:highlight w:val="green"/>
        </w:rPr>
        <w:t>util</w:t>
      </w:r>
      <w:r w:rsidRPr="0098348E">
        <w:rPr>
          <w:rStyle w:val="StyleUnderline"/>
        </w:rPr>
        <w:t xml:space="preserve">itarianism in moral dilemmas </w:t>
      </w:r>
      <w:r w:rsidRPr="0098348E">
        <w:rPr>
          <w:rStyle w:val="StyleUnderline"/>
          <w:highlight w:val="green"/>
        </w:rPr>
        <w:t xml:space="preserve">is </w:t>
      </w:r>
      <w:r w:rsidRPr="0098348E">
        <w:rPr>
          <w:rStyle w:val="Emphasis"/>
          <w:highlight w:val="green"/>
        </w:rPr>
        <w:t>not</w:t>
      </w:r>
      <w:r w:rsidRPr="0098348E">
        <w:rPr>
          <w:rStyle w:val="StyleUnderline"/>
          <w:highlight w:val="green"/>
        </w:rPr>
        <w:t xml:space="preserve"> a</w:t>
      </w:r>
      <w:r>
        <w:rPr>
          <w:rStyle w:val="StyleUnderline"/>
          <w:highlight w:val="green"/>
        </w:rPr>
        <w:t xml:space="preserve"> </w:t>
      </w:r>
      <w:r w:rsidRPr="0098348E">
        <w:rPr>
          <w:rStyle w:val="StyleUnderline"/>
          <w:highlight w:val="green"/>
        </w:rPr>
        <w:t>“</w:t>
      </w:r>
      <w:r w:rsidRPr="0098348E">
        <w:rPr>
          <w:rStyle w:val="Emphasis"/>
          <w:highlight w:val="green"/>
        </w:rPr>
        <w:t>mismeasure of morals</w:t>
      </w:r>
      <w:r w:rsidRPr="0098348E">
        <w:rPr>
          <w:rStyle w:val="StyleUnderline"/>
        </w:rPr>
        <w:t>”</w:t>
      </w:r>
      <w:r w:rsidRPr="0098348E">
        <w:rPr>
          <w:sz w:val="16"/>
        </w:rPr>
        <w:t xml:space="preserve"> (Bartels &amp; Pizarro, 2011)—rather, it partially</w:t>
      </w:r>
      <w:r>
        <w:rPr>
          <w:sz w:val="16"/>
        </w:rPr>
        <w:t xml:space="preserve"> </w:t>
      </w:r>
      <w:r w:rsidRPr="0098348E">
        <w:rPr>
          <w:rStyle w:val="StyleUnderline"/>
          <w:highlight w:val="green"/>
        </w:rPr>
        <w:t>but</w:t>
      </w:r>
      <w:r w:rsidRPr="0098348E">
        <w:rPr>
          <w:rStyle w:val="StyleUnderline"/>
        </w:rPr>
        <w:t xml:space="preserve"> meaningfully </w:t>
      </w:r>
      <w:r w:rsidRPr="0098348E">
        <w:rPr>
          <w:rStyle w:val="Emphasis"/>
          <w:highlight w:val="green"/>
        </w:rPr>
        <w:t>reflects concerns</w:t>
      </w:r>
      <w:r w:rsidRPr="0098348E">
        <w:rPr>
          <w:rStyle w:val="StyleUnderline"/>
          <w:highlight w:val="green"/>
        </w:rPr>
        <w:t xml:space="preserve"> about </w:t>
      </w:r>
      <w:r w:rsidRPr="0098348E">
        <w:rPr>
          <w:rStyle w:val="Emphasis"/>
          <w:highlight w:val="green"/>
        </w:rPr>
        <w:t>achieving</w:t>
      </w:r>
      <w:r w:rsidRPr="0098348E">
        <w:rPr>
          <w:rStyle w:val="StyleUnderline"/>
        </w:rPr>
        <w:t xml:space="preserve"> the </w:t>
      </w:r>
      <w:r w:rsidRPr="0098348E">
        <w:rPr>
          <w:rStyle w:val="Emphasis"/>
          <w:highlight w:val="green"/>
        </w:rPr>
        <w:t>greater good</w:t>
      </w:r>
      <w:r>
        <w:rPr>
          <w:rStyle w:val="StyleUnderline"/>
        </w:rPr>
        <w:t xml:space="preserve"> </w:t>
      </w:r>
      <w:r w:rsidRPr="0098348E">
        <w:rPr>
          <w:sz w:val="16"/>
        </w:rPr>
        <w:t>(Greene, 2013; Greene et al., 2001).</w:t>
      </w:r>
      <w:r>
        <w:rPr>
          <w:sz w:val="16"/>
        </w:rPr>
        <w:t xml:space="preserve"> </w:t>
      </w:r>
      <w:r w:rsidRPr="0098348E">
        <w:rPr>
          <w:sz w:val="16"/>
          <w:szCs w:val="14"/>
        </w:rPr>
        <w:t>In addition to these theoretical contributions, we have also</w:t>
      </w:r>
      <w:r>
        <w:rPr>
          <w:sz w:val="16"/>
          <w:szCs w:val="14"/>
        </w:rPr>
        <w:t xml:space="preserve"> </w:t>
      </w:r>
      <w:r w:rsidRPr="0098348E">
        <w:rPr>
          <w:sz w:val="16"/>
          <w:szCs w:val="14"/>
        </w:rPr>
        <w:t>demonstrated the utility of taking a multimodal approach of using</w:t>
      </w:r>
      <w:r>
        <w:rPr>
          <w:sz w:val="16"/>
          <w:szCs w:val="14"/>
        </w:rPr>
        <w:t xml:space="preserve"> </w:t>
      </w:r>
      <w:r w:rsidRPr="0098348E">
        <w:rPr>
          <w:sz w:val="16"/>
          <w:szCs w:val="14"/>
        </w:rPr>
        <w:t>self-report, performance, computational, and neural assessments of</w:t>
      </w:r>
      <w:r>
        <w:rPr>
          <w:sz w:val="16"/>
          <w:szCs w:val="14"/>
        </w:rPr>
        <w:t xml:space="preserve"> </w:t>
      </w:r>
      <w:r w:rsidRPr="0098348E">
        <w:rPr>
          <w:sz w:val="16"/>
          <w:szCs w:val="14"/>
        </w:rPr>
        <w:t>a construct. For the first time, we have explored the role of</w:t>
      </w:r>
      <w:r>
        <w:rPr>
          <w:sz w:val="16"/>
          <w:szCs w:val="14"/>
        </w:rPr>
        <w:t xml:space="preserve"> </w:t>
      </w:r>
      <w:r w:rsidRPr="0098348E">
        <w:rPr>
          <w:sz w:val="16"/>
          <w:szCs w:val="14"/>
        </w:rPr>
        <w:t>model-based control in utilitarian reasoning. Prior formal, computational frameworks (Crockett, 2013; Cushman, 2013) propose two</w:t>
      </w:r>
      <w:r>
        <w:rPr>
          <w:sz w:val="16"/>
          <w:szCs w:val="14"/>
        </w:rPr>
        <w:t xml:space="preserve"> </w:t>
      </w:r>
      <w:r w:rsidRPr="0098348E">
        <w:rPr>
          <w:sz w:val="16"/>
          <w:szCs w:val="14"/>
        </w:rPr>
        <w:t>systems: (a) a model-based, outcome-focused algorithm that forms</w:t>
      </w:r>
      <w:r>
        <w:rPr>
          <w:sz w:val="16"/>
          <w:szCs w:val="14"/>
        </w:rPr>
        <w:t xml:space="preserve"> </w:t>
      </w:r>
      <w:r w:rsidRPr="0098348E">
        <w:rPr>
          <w:sz w:val="16"/>
          <w:szCs w:val="14"/>
        </w:rPr>
        <w:t>value representations through an internally represented causal</w:t>
      </w:r>
      <w:r>
        <w:rPr>
          <w:sz w:val="16"/>
          <w:szCs w:val="14"/>
        </w:rPr>
        <w:t xml:space="preserve"> </w:t>
      </w:r>
      <w:r w:rsidRPr="0098348E">
        <w:rPr>
          <w:sz w:val="16"/>
          <w:szCs w:val="14"/>
        </w:rPr>
        <w:t>model of the world, selects actions based on the value assigned to</w:t>
      </w:r>
      <w:r>
        <w:rPr>
          <w:sz w:val="16"/>
          <w:szCs w:val="14"/>
        </w:rPr>
        <w:t xml:space="preserve"> </w:t>
      </w:r>
      <w:r w:rsidRPr="0098348E">
        <w:rPr>
          <w:sz w:val="16"/>
          <w:szCs w:val="14"/>
        </w:rPr>
        <w:t>their likely outcomes, and supports a utilitarian response, and (b)</w:t>
      </w:r>
      <w:r>
        <w:rPr>
          <w:sz w:val="16"/>
          <w:szCs w:val="14"/>
        </w:rPr>
        <w:t xml:space="preserve"> </w:t>
      </w:r>
      <w:r w:rsidRPr="0098348E">
        <w:rPr>
          <w:sz w:val="16"/>
          <w:szCs w:val="14"/>
        </w:rPr>
        <w:t>a model-free, action-focused algorithm that assigns value to actions intrinsically based on their reinforcement history and supports deontological harm aversion. These accounts predict that</w:t>
      </w:r>
      <w:r>
        <w:rPr>
          <w:sz w:val="16"/>
          <w:szCs w:val="14"/>
        </w:rPr>
        <w:t xml:space="preserve"> </w:t>
      </w:r>
      <w:r w:rsidRPr="0098348E">
        <w:rPr>
          <w:sz w:val="16"/>
          <w:szCs w:val="14"/>
        </w:rPr>
        <w:t>individual differences in model-based control would be correlated</w:t>
      </w:r>
      <w:r>
        <w:rPr>
          <w:sz w:val="16"/>
          <w:szCs w:val="14"/>
        </w:rPr>
        <w:t xml:space="preserve"> </w:t>
      </w:r>
      <w:r w:rsidRPr="0098348E">
        <w:rPr>
          <w:sz w:val="16"/>
          <w:szCs w:val="14"/>
        </w:rPr>
        <w:t>with utilitarian judgments on sacrificial dilemmas, a prediction</w:t>
      </w:r>
      <w:r>
        <w:rPr>
          <w:sz w:val="16"/>
          <w:szCs w:val="14"/>
        </w:rPr>
        <w:t xml:space="preserve"> </w:t>
      </w:r>
      <w:r w:rsidRPr="0098348E">
        <w:rPr>
          <w:sz w:val="16"/>
          <w:szCs w:val="14"/>
        </w:rPr>
        <w:t>modestly supported by the data (Studies 3b–3e). Importantly, the</w:t>
      </w:r>
      <w:r>
        <w:rPr>
          <w:sz w:val="16"/>
          <w:szCs w:val="14"/>
        </w:rPr>
        <w:t xml:space="preserve"> </w:t>
      </w:r>
      <w:r w:rsidRPr="0098348E">
        <w:rPr>
          <w:sz w:val="16"/>
          <w:szCs w:val="14"/>
        </w:rPr>
        <w:t>strength of this association was sensitive to the ecological context</w:t>
      </w:r>
      <w:r>
        <w:rPr>
          <w:sz w:val="16"/>
          <w:szCs w:val="14"/>
        </w:rPr>
        <w:t xml:space="preserve"> </w:t>
      </w:r>
      <w:r w:rsidRPr="0098348E">
        <w:rPr>
          <w:sz w:val="16"/>
          <w:szCs w:val="14"/>
        </w:rPr>
        <w:t>(the nature of the task, rewards, etc.) and this can be a starting</w:t>
      </w:r>
      <w:r>
        <w:rPr>
          <w:sz w:val="16"/>
          <w:szCs w:val="14"/>
        </w:rPr>
        <w:t xml:space="preserve"> </w:t>
      </w:r>
      <w:r w:rsidRPr="0098348E">
        <w:rPr>
          <w:sz w:val="16"/>
          <w:szCs w:val="14"/>
        </w:rPr>
        <w:t>point for future studies on this topic.</w:t>
      </w:r>
    </w:p>
    <w:p w14:paraId="4E0CD8D6" w14:textId="77777777" w:rsidR="001A4248" w:rsidRPr="008E2647" w:rsidRDefault="001A4248" w:rsidP="001A4248"/>
    <w:p w14:paraId="5DE75A37" w14:textId="77777777" w:rsidR="001A4248" w:rsidRDefault="001A4248" w:rsidP="001A4248">
      <w:pPr>
        <w:pStyle w:val="Heading2"/>
      </w:pPr>
      <w:r>
        <w:t>K</w:t>
      </w:r>
    </w:p>
    <w:p w14:paraId="0F7CCCF8" w14:textId="77777777" w:rsidR="001A4248" w:rsidRDefault="001A4248" w:rsidP="001A4248"/>
    <w:p w14:paraId="41D00988" w14:textId="77777777" w:rsidR="001A4248" w:rsidRDefault="001A4248" w:rsidP="001A4248">
      <w:pPr>
        <w:pStyle w:val="Heading3"/>
      </w:pPr>
      <w:r>
        <w:t>1AR---AT: Security Link</w:t>
      </w:r>
    </w:p>
    <w:p w14:paraId="650A6C2A" w14:textId="77777777" w:rsidR="001A4248" w:rsidRDefault="001A4248" w:rsidP="001A4248">
      <w:pPr>
        <w:pStyle w:val="Heading4"/>
      </w:pPr>
      <w:r>
        <w:t xml:space="preserve">does </w:t>
      </w:r>
      <w:r w:rsidRPr="00973C46">
        <w:rPr>
          <w:u w:val="single"/>
        </w:rPr>
        <w:t>NOT contextualize</w:t>
      </w:r>
      <w:r>
        <w:t xml:space="preserve"> to our </w:t>
      </w:r>
      <w:r w:rsidRPr="00973C46">
        <w:rPr>
          <w:u w:val="single"/>
        </w:rPr>
        <w:t>non-communicable disease</w:t>
      </w:r>
      <w:r>
        <w:t xml:space="preserve"> impacts – where </w:t>
      </w:r>
      <w:r w:rsidRPr="009F6E72">
        <w:rPr>
          <w:u w:val="single"/>
        </w:rPr>
        <w:t>absence</w:t>
      </w:r>
      <w:r>
        <w:t xml:space="preserve"> of any scenario for </w:t>
      </w:r>
      <w:r w:rsidRPr="009F6E72">
        <w:rPr>
          <w:u w:val="single"/>
        </w:rPr>
        <w:t>global spread</w:t>
      </w:r>
      <w:r>
        <w:t xml:space="preserve"> defangs </w:t>
      </w:r>
      <w:r w:rsidRPr="009F6E72">
        <w:rPr>
          <w:u w:val="single"/>
        </w:rPr>
        <w:t>militarized responses</w:t>
      </w:r>
      <w:r>
        <w:t xml:space="preserve"> – </w:t>
      </w:r>
      <w:r w:rsidRPr="006F67DC">
        <w:rPr>
          <w:u w:val="single"/>
        </w:rPr>
        <w:t>only helps desecuritize already-circulating pandemic discourses</w:t>
      </w:r>
    </w:p>
    <w:p w14:paraId="5BE46537" w14:textId="77777777" w:rsidR="001A4248" w:rsidRDefault="001A4248" w:rsidP="001A4248">
      <w:pPr>
        <w:pStyle w:val="CiteSpacing"/>
      </w:pPr>
      <w:r w:rsidRPr="00DB5442">
        <w:rPr>
          <w:rStyle w:val="Style13ptBold"/>
        </w:rPr>
        <w:t>Fidler 16</w:t>
      </w:r>
      <w:r>
        <w:t xml:space="preserve"> (David P. </w:t>
      </w:r>
      <w:r w:rsidRPr="00DB5442">
        <w:t>Fidler</w:t>
      </w:r>
      <w:r>
        <w:t xml:space="preserve">, Professor of Law at Indiana University School of Law, one of the world's leading experts in international law and infectious diseases and has published widely in this area, including International Law and Infectious Diseases (1999), “A Pathology Of Public Health Securitism: Approaching Pandemics as Security Threats,” in </w:t>
      </w:r>
      <w:r w:rsidRPr="00BE773F">
        <w:rPr>
          <w:i/>
        </w:rPr>
        <w:t>Governing Global Health: Challenge, Response, Innovation</w:t>
      </w:r>
      <w:r>
        <w:t>, 4-22-2016, Routledge, p.41-64)</w:t>
      </w:r>
    </w:p>
    <w:p w14:paraId="640BE6A4" w14:textId="77777777" w:rsidR="001A4248" w:rsidRPr="00145622" w:rsidRDefault="001A4248" w:rsidP="001A4248">
      <w:r w:rsidRPr="002952DD">
        <w:rPr>
          <w:sz w:val="14"/>
        </w:rPr>
        <w:t xml:space="preserve">Paradigm Aggregation: Public Health Securitism and Public Health Governance </w:t>
      </w:r>
      <w:r w:rsidRPr="00601950">
        <w:rPr>
          <w:rStyle w:val="StyleUnderline"/>
        </w:rPr>
        <w:t xml:space="preserve">The emergence of public </w:t>
      </w:r>
      <w:r w:rsidRPr="003F53F3">
        <w:rPr>
          <w:rStyle w:val="StyleUnderline"/>
          <w:highlight w:val="cyan"/>
        </w:rPr>
        <w:t>health securitism</w:t>
      </w:r>
      <w:r w:rsidRPr="00601950">
        <w:rPr>
          <w:rStyle w:val="StyleUnderline"/>
        </w:rPr>
        <w:t xml:space="preserve"> has </w:t>
      </w:r>
      <w:r w:rsidRPr="003F53F3">
        <w:rPr>
          <w:rStyle w:val="StyleUnderline"/>
          <w:highlight w:val="cyan"/>
        </w:rPr>
        <w:t xml:space="preserve">produced paradigm </w:t>
      </w:r>
      <w:r w:rsidRPr="003F53F3">
        <w:rPr>
          <w:rStyle w:val="Emphasis"/>
          <w:highlight w:val="cyan"/>
        </w:rPr>
        <w:t>aggregation</w:t>
      </w:r>
      <w:r w:rsidRPr="003F53F3">
        <w:rPr>
          <w:sz w:val="14"/>
          <w:highlight w:val="cyan"/>
        </w:rPr>
        <w:t xml:space="preserve"> </w:t>
      </w:r>
      <w:r w:rsidRPr="003F53F3">
        <w:rPr>
          <w:rStyle w:val="StyleUnderline"/>
          <w:highlight w:val="cyan"/>
        </w:rPr>
        <w:t>rather than a</w:t>
      </w:r>
      <w:r w:rsidRPr="00601950">
        <w:rPr>
          <w:rStyle w:val="StyleUnderline"/>
        </w:rPr>
        <w:t xml:space="preserve"> paradigm </w:t>
      </w:r>
      <w:r w:rsidRPr="003F53F3">
        <w:rPr>
          <w:rStyle w:val="Emphasis"/>
          <w:highlight w:val="cyan"/>
        </w:rPr>
        <w:t>shift</w:t>
      </w:r>
      <w:r w:rsidRPr="00601950">
        <w:rPr>
          <w:rStyle w:val="StyleUnderline"/>
        </w:rPr>
        <w:t xml:space="preserve">. </w:t>
      </w:r>
      <w:r w:rsidRPr="002952DD">
        <w:rPr>
          <w:sz w:val="14"/>
        </w:rPr>
        <w:t xml:space="preserve">Post-securitisation public health governance involves three frameworks that converge to produce the political, economic, and moral context in which public health policy operates. </w:t>
      </w:r>
      <w:r w:rsidRPr="00601950">
        <w:rPr>
          <w:rStyle w:val="StyleUnderline"/>
        </w:rPr>
        <w:t xml:space="preserve">The sea change that public health securitism represents is best viewed in light of security considerations </w:t>
      </w:r>
      <w:r w:rsidRPr="00601950">
        <w:rPr>
          <w:rStyle w:val="Emphasis"/>
        </w:rPr>
        <w:t>entering</w:t>
      </w:r>
      <w:r w:rsidRPr="00601950">
        <w:rPr>
          <w:rStyle w:val="StyleUnderline"/>
        </w:rPr>
        <w:t xml:space="preserve"> into a governance context previously oriented by concerns</w:t>
      </w:r>
      <w:r w:rsidRPr="002952DD">
        <w:rPr>
          <w:sz w:val="14"/>
        </w:rPr>
        <w:t xml:space="preserve"> involving economic considerations </w:t>
      </w:r>
      <w:r w:rsidRPr="00601950">
        <w:rPr>
          <w:rStyle w:val="StyleUnderline"/>
        </w:rPr>
        <w:t>and aspirations grounded in</w:t>
      </w:r>
      <w:r w:rsidRPr="002952DD">
        <w:rPr>
          <w:sz w:val="14"/>
        </w:rPr>
        <w:t xml:space="preserve"> concepts of </w:t>
      </w:r>
      <w:r w:rsidRPr="00601950">
        <w:rPr>
          <w:rStyle w:val="Emphasis"/>
        </w:rPr>
        <w:t>human dignity</w:t>
      </w:r>
      <w:r w:rsidRPr="002952DD">
        <w:rPr>
          <w:sz w:val="14"/>
        </w:rPr>
        <w:t xml:space="preserve">. As historians of international health diplomacy have made clear, international cooperation on public health originated in the concerns of the European great powers with the economic burdens their trade and commerce suffered through the application of disparate, uncoordinated, and often irrational national quarantine systems (Goodman 1971; Howard-Jones 1950. 1975). The threat of the international spread of communicable diseases was thus constructed predominantly as a threat to the economic opportunities that trade and commerce provided states. This template dominated how states approached international health cooperation in the first century of such cooperation. The focus of international health efforts slowly drifted away from national economic self-interest as humanitarian concerns about health in other countries gradually emerged prior to World War II. The establishment of the WHO in 1948 accelerated this trend because the organisation directed most of its energies toward trying to improve public health in developing countries (Pannenborg 1979). Animating this concern with health conditions in poor countries was the vision for health proclaimed in the preamble of the WHO constitution (WHO 1994). The idea that the enjoyment of the highest attainable standard of health was a fundamental human right was central to this vision. The humanitarian and rights-bascd framework taking shape through WHO activities was connected to efforts in development being pushed by developing countries in the aftermath of decolonisation. The Declaration of Alma-Ata in 1978, which launched the Health for All by the Year 2000 initiative, captured the </w:t>
      </w:r>
      <w:r w:rsidRPr="003C04DC">
        <w:rPr>
          <w:sz w:val="14"/>
        </w:rPr>
        <w:t xml:space="preserve">convergence of humanitarianism, the right to health, and the new thinking on development (International Conference on Primary Health Care 1978). The declaration reaffirmed the right to health, asserted that health inequalities between developed and developing countries were unacceptable, and linked health for all to the economic and social development strategies found in the so-called New International Economic Order (NIEO). The emergence of linkages between security and public health since 1995 adds yet another governance template to the economic-based and human dignity based frameworks that prevailed in earlier periods. Some concerns expressed about the securitisation of public health involved fears that security-based attitudes are eclipsing or subordinating the human dignity template that prevailed in international health governance from the WHO's establishment. As explored below, the securitisation process docs create tensions with the human dignity agenda; but this process has not been a zero-sum game among the economic, human dignity, and security templates of public health governance. </w:t>
      </w:r>
      <w:r w:rsidRPr="003C04DC">
        <w:rPr>
          <w:rStyle w:val="StyleUnderline"/>
        </w:rPr>
        <w:t>Without question, security-based arguments have contributed to a new emphasis on the material self-interests of states with respect to public health governance.</w:t>
      </w:r>
      <w:r w:rsidRPr="003C04DC">
        <w:rPr>
          <w:sz w:val="14"/>
        </w:rPr>
        <w:t xml:space="preserve"> These arguments resonate with the original governance template for international health cooperation that reflected the economic concerns of the great powers. The security-related perspectives also help highlight the increasing economic costs that countries face from the globalisation of disease, especially with respect to their export interests. With disease rising as a threat to the state’s material power and wellbeing, states have started to engage public health governance with more intensity. </w:t>
      </w:r>
      <w:r w:rsidRPr="003C04DC">
        <w:rPr>
          <w:rStyle w:val="StyleUnderline"/>
        </w:rPr>
        <w:t xml:space="preserve">Human dignity has </w:t>
      </w:r>
      <w:r w:rsidRPr="003C04DC">
        <w:rPr>
          <w:rStyle w:val="Emphasis"/>
        </w:rPr>
        <w:t>not, however, dropped off the agenda</w:t>
      </w:r>
      <w:r w:rsidRPr="003C04DC">
        <w:rPr>
          <w:rStyle w:val="StyleUnderline"/>
        </w:rPr>
        <w:t xml:space="preserve">. The securitisation process has included security </w:t>
      </w:r>
      <w:r w:rsidRPr="003F53F3">
        <w:rPr>
          <w:rStyle w:val="StyleUnderline"/>
          <w:highlight w:val="cyan"/>
        </w:rPr>
        <w:t>concepts</w:t>
      </w:r>
      <w:r w:rsidRPr="003C04DC">
        <w:rPr>
          <w:rStyle w:val="StyleUnderline"/>
        </w:rPr>
        <w:t xml:space="preserve">, especially human security, that conceive of security </w:t>
      </w:r>
      <w:r w:rsidRPr="003F53F3">
        <w:rPr>
          <w:rStyle w:val="Emphasis"/>
          <w:highlight w:val="cyan"/>
        </w:rPr>
        <w:t>more broad</w:t>
      </w:r>
      <w:r w:rsidRPr="003C04DC">
        <w:rPr>
          <w:rStyle w:val="StyleUnderline"/>
        </w:rPr>
        <w:t xml:space="preserve">ly </w:t>
      </w:r>
      <w:r w:rsidRPr="003F53F3">
        <w:rPr>
          <w:rStyle w:val="StyleUnderline"/>
          <w:highlight w:val="cyan"/>
        </w:rPr>
        <w:t>than</w:t>
      </w:r>
      <w:r w:rsidRPr="00601950">
        <w:rPr>
          <w:rStyle w:val="StyleUnderline"/>
        </w:rPr>
        <w:t xml:space="preserve"> the </w:t>
      </w:r>
      <w:r w:rsidRPr="00601950">
        <w:rPr>
          <w:rStyle w:val="Emphasis"/>
        </w:rPr>
        <w:t xml:space="preserve">traditional narrow emphasis on the </w:t>
      </w:r>
      <w:r w:rsidRPr="00E73C69">
        <w:rPr>
          <w:rStyle w:val="Emphasis"/>
        </w:rPr>
        <w:t xml:space="preserve">material power and </w:t>
      </w:r>
      <w:r w:rsidRPr="003F53F3">
        <w:rPr>
          <w:rStyle w:val="Emphasis"/>
          <w:highlight w:val="cyan"/>
        </w:rPr>
        <w:t>interests of states</w:t>
      </w:r>
      <w:r w:rsidRPr="002952DD">
        <w:rPr>
          <w:sz w:val="14"/>
        </w:rPr>
        <w:t xml:space="preserve">. In addition, </w:t>
      </w:r>
      <w:r w:rsidRPr="00601950">
        <w:rPr>
          <w:rStyle w:val="StyleUnderline"/>
        </w:rPr>
        <w:t xml:space="preserve">one of the dominant themes of the securitisation process has been that international cooperation and the national and global involvement of </w:t>
      </w:r>
      <w:r w:rsidRPr="00601950">
        <w:rPr>
          <w:rStyle w:val="Emphasis"/>
        </w:rPr>
        <w:t>non-state actors</w:t>
      </w:r>
      <w:r w:rsidRPr="00601950">
        <w:rPr>
          <w:rStyle w:val="StyleUnderline"/>
        </w:rPr>
        <w:t xml:space="preserve"> are </w:t>
      </w:r>
      <w:r w:rsidRPr="00601950">
        <w:rPr>
          <w:rStyle w:val="Emphasis"/>
        </w:rPr>
        <w:t>essential</w:t>
      </w:r>
      <w:r w:rsidRPr="00601950">
        <w:rPr>
          <w:rStyle w:val="StyleUnderline"/>
        </w:rPr>
        <w:t xml:space="preserve"> in public health governance to achieve security, whether the concept of security in question is narrow or broad. The commonalities of the strategies </w:t>
      </w:r>
      <w:r w:rsidRPr="003F53F3">
        <w:rPr>
          <w:rStyle w:val="StyleUnderline"/>
          <w:highlight w:val="cyan"/>
        </w:rPr>
        <w:t>required</w:t>
      </w:r>
      <w:r w:rsidRPr="00601950">
        <w:rPr>
          <w:rStyle w:val="StyleUnderline"/>
        </w:rPr>
        <w:t xml:space="preserve"> to engage in successful public health governance in the early 21st century allow the economic, human </w:t>
      </w:r>
      <w:r w:rsidRPr="003F53F3">
        <w:rPr>
          <w:rStyle w:val="StyleUnderline"/>
          <w:highlight w:val="cyan"/>
        </w:rPr>
        <w:t>dignity, and security</w:t>
      </w:r>
      <w:r w:rsidRPr="003C04DC">
        <w:rPr>
          <w:rStyle w:val="StyleUnderline"/>
        </w:rPr>
        <w:t xml:space="preserve"> templates</w:t>
      </w:r>
      <w:r w:rsidRPr="00601950">
        <w:rPr>
          <w:rStyle w:val="StyleUnderline"/>
        </w:rPr>
        <w:t xml:space="preserve"> </w:t>
      </w:r>
      <w:r w:rsidRPr="003F53F3">
        <w:rPr>
          <w:rStyle w:val="StyleUnderline"/>
          <w:highlight w:val="cyan"/>
        </w:rPr>
        <w:t xml:space="preserve">to </w:t>
      </w:r>
      <w:r w:rsidRPr="003F53F3">
        <w:rPr>
          <w:rStyle w:val="Emphasis"/>
          <w:highlight w:val="cyan"/>
        </w:rPr>
        <w:t>coexist</w:t>
      </w:r>
      <w:r w:rsidRPr="003C04DC">
        <w:rPr>
          <w:rStyle w:val="StyleUnderline"/>
        </w:rPr>
        <w:t>, held together by the</w:t>
      </w:r>
      <w:r w:rsidRPr="003C04DC">
        <w:rPr>
          <w:sz w:val="14"/>
        </w:rPr>
        <w:t xml:space="preserve"> epidemiological </w:t>
      </w:r>
      <w:r w:rsidRPr="003C04DC">
        <w:rPr>
          <w:rStyle w:val="StyleUnderline"/>
        </w:rPr>
        <w:t xml:space="preserve">requirements of </w:t>
      </w:r>
      <w:r w:rsidRPr="003C04DC">
        <w:rPr>
          <w:rStyle w:val="Emphasis"/>
        </w:rPr>
        <w:t>addressing diseases effectively</w:t>
      </w:r>
      <w:r w:rsidRPr="003C04DC">
        <w:rPr>
          <w:rStyle w:val="StyleUnderline"/>
        </w:rPr>
        <w:t xml:space="preserve"> in an </w:t>
      </w:r>
      <w:r w:rsidRPr="003C04DC">
        <w:rPr>
          <w:rStyle w:val="Emphasis"/>
        </w:rPr>
        <w:t>intensely globalising environment</w:t>
      </w:r>
      <w:r w:rsidRPr="003C04DC">
        <w:rPr>
          <w:sz w:val="14"/>
        </w:rPr>
        <w:t>. Pathology of Public Health Securitism Understanding that public health securitism has taken public health governance into a post-securitisation phase is important, but it is not sufficient for comprehending the seminal nature of this change in attitudes, strategies, and tactics concerning public health governance. This section provides a pathology of public health securitism, or an exploration of the causes, processes, and consequences of this important development in public health governance.1 This brief examination supports the belief that security-based arguments have utility for public health policy. Causes The rise of public health securitism has many causes. But cutting across these causes is the realisation that the danger presented by diseases to states, peoples, and individuals has increased in the last decades of the 20th century- and early stages of the</w:t>
      </w:r>
      <w:r w:rsidRPr="002952DD">
        <w:rPr>
          <w:sz w:val="14"/>
        </w:rPr>
        <w:t xml:space="preserve"> 21st century. The Oxford English Dictionary defines security as ‘the condition of being protected from or not exposed to danger*. The trend toward using security-based thinking and concepts in a time of increasing disease danger makes sense, at a basic level. The key to understanding the causes of public health securitism involves the scrutiny of the reasons why diseases are more dangerous in the early part of the 21st century than they were in the post-World War II period. Analyses of communicable disease emergence provide insight into the increasing dangers these diseases present. In its well-known report, the U.S. Institute of Medicine's C ommittee on Microbial Threats to Health in the 21st Century identified 13 factors that produce microbial dangers for the U.S. and other countries (see Tabic 4-1) (Smolinski, Hamburg, and Lederberg 2003). Similarly, public health experts argue that dramatic changes in patterns of product consumption, stimulated </w:t>
      </w:r>
      <w:r w:rsidRPr="002952DD">
        <w:t xml:space="preserve">[[TABLE 1 OMITTED]] </w:t>
      </w:r>
      <w:r w:rsidRPr="002952DD">
        <w:rPr>
          <w:sz w:val="14"/>
        </w:rPr>
        <w:t xml:space="preserve">by the </w:t>
      </w:r>
      <w:r w:rsidRPr="003C04DC">
        <w:rPr>
          <w:sz w:val="14"/>
        </w:rPr>
        <w:t xml:space="preserve">globalisation of trade and lifestyle choices, significantly increase risks to health, as evidenced by growing pandemics of chronic diseases related to tobacco use and obesity (Beaglehole and Yach 2003). Increasing risks and dangers from diseases arise in an environment in which public health governance has proved ill equipped to respond. The turn to security-based arguments involves the perception that the human dignity and economic templates that prevailed in earlier historical periods are insufficient bases, on their own, for the kind of robust governance required in the early 21st century. </w:t>
      </w:r>
      <w:r w:rsidRPr="003C04DC">
        <w:rPr>
          <w:rStyle w:val="StyleUnderline"/>
        </w:rPr>
        <w:t xml:space="preserve">With disease dangers rising, the rallying cries of the right to health and Health For All no longer carry the weight they previously did. Framing disease dangers in terms of </w:t>
      </w:r>
      <w:r w:rsidRPr="003F53F3">
        <w:rPr>
          <w:rStyle w:val="Emphasis"/>
          <w:highlight w:val="cyan"/>
        </w:rPr>
        <w:t>security</w:t>
      </w:r>
      <w:r w:rsidRPr="003C04DC">
        <w:rPr>
          <w:rStyle w:val="StyleUnderline"/>
        </w:rPr>
        <w:t xml:space="preserve"> has proven to be </w:t>
      </w:r>
      <w:r w:rsidRPr="003C04DC">
        <w:rPr>
          <w:rStyle w:val="Emphasis"/>
        </w:rPr>
        <w:t>attractive</w:t>
      </w:r>
      <w:r w:rsidRPr="003C04DC">
        <w:rPr>
          <w:rStyle w:val="StyleUnderline"/>
        </w:rPr>
        <w:t xml:space="preserve"> across</w:t>
      </w:r>
      <w:r w:rsidRPr="00601950">
        <w:rPr>
          <w:rStyle w:val="StyleUnderline"/>
        </w:rPr>
        <w:t xml:space="preserve"> political and ideological spectrums as an approach that </w:t>
      </w:r>
      <w:r w:rsidRPr="003F53F3">
        <w:rPr>
          <w:rStyle w:val="StyleUnderline"/>
          <w:highlight w:val="cyan"/>
        </w:rPr>
        <w:t xml:space="preserve">can </w:t>
      </w:r>
      <w:r w:rsidRPr="003F53F3">
        <w:rPr>
          <w:rStyle w:val="Emphasis"/>
          <w:highlight w:val="cyan"/>
        </w:rPr>
        <w:t>motivate states</w:t>
      </w:r>
      <w:r w:rsidRPr="00601950">
        <w:rPr>
          <w:rStyle w:val="Emphasis"/>
        </w:rPr>
        <w:t xml:space="preserve"> and </w:t>
      </w:r>
      <w:r w:rsidRPr="003C04DC">
        <w:rPr>
          <w:rStyle w:val="Emphasis"/>
        </w:rPr>
        <w:t>communities to strengthen national and global public health</w:t>
      </w:r>
      <w:r w:rsidRPr="003C04DC">
        <w:rPr>
          <w:sz w:val="14"/>
        </w:rPr>
        <w:t xml:space="preserve">. Processes In order </w:t>
      </w:r>
      <w:r w:rsidRPr="003C04DC">
        <w:rPr>
          <w:rStyle w:val="StyleUnderline"/>
        </w:rPr>
        <w:t>to understand how the belief that security-related arguments could provide policy traction for public health governance developed as rapidly and strongly it is necessary to look at various processes through which this transformation occurred</w:t>
      </w:r>
      <w:r w:rsidRPr="003C04DC">
        <w:rPr>
          <w:sz w:val="14"/>
        </w:rPr>
        <w:t xml:space="preserve">. </w:t>
      </w:r>
      <w:r w:rsidRPr="003C04DC">
        <w:rPr>
          <w:rStyle w:val="StyleUnderline"/>
        </w:rPr>
        <w:t>These</w:t>
      </w:r>
      <w:r w:rsidRPr="003C04DC">
        <w:rPr>
          <w:sz w:val="14"/>
        </w:rPr>
        <w:t xml:space="preserve"> processes </w:t>
      </w:r>
      <w:r w:rsidRPr="003C04DC">
        <w:rPr>
          <w:rStyle w:val="StyleUnderline"/>
        </w:rPr>
        <w:t xml:space="preserve">can be divided into practical, tactical, and strategic categories. At the practical level, many people concerned about growing disease dangers in a context of weak to non-existent public health capabilities used </w:t>
      </w:r>
      <w:r w:rsidRPr="003C04DC">
        <w:rPr>
          <w:rStyle w:val="Emphasis"/>
        </w:rPr>
        <w:t>every argument available</w:t>
      </w:r>
      <w:r w:rsidRPr="003C04DC">
        <w:rPr>
          <w:rStyle w:val="StyleUnderline"/>
        </w:rPr>
        <w:t xml:space="preserve"> to raise policy attention about this governance challenge. Thus, security-based arguments were </w:t>
      </w:r>
      <w:r w:rsidRPr="003F53F3">
        <w:rPr>
          <w:rStyle w:val="Emphasis"/>
          <w:highlight w:val="cyan"/>
        </w:rPr>
        <w:t>intermingled</w:t>
      </w:r>
      <w:r w:rsidRPr="003F53F3">
        <w:rPr>
          <w:sz w:val="14"/>
          <w:highlight w:val="cyan"/>
        </w:rPr>
        <w:t xml:space="preserve"> </w:t>
      </w:r>
      <w:r w:rsidRPr="003F53F3">
        <w:rPr>
          <w:rStyle w:val="StyleUnderline"/>
          <w:highlight w:val="cyan"/>
        </w:rPr>
        <w:t>with</w:t>
      </w:r>
      <w:r w:rsidRPr="003C04DC">
        <w:rPr>
          <w:sz w:val="14"/>
        </w:rPr>
        <w:t xml:space="preserve"> economic</w:t>
      </w:r>
      <w:r w:rsidRPr="002952DD">
        <w:rPr>
          <w:sz w:val="14"/>
        </w:rPr>
        <w:t xml:space="preserve"> rationales and appeals to </w:t>
      </w:r>
      <w:r w:rsidRPr="003F53F3">
        <w:rPr>
          <w:rStyle w:val="Emphasis"/>
          <w:highlight w:val="cyan"/>
        </w:rPr>
        <w:t>humanitarian</w:t>
      </w:r>
      <w:r w:rsidRPr="003F53F3">
        <w:rPr>
          <w:sz w:val="14"/>
          <w:highlight w:val="cyan"/>
        </w:rPr>
        <w:t xml:space="preserve"> </w:t>
      </w:r>
      <w:r w:rsidRPr="003F53F3">
        <w:rPr>
          <w:rStyle w:val="StyleUnderline"/>
          <w:highlight w:val="cyan"/>
        </w:rPr>
        <w:t xml:space="preserve">impulses in a </w:t>
      </w:r>
      <w:r w:rsidRPr="003F53F3">
        <w:rPr>
          <w:rStyle w:val="Emphasis"/>
          <w:highlight w:val="cyan"/>
        </w:rPr>
        <w:t>melange</w:t>
      </w:r>
      <w:r w:rsidRPr="003F53F3">
        <w:rPr>
          <w:rStyle w:val="StyleUnderline"/>
          <w:highlight w:val="cyan"/>
        </w:rPr>
        <w:t xml:space="preserve"> that</w:t>
      </w:r>
      <w:r w:rsidRPr="00601950">
        <w:rPr>
          <w:rStyle w:val="StyleUnderline"/>
        </w:rPr>
        <w:t xml:space="preserve"> reflected a </w:t>
      </w:r>
      <w:r w:rsidRPr="003F53F3">
        <w:rPr>
          <w:rStyle w:val="Emphasis"/>
          <w:highlight w:val="cyan"/>
        </w:rPr>
        <w:t>call for</w:t>
      </w:r>
      <w:r w:rsidRPr="00601950">
        <w:rPr>
          <w:rStyle w:val="Emphasis"/>
        </w:rPr>
        <w:t xml:space="preserve"> urgent </w:t>
      </w:r>
      <w:r w:rsidRPr="00B84F98">
        <w:rPr>
          <w:rStyle w:val="Emphasis"/>
          <w:highlight w:val="cyan"/>
        </w:rPr>
        <w:t>action</w:t>
      </w:r>
      <w:r w:rsidRPr="00B84F98">
        <w:rPr>
          <w:rStyle w:val="StyleUnderline"/>
          <w:highlight w:val="cyan"/>
        </w:rPr>
        <w:t xml:space="preserve"> rather </w:t>
      </w:r>
      <w:r w:rsidRPr="003F53F3">
        <w:rPr>
          <w:rStyle w:val="StyleUnderline"/>
          <w:highlight w:val="cyan"/>
        </w:rPr>
        <w:t>than</w:t>
      </w:r>
      <w:r w:rsidRPr="00601950">
        <w:rPr>
          <w:rStyle w:val="StyleUnderline"/>
        </w:rPr>
        <w:t xml:space="preserve"> a desire for </w:t>
      </w:r>
      <w:r w:rsidRPr="003F53F3">
        <w:rPr>
          <w:rStyle w:val="Emphasis"/>
          <w:highlight w:val="cyan"/>
        </w:rPr>
        <w:t>theoretical coherency</w:t>
      </w:r>
      <w:r w:rsidRPr="002952DD">
        <w:rPr>
          <w:sz w:val="14"/>
        </w:rPr>
        <w:t xml:space="preserve">. </w:t>
      </w:r>
      <w:r w:rsidRPr="002952DD">
        <w:rPr>
          <w:rStyle w:val="StyleUnderline"/>
        </w:rPr>
        <w:t>At the tactical level</w:t>
      </w:r>
      <w:r w:rsidRPr="002952DD">
        <w:rPr>
          <w:sz w:val="14"/>
        </w:rPr>
        <w:t xml:space="preserve">, there have been modifications made to accommodate public health concerns in traditional security concepts and practices. </w:t>
      </w:r>
      <w:r w:rsidRPr="002952DD">
        <w:rPr>
          <w:rStyle w:val="StyleUnderline"/>
        </w:rPr>
        <w:t xml:space="preserve">Thinking on U.S. national security attempted to </w:t>
      </w:r>
      <w:r w:rsidRPr="002952DD">
        <w:rPr>
          <w:rStyle w:val="Emphasis"/>
        </w:rPr>
        <w:t>graft public health into its priorities</w:t>
      </w:r>
      <w:r w:rsidRPr="002952DD">
        <w:rPr>
          <w:sz w:val="14"/>
        </w:rPr>
        <w:t xml:space="preserve">. This grafting process involved two aspects. First, the traditional Cold War definition of national security as security against the military power and potential military- violence from other states began to look anachronistic when the U.S. felt threatened by potential violence from non-state actors, notably terrorists. Although national security was still defined in terms of threats of exogenous violence, the range of potential actors that could pose a security threat expanded in light of the terrorist threat. Part of that terrorist threat involved the possible use of bioweapons against the U.S., a threat that came to pass with the anthrax attacks of October 2001. This threat against the U.S. meant that the quality of public health systems in the U.S. and in other countries grew in national security importance. Second, the post-Cold War period also encouraged policy makers and policy thinkers to question the narrow perspective on U.S. national security that prevailed during the long conflict with the Soviet Union. This questioning involved experts analysing whether U.S. national security policy should consider transnational phenomena, such as environmental degradation and communicable diseases, as threats to the material power, interests, and well-being of the United States. Part of ihis approach posited whether naturally occurring communicable diseases could directly cause such material damage to the U.S. as to be a threat akin to a violent attack. Another facet of this outlook focussed on how transnational phenomena might present indirect national security problems for the United States. Could, for example, environmental degradation or communicable diseases contribute to the violent destabilisation of important countries or regions and thus damage U.S. interests and power overseas? At the strategic level, </w:t>
      </w:r>
      <w:r w:rsidRPr="002952DD">
        <w:rPr>
          <w:rStyle w:val="StyleUnderline"/>
        </w:rPr>
        <w:t xml:space="preserve">the process involved fundamentally rethinking the </w:t>
      </w:r>
      <w:r w:rsidRPr="002952DD">
        <w:rPr>
          <w:rStyle w:val="Emphasis"/>
        </w:rPr>
        <w:t>concept</w:t>
      </w:r>
      <w:r w:rsidRPr="002952DD">
        <w:rPr>
          <w:rStyle w:val="StyleUnderline"/>
        </w:rPr>
        <w:t xml:space="preserve"> of security</w:t>
      </w:r>
      <w:r w:rsidRPr="002952DD">
        <w:rPr>
          <w:sz w:val="14"/>
        </w:rPr>
        <w:t xml:space="preserve">. Here, </w:t>
      </w:r>
      <w:r w:rsidRPr="002952DD">
        <w:rPr>
          <w:rStyle w:val="StyleUnderline"/>
        </w:rPr>
        <w:t xml:space="preserve">the rapid development of </w:t>
      </w:r>
      <w:r w:rsidRPr="002952DD">
        <w:rPr>
          <w:rStyle w:val="Emphasis"/>
        </w:rPr>
        <w:t>human security</w:t>
      </w:r>
      <w:r w:rsidRPr="002952DD">
        <w:rPr>
          <w:rStyle w:val="StyleUnderline"/>
        </w:rPr>
        <w:t xml:space="preserve"> as a rival to the traditional, state-centric perspectives on security is the most important innovation</w:t>
      </w:r>
      <w:r w:rsidRPr="002952DD">
        <w:rPr>
          <w:sz w:val="14"/>
        </w:rPr>
        <w:t xml:space="preserve">. </w:t>
      </w:r>
      <w:r w:rsidRPr="002952DD">
        <w:rPr>
          <w:rStyle w:val="StyleUnderline"/>
        </w:rPr>
        <w:t xml:space="preserve">Human security's focus on the individual as the core subject of security policy opened </w:t>
      </w:r>
      <w:r w:rsidRPr="002952DD">
        <w:rPr>
          <w:rStyle w:val="Emphasis"/>
        </w:rPr>
        <w:t>more space</w:t>
      </w:r>
      <w:r w:rsidRPr="002952DD">
        <w:rPr>
          <w:rStyle w:val="StyleUnderline"/>
        </w:rPr>
        <w:t xml:space="preserve"> in security thinking for </w:t>
      </w:r>
      <w:r w:rsidRPr="002952DD">
        <w:rPr>
          <w:rStyle w:val="Emphasis"/>
        </w:rPr>
        <w:t>public health issues</w:t>
      </w:r>
      <w:r w:rsidRPr="002952DD">
        <w:rPr>
          <w:sz w:val="14"/>
        </w:rPr>
        <w:t xml:space="preserve">. The tactical process described above allowed public health to have some national security significance, but the centre of policy attention remained the security of the nation-state in terms of its material power. Human security challenged the assumptions of the traditional national security template and thus created greater possibilities for states and the international community to consider public health more seriously as a security issue. </w:t>
      </w:r>
      <w:r w:rsidRPr="002952DD">
        <w:rPr>
          <w:rStyle w:val="StyleUnderline"/>
        </w:rPr>
        <w:t xml:space="preserve">These practical, tactical, and strategic processes do not mesh into each other to produce a </w:t>
      </w:r>
      <w:r w:rsidRPr="002952DD">
        <w:rPr>
          <w:rStyle w:val="Emphasis"/>
        </w:rPr>
        <w:t>harmonised process</w:t>
      </w:r>
      <w:r w:rsidRPr="002952DD">
        <w:rPr>
          <w:rStyle w:val="StyleUnderline"/>
        </w:rPr>
        <w:t xml:space="preserve"> that generated public health securitism</w:t>
      </w:r>
      <w:r w:rsidRPr="002952DD">
        <w:rPr>
          <w:sz w:val="14"/>
        </w:rPr>
        <w:t xml:space="preserve">. Each individually contributed to the politics that has gradually led to public health securitism’s emergence. The messiness of the processes is one reason why public health governance faces some unfinished business in its post-securitisation phase. Consequences The last element of the pathology of public health securitism concerns its consequences. One consequence has already been highlighted — the aggregation of templates informing public health governance. This aggregation is not without competition and friction. The increased dangers that diseases present have reconnected the security and economic self-interests of states with public health governance. This reality has created tension with the governance template focussed on human dignity, with its concerns about the right to health and equitable social and economic development. At one level, these tensions merely indicate that public health governance is returning to normality in </w:t>
      </w:r>
      <w:r w:rsidRPr="001E7BDA">
        <w:rPr>
          <w:sz w:val="14"/>
        </w:rPr>
        <w:t xml:space="preserve">international relations. Most issues involving international politics and foreign policy experience friction between interest-based approaches and value-based approaches. Public health governance after World War II witnessed the withering of great power interest in international disease control and prevention largely because these states enjoyed steadily improving national public health outcomes. International health activities devolved to the ‘low politics' of ‘mere humanitarian ism’ in international relations, allowing the human dignity template to appear dominant in the ethos of international health cooperation. The securitisation of public health has made what appeared to be a fundamental transformation look more like a transitory mirage. The consequences of the securitisation of public health are not. however, exclusively about the potential fragmentation of public health governance into a rivalry between interests and values. </w:t>
      </w:r>
      <w:r w:rsidRPr="001E7BDA">
        <w:rPr>
          <w:rStyle w:val="StyleUnderline"/>
        </w:rPr>
        <w:t xml:space="preserve">The epidemiological requirements of addressing mounting disease dangers </w:t>
      </w:r>
      <w:r w:rsidRPr="001E7BDA">
        <w:rPr>
          <w:rStyle w:val="Emphasis"/>
        </w:rPr>
        <w:t>do not change</w:t>
      </w:r>
      <w:r w:rsidRPr="001E7BDA">
        <w:rPr>
          <w:sz w:val="14"/>
        </w:rPr>
        <w:t xml:space="preserve"> </w:t>
      </w:r>
      <w:r w:rsidRPr="001E7BDA">
        <w:rPr>
          <w:rStyle w:val="StyleUnderline"/>
        </w:rPr>
        <w:t>according</w:t>
      </w:r>
      <w:r w:rsidRPr="003C04DC">
        <w:rPr>
          <w:rStyle w:val="StyleUnderline"/>
        </w:rPr>
        <w:t xml:space="preserve"> to whether an </w:t>
      </w:r>
      <w:r w:rsidRPr="003C04DC">
        <w:rPr>
          <w:rStyle w:val="Emphasis"/>
        </w:rPr>
        <w:t>interest-based approach or a value-based perspective dominates.</w:t>
      </w:r>
      <w:r w:rsidRPr="003C04DC">
        <w:rPr>
          <w:sz w:val="14"/>
        </w:rPr>
        <w:t xml:space="preserve"> </w:t>
      </w:r>
      <w:r w:rsidRPr="003C04DC">
        <w:rPr>
          <w:rStyle w:val="Emphasis"/>
        </w:rPr>
        <w:t>Surveillance</w:t>
      </w:r>
      <w:r w:rsidRPr="003C04DC">
        <w:rPr>
          <w:sz w:val="14"/>
        </w:rPr>
        <w:t xml:space="preserve"> </w:t>
      </w:r>
      <w:r w:rsidRPr="003C04DC">
        <w:rPr>
          <w:rStyle w:val="StyleUnderline"/>
        </w:rPr>
        <w:t>remains</w:t>
      </w:r>
      <w:r w:rsidRPr="003C04DC">
        <w:rPr>
          <w:sz w:val="14"/>
        </w:rPr>
        <w:t xml:space="preserve"> </w:t>
      </w:r>
      <w:r w:rsidRPr="003C04DC">
        <w:rPr>
          <w:rStyle w:val="Emphasis"/>
        </w:rPr>
        <w:t>critical</w:t>
      </w:r>
      <w:r w:rsidRPr="003C04DC">
        <w:rPr>
          <w:sz w:val="14"/>
        </w:rPr>
        <w:t xml:space="preserve"> </w:t>
      </w:r>
      <w:r w:rsidRPr="003C04DC">
        <w:rPr>
          <w:rStyle w:val="StyleUnderline"/>
        </w:rPr>
        <w:t xml:space="preserve">under the framework of either </w:t>
      </w:r>
      <w:r w:rsidRPr="003F53F3">
        <w:rPr>
          <w:rStyle w:val="StyleUnderline"/>
          <w:highlight w:val="cyan"/>
        </w:rPr>
        <w:t>public health</w:t>
      </w:r>
      <w:r w:rsidRPr="003C04DC">
        <w:rPr>
          <w:rStyle w:val="StyleUnderline"/>
        </w:rPr>
        <w:t xml:space="preserve"> securitism or human dignity. </w:t>
      </w:r>
      <w:r w:rsidRPr="003C04DC">
        <w:rPr>
          <w:rStyle w:val="Emphasis"/>
        </w:rPr>
        <w:t>Vaccines</w:t>
      </w:r>
      <w:r w:rsidRPr="003C04DC">
        <w:rPr>
          <w:rStyle w:val="StyleUnderline"/>
        </w:rPr>
        <w:t xml:space="preserve"> and </w:t>
      </w:r>
      <w:r w:rsidRPr="003C04DC">
        <w:rPr>
          <w:rStyle w:val="Emphasis"/>
        </w:rPr>
        <w:t>antibiotics</w:t>
      </w:r>
      <w:r w:rsidRPr="003C04DC">
        <w:rPr>
          <w:rStyle w:val="StyleUnderline"/>
        </w:rPr>
        <w:t xml:space="preserve"> </w:t>
      </w:r>
      <w:r w:rsidRPr="003F53F3">
        <w:rPr>
          <w:rStyle w:val="StyleUnderline"/>
          <w:highlight w:val="cyan"/>
        </w:rPr>
        <w:t>do not change</w:t>
      </w:r>
      <w:r w:rsidRPr="003C04DC">
        <w:rPr>
          <w:rStyle w:val="StyleUnderline"/>
        </w:rPr>
        <w:t xml:space="preserve"> their </w:t>
      </w:r>
      <w:r w:rsidRPr="003F53F3">
        <w:rPr>
          <w:rStyle w:val="StyleUnderline"/>
          <w:highlight w:val="cyan"/>
        </w:rPr>
        <w:t xml:space="preserve">physiological effects </w:t>
      </w:r>
      <w:r w:rsidRPr="003F53F3">
        <w:rPr>
          <w:rStyle w:val="Emphasis"/>
          <w:highlight w:val="cyan"/>
        </w:rPr>
        <w:t>depending on</w:t>
      </w:r>
      <w:r w:rsidRPr="003C04DC">
        <w:rPr>
          <w:rStyle w:val="Emphasis"/>
        </w:rPr>
        <w:t xml:space="preserve"> whether </w:t>
      </w:r>
      <w:r w:rsidRPr="003F53F3">
        <w:rPr>
          <w:rStyle w:val="Emphasis"/>
          <w:highlight w:val="cyan"/>
        </w:rPr>
        <w:t>the impetus behind</w:t>
      </w:r>
      <w:r w:rsidRPr="001E7BDA">
        <w:rPr>
          <w:rStyle w:val="Emphasis"/>
        </w:rPr>
        <w:t xml:space="preserve"> their </w:t>
      </w:r>
      <w:r w:rsidRPr="003F53F3">
        <w:rPr>
          <w:rStyle w:val="Emphasis"/>
          <w:highlight w:val="cyan"/>
        </w:rPr>
        <w:t>use</w:t>
      </w:r>
      <w:r w:rsidRPr="003C04DC">
        <w:rPr>
          <w:rStyle w:val="Emphasis"/>
        </w:rPr>
        <w:t xml:space="preserve"> is</w:t>
      </w:r>
      <w:r w:rsidRPr="003C04DC">
        <w:rPr>
          <w:rStyle w:val="StyleUnderline"/>
        </w:rPr>
        <w:t xml:space="preserve"> based on security or rights. </w:t>
      </w:r>
      <w:r w:rsidRPr="005E531F">
        <w:rPr>
          <w:rStyle w:val="StyleUnderline"/>
        </w:rPr>
        <w:t>Thus</w:t>
      </w:r>
      <w:r w:rsidRPr="003C04DC">
        <w:rPr>
          <w:rStyle w:val="StyleUnderline"/>
        </w:rPr>
        <w:t xml:space="preserve"> the nature </w:t>
      </w:r>
      <w:r w:rsidRPr="001E7BDA">
        <w:rPr>
          <w:rStyle w:val="StyleUnderline"/>
        </w:rPr>
        <w:t xml:space="preserve">of public health </w:t>
      </w:r>
      <w:r w:rsidRPr="003F53F3">
        <w:rPr>
          <w:rStyle w:val="StyleUnderline"/>
          <w:highlight w:val="cyan"/>
        </w:rPr>
        <w:t>governance allows</w:t>
      </w:r>
      <w:r w:rsidRPr="002952DD">
        <w:rPr>
          <w:rStyle w:val="StyleUnderline"/>
        </w:rPr>
        <w:t xml:space="preserve"> a degree of </w:t>
      </w:r>
      <w:r w:rsidRPr="003F53F3">
        <w:rPr>
          <w:rStyle w:val="Emphasis"/>
          <w:highlight w:val="cyan"/>
        </w:rPr>
        <w:t>convergence</w:t>
      </w:r>
      <w:r w:rsidRPr="002952DD">
        <w:rPr>
          <w:rStyle w:val="StyleUnderline"/>
        </w:rPr>
        <w:t xml:space="preserve"> between interest-centric and value-centric perspectives on solutions to disease dangers</w:t>
      </w:r>
      <w:r w:rsidRPr="002952DD">
        <w:rPr>
          <w:sz w:val="14"/>
        </w:rPr>
        <w:t xml:space="preserve">. This convergence of interests and values forces both sides of the debate to think about public health security in depth. </w:t>
      </w:r>
      <w:r w:rsidRPr="002952DD">
        <w:rPr>
          <w:rStyle w:val="StyleUnderline"/>
        </w:rPr>
        <w:t>Thinking of disease threats as security dangers requires understanding</w:t>
      </w:r>
      <w:r w:rsidRPr="002952DD">
        <w:rPr>
          <w:sz w:val="14"/>
        </w:rPr>
        <w:t xml:space="preserve"> not only </w:t>
      </w:r>
      <w:r w:rsidRPr="002952DD">
        <w:rPr>
          <w:rStyle w:val="Emphasis"/>
        </w:rPr>
        <w:t>disease-specific epidemiology</w:t>
      </w:r>
      <w:r w:rsidRPr="002952DD">
        <w:rPr>
          <w:sz w:val="14"/>
        </w:rPr>
        <w:t xml:space="preserve"> but also the broader determinants of disease dangers. Public health securitism does not, by definition, imply that concern with the social determinants of health is jettisoned because security becomes an organising policy framework. Seeing diseases as security dangers actually forces interest-based approaches to appreciate the depth of the policy needs required to address disease dangers. Where public health securitism has its greatest consequences for public health governance is in the area of priority setting. The attractiveness of security-related arguments Hows from the priority policy attention that security threats arc perceived to receive. The process of securitisation was a proccss of prioritisation in public health governance. This dynamic helps explain why virtually everybody has jumped on the security bandwagon since 1995. Like the various processes that produced public health securitism, the bandwagoning did not represent a coherent sorting out of priorities but rather a pluralistic endeavour that privileged security arguments without producing policy coherency on prioritisation. Л theme in the untidy bandwagoning process concerns priority setting between communicable and non-communicable diseases. </w:t>
      </w:r>
      <w:r w:rsidRPr="003F53F3">
        <w:rPr>
          <w:rStyle w:val="StyleUnderline"/>
          <w:highlight w:val="cyan"/>
        </w:rPr>
        <w:t>Security</w:t>
      </w:r>
      <w:r w:rsidRPr="002952DD">
        <w:rPr>
          <w:rStyle w:val="StyleUnderline"/>
        </w:rPr>
        <w:t xml:space="preserve">-based </w:t>
      </w:r>
      <w:r w:rsidRPr="003F53F3">
        <w:rPr>
          <w:rStyle w:val="StyleUnderline"/>
          <w:highlight w:val="cyan"/>
        </w:rPr>
        <w:t>arguments</w:t>
      </w:r>
      <w:r w:rsidRPr="002952DD">
        <w:rPr>
          <w:rStyle w:val="StyleUnderline"/>
        </w:rPr>
        <w:t xml:space="preserve"> tend to </w:t>
      </w:r>
      <w:r w:rsidRPr="003F53F3">
        <w:rPr>
          <w:rStyle w:val="StyleUnderline"/>
          <w:highlight w:val="cyan"/>
        </w:rPr>
        <w:t xml:space="preserve">cluster around </w:t>
      </w:r>
      <w:r w:rsidRPr="003F53F3">
        <w:rPr>
          <w:rStyle w:val="Emphasis"/>
          <w:highlight w:val="cyan"/>
        </w:rPr>
        <w:t>communicable</w:t>
      </w:r>
      <w:r w:rsidRPr="003F53F3">
        <w:rPr>
          <w:rStyle w:val="StyleUnderline"/>
          <w:highlight w:val="cyan"/>
        </w:rPr>
        <w:t xml:space="preserve"> diseases</w:t>
      </w:r>
      <w:r w:rsidRPr="002952DD">
        <w:rPr>
          <w:rStyle w:val="StyleUnderline"/>
        </w:rPr>
        <w:t xml:space="preserve">. National security concerns </w:t>
      </w:r>
      <w:r w:rsidRPr="001E7BDA">
        <w:rPr>
          <w:rStyle w:val="StyleUnderline"/>
        </w:rPr>
        <w:t xml:space="preserve">identified </w:t>
      </w:r>
      <w:r w:rsidRPr="001E7BDA">
        <w:rPr>
          <w:rStyle w:val="Emphasis"/>
        </w:rPr>
        <w:t>bioweapons</w:t>
      </w:r>
      <w:r w:rsidRPr="001E7BDA">
        <w:rPr>
          <w:sz w:val="14"/>
        </w:rPr>
        <w:t xml:space="preserve"> </w:t>
      </w:r>
      <w:r w:rsidRPr="001E7BDA">
        <w:rPr>
          <w:rStyle w:val="StyleUnderline"/>
        </w:rPr>
        <w:t>as the threat</w:t>
      </w:r>
      <w:r w:rsidRPr="001E7BDA">
        <w:rPr>
          <w:sz w:val="14"/>
        </w:rPr>
        <w:t>, especially those that might use contagious pathogens. The international security discourse has also centred on communicable diseases, as illustrated by the UNSC's work on HIV/AIDS. Initiatives informed by the concept of human security have gravitated toward communicable disease dangers, as evidenced by the focus on communicable disease problems in the Millennium Development Goals (MDGs) (WHO 2006a). Public health securitism need not be restricted to communicable</w:t>
      </w:r>
      <w:r w:rsidRPr="002952DD">
        <w:rPr>
          <w:sz w:val="14"/>
        </w:rPr>
        <w:t xml:space="preserve"> disease problems. Rather, </w:t>
      </w:r>
      <w:r w:rsidRPr="002952DD">
        <w:rPr>
          <w:rStyle w:val="StyleUnderline"/>
        </w:rPr>
        <w:t xml:space="preserve">the securitisation of public health governance </w:t>
      </w:r>
      <w:r w:rsidRPr="003C04DC">
        <w:rPr>
          <w:rStyle w:val="StyleUnderline"/>
        </w:rPr>
        <w:t xml:space="preserve">makes it more </w:t>
      </w:r>
      <w:r w:rsidRPr="003C04DC">
        <w:rPr>
          <w:rStyle w:val="Emphasis"/>
        </w:rPr>
        <w:t>difficult to elevate</w:t>
      </w:r>
      <w:r w:rsidRPr="003C04DC">
        <w:rPr>
          <w:rStyle w:val="StyleUnderline"/>
        </w:rPr>
        <w:t xml:space="preserve"> many </w:t>
      </w:r>
      <w:r w:rsidRPr="00BB5469">
        <w:rPr>
          <w:rStyle w:val="Emphasis"/>
          <w:highlight w:val="cyan"/>
        </w:rPr>
        <w:t>non-communicable disease</w:t>
      </w:r>
      <w:r w:rsidRPr="003C04DC">
        <w:rPr>
          <w:rStyle w:val="StyleUnderline"/>
        </w:rPr>
        <w:t xml:space="preserve"> problems. The nature of some of the leading problems, such as </w:t>
      </w:r>
      <w:r w:rsidRPr="00BB5469">
        <w:rPr>
          <w:rStyle w:val="StyleUnderline"/>
        </w:rPr>
        <w:t>tobacco-related diseases</w:t>
      </w:r>
      <w:r w:rsidRPr="003C04DC">
        <w:rPr>
          <w:sz w:val="14"/>
        </w:rPr>
        <w:t xml:space="preserve"> and obesity, </w:t>
      </w:r>
      <w:r w:rsidRPr="005E531F">
        <w:rPr>
          <w:rStyle w:val="Emphasis"/>
          <w:highlight w:val="cyan"/>
        </w:rPr>
        <w:t>make</w:t>
      </w:r>
      <w:r w:rsidRPr="005E531F">
        <w:rPr>
          <w:rStyle w:val="Emphasis"/>
        </w:rPr>
        <w:t xml:space="preserve">s the effort to use </w:t>
      </w:r>
      <w:r w:rsidRPr="005E531F">
        <w:rPr>
          <w:rStyle w:val="Emphasis"/>
          <w:highlight w:val="cyan"/>
        </w:rPr>
        <w:t>security</w:t>
      </w:r>
      <w:r w:rsidRPr="005E531F">
        <w:rPr>
          <w:rStyle w:val="Emphasis"/>
        </w:rPr>
        <w:t xml:space="preserve">-based arguments more </w:t>
      </w:r>
      <w:r w:rsidRPr="005E531F">
        <w:rPr>
          <w:rStyle w:val="Emphasis"/>
          <w:highlight w:val="cyan"/>
        </w:rPr>
        <w:t>difficult</w:t>
      </w:r>
      <w:r w:rsidRPr="003C04DC">
        <w:rPr>
          <w:rStyle w:val="StyleUnderline"/>
        </w:rPr>
        <w:t xml:space="preserve"> both in a </w:t>
      </w:r>
      <w:r w:rsidRPr="003C04DC">
        <w:rPr>
          <w:rStyle w:val="Emphasis"/>
        </w:rPr>
        <w:t>conceptual</w:t>
      </w:r>
      <w:r w:rsidRPr="003C04DC">
        <w:rPr>
          <w:rStyle w:val="StyleUnderline"/>
        </w:rPr>
        <w:t xml:space="preserve"> sense and in terms of </w:t>
      </w:r>
      <w:r w:rsidRPr="003C04DC">
        <w:rPr>
          <w:rStyle w:val="Emphasis"/>
        </w:rPr>
        <w:t>common sense</w:t>
      </w:r>
      <w:r w:rsidRPr="003C04DC">
        <w:rPr>
          <w:sz w:val="10"/>
        </w:rPr>
        <w:t>. A similar difficulty arises with respect to tobacco-related and obesity-related diseases and the human rights framework because the spread of such non-communicable diseases requires, in most cases, voluntary participation in behaviour that is bad for one’s own immediate health and the health of others. The difficulties experienced within the security and human rights frameworks perhaps explain the efforts made to cast non-communicable diseases as material burdens on the economic interests of countries and corporations. I'nfinished Business: Toward Greater Analytical Rigour in the Relationship between Security and Public Health Thus the dawn of the post-securitisation phase for public health governance does not mean that public health securitism has produced a clear and coherent consensus on the relationship between security and public health. Public health securitism has proved to be a powerful but promiscuous idea that will not disappear any time soon from the landscape of public health governance. The</w:t>
      </w:r>
      <w:r w:rsidRPr="002952DD">
        <w:rPr>
          <w:sz w:val="10"/>
        </w:rPr>
        <w:t xml:space="preserve"> pathology of public health securitism points to some unfinished business, especially with respect to bringing more analytical clarity to the identification of security problems within public health governance. There are four different ways to bring order to the process of identifying what public health problems pose security threats. Each of these frameworks shares the common goal of providing parameters for deciding what public health concerns should be labelled security threats and given the policy priority such threats require. These four contribute to more rigorous analysis of the security-public health relationship. Вioweapons Framework Traditional notions of security have been based on the violence paradigm — the threat of exogenous violence against the state, its military power, or its people (Princeton Project on National Security 2005). The violence paradigm continues to have significant power because I) threats of violence clearly fall within any definition of security and 2) states have to remain vigilant against potential violent threats. The bioweapons framework maintains that securitisation of public health should only involve public health’s relationship to the identification of, and responses to, bioweapons threats. This approach produces a very narrow perspective because it rejects treating, for example, naturally occurring communicable diseases as security concerns. The legitimacy of the bioweapons framework depends on the appropriateness of relying on the violence paradigm as the exclusive basis for thinking about security nationally or internationally. This framework is parsimonious and provides clear direction in terms of how public health governance should be securitised. Although some actions taken to improve security against biowcapons violence have general public health benefits (such as surveillance), these positive externalities for public health governance are not the intended security objective. The bioweapons framework is unlikely to carry the day in the post-securitisation phase of public health governance. It recommends a drastic retrenchment in public health sccuritism that essentially throws every other perspective on security off the securitisation bandwagon. More fundamentally, this perspective rejects the broader thrust of the securitisation of public health governance — that disease dangers of multiple varieties have emerged that threaten individuals, populations, the state, and the international community. The ‘back to the future' approach counselled by the bioweapons framework does not respond to the globalisation of disease threats that public health governance must address. Communicable Disease Framew ork A second approach involves limiting securitisation to communicable diseases. As noted earlier, the securitisation of public health governance has gravitated toward communicable diseases as the most prominent dangers to public health in the early 21st century. Limiting public health securitism to communicable diseases would also provide a bright-line rule for distinguishing what public health problems should be accorded security status. With such a limitation in place, securitising public health could focus on what communicable diseases are sufficiently dangerous to warrant heightened governance attention. Unlike the bioweapons framework, the communicable disease approach does not exclude looking at communicable disease problems through security perspectives that arc broader than the violence paradigm. The communicable disease framework may, however, be under-inclusive in terms of disease threats and over-inclusive in terms of concepts of security. The choice to exclude all non-communicable disease threats from public health securitisation neglects the acute dangers that can be posed by some such diseases. International legal regimes in trade and environmental protection have long recognised that pollutants and contaminants can pose extraordinary dangers to public health and should be prevented, protected against, and, if necessary, controlled. For example, states have used international law to address transboundary pollution generally and transboundary pollution caused by industrial or nuclear accidents specifically (Bimie and Boyle 2002). To leave these types of situations outside an understanding of public health's relationship with security appears arbitrary in light of all the diplomatic activity and international law devoted to dangerous non-communicable disease threats. In terms of concepts of security, the communicable disease framework might be over-inclusive because the framework docs not contain any parameters for determining which communicable disease problems deserve security status and which do not. Not all communicable diseases should be considered security threats. Some methodology is required for determining when a communicable disease becomes a security threat. The communicable disease framework does not provide this methodology. Without such a methodology, the concept of security could bccomc little more than a rhetorical device used to bring more policy attention to a wide variety of communicable diseases. Decision Tree Frameworks A more sophisticated approach to bringing some conceptual order to the relationship between security and public health has appeared in decision tree frameworks. These break the question of a public health issue as a security threat into a series of factors that lead analysis to specific conclusions. Decision tree frameworks have appeared in the scholarship of Henry Feldbaum and Kelley Lee (2004) and of Colin Mclnnes (2004), as well as in the approach used by the WHO (2005) in the new International Health Regulations (IHR[2005J) adopted in May 2005. The work of Feldbaum and Lee and of Mclnnes focusses on the need to improve analytical approaches to deciding what health problems are global health security issues. Figure 4-1 provides the beldbaum-Lee decision tree, and Figure 4-2 provides the Mclnnes decision tree. Both construct a way to determine whether a health issue is a risk to the individual national security threat or is a global health security issue. The decision trees allow their analytical frameworks to be applied to bioweapons, communicable diseases, or non-communicable diseases. Unlike the communicable disease framework, the decision trees include a methodology for deciding whether a given problem is a security threat and what type of security threat it represents. In the IHR(2005). a decision instrument guides states parties in determining what disease events may constitute a ‘public health emergency of international concern* for the purposes of notifying the WHO (sec Figure 4-3). Public health emergencies of international concern arc not defined in the 1HR(2005) as security threats, but the concept of a public health emergency of international concern is not far removed from identifying dangerous disease events as security problems. According to the WHO, for example, the IIIR(2005) is a core component of its strategy to improve global health security (Fidler 2005). Like the academic decision trees, the IHR(2005) decision instrument applies to communicable and non-communicable disease events (whether intentionally caused, accidental, or naturally occurring) and thus avoids the under-inclusiveness of the bioweapons and communicable disease frameworks. These decision tree approaches share the common elements of identifying acute health risks that cause, or have the potential to cause, high levels of morbidity and mortality as either security threats or public health emergencies of international concern. The Feldbaum-Lee decision tree expressly lays out these factors as securitisation criteria. The IHR(2005) is concerned with emergency situations, which clearly includes acute, high-impact disease events. The Mclnnes decision tree centres on extreme events, which appear to be defined as acute disease risks that post a threat of significant death and illness. If adopted as the key variables for securitising public health problems, the acute and high morbidity and mortality factors eliminate most non-communicable diseases that cause high levels of morbidity and mortality through chronic but not acute disease. For example, radioactive pollution from a nuclear reactor accident. such as Chernobyl, could not be defined as a security issue because the potential high morbidity and mortality would, beyond the immediate accident site, develop chronically over years rather than acutely over days. Feldbaum and Lee (2004) argue, however, that tobacco-related diseases are acute threats that cause significant morbidity and mortality. They also argue that childhood obesity does not become securitised because it is not an acute health risk. Both tobacco-related and obesity-related diseases are chronic not acute health risks, as those concepts are understood by epidemiologists. Why tobacco but not obesity gets included in the Feldbaum-Lee securitisation process is not clear. The common approach discernable from the decision trees raises questions about what constitutes an acute threat. From an epidemiological perspective, some communicable diseases, such as HIV/AIDS and tuberculosis (ТВ), damage health</w:t>
      </w:r>
      <w:r w:rsidRPr="002952DD">
        <w:rPr>
          <w:sz w:val="14"/>
        </w:rPr>
        <w:t xml:space="preserve"> </w:t>
      </w:r>
      <w:r w:rsidRPr="002952DD">
        <w:t xml:space="preserve">[[FIGURE 1 OMITTED]] </w:t>
      </w:r>
      <w:r w:rsidRPr="002952DD">
        <w:rPr>
          <w:sz w:val="10"/>
        </w:rPr>
        <w:t xml:space="preserve">over lengthy periods of time, more akin to a chronic disease than an acute infection, such as influenza, severe acute respiratory syndrome (SAKS), or haemorrhagic fever viruses (such as Ebola and Marburg). HIV/AIDS produces high levels of morbidity and mortality but not through physiological means that fit the traditional notion of an acute infection. In fact, the non-acute nature of HIV infection is part of what has made AIDS such a global public health problem. Loosening the acute factor to open up securitisation to more non-communicable disease problems and to address infections that arc chronic may, however, produce a one-branch decision tree that securitises public health problems that generate high levels of morbidity and mortality. Such a move risks equating security with public health rather than creating a framework for prioritising some public health problems as security threats. Epidemiological Elasticity Approach Another approach to identifying which public health problems constitute security issues involves assessing the level of danger posed by health risks by determining the propensity of the risks to spread and cause damage in human populations, or the </w:t>
      </w:r>
      <w:r w:rsidRPr="002952DD">
        <w:t xml:space="preserve">[[FIGURES 2 AND 3 OMITTED]] </w:t>
      </w:r>
      <w:r w:rsidRPr="002952DD">
        <w:rPr>
          <w:sz w:val="10"/>
        </w:rPr>
        <w:t xml:space="preserve">epidemiological elasticity (epi-elasticity) of a public health threat. Л public health risk would have a high epi-elasticity if the risk demonstrates mobility within human populations and crcates adverse material impact for societies. Public health risks that exhibit high cpi-clasticity would be candidates for security consideration. Assessing the mobility of a public health risk would involve determining the means of transmission of the risk (for example, pathogen, pest, product, or pollutant), the speed with which the risk moves in human populations, and the geographical reach of the risk's mobility. The decision tree approaches showed interest in whether health risks were mobile, as illustrated by the attention paid to whether a risk was capable of cross-border, trans-border, or intra-border spread. But the spread capability of a risk only served to distinguish whether the risk was a national security issue or a global health security issue in the Feldbaum-Lee and Mclnnes decision trees. Mobility was not, therefore, a factor in deciding whether a risk was a security concern. The epi-elasticity approach makes mobility a central securitisation factor. Assessing the material impact of a public health risk would involve determining the morbidity and mortality, the economic costs, and other adverse material effects (for instance, reduction in military capabilities, fear generated in societies) actually or potentially caused by the risk. The idea is to calculate the damage the risk poses to societies. The decision trees were interested in limited aspects of material damage, namely whether a risk threatened high or low morbidity and mortality. The Feldbaum-Lee decision tree does not accommodate a low morbidity or mortality risk that otherwise causes, or threatens to cause, enormous material damage to affected countries, such as a limited bioweapons attack with a non-contagious pathogen. The Mclnnes decision tree might accommodate such a risk within the concept of an extreme risk, but without a more precise definition of extreme, such accommodation is guesswork. The epi-elasticity approach expressly broadens the impact analysis in securitisation beyond morbidity and mortality statistics to include other forms of material damage to populations. Assessments of a public health risk’s mobility and potential for material damage will involve consideration of other important factors. One such factor is the means of response available to be brought to bear against the risk, such as surveillance and intervention capabilities. The existence or non-existence of public health infrastructure can affect the mobility of a public health risk and the material damage it can inflict on a population. For example, a population universally vaccinated against a highly mobile, contagious pathogen will not, in all likelihood, suffer high morbidity and mortality from that pathogen's spread. The vaccine the means of response has a material impact 011 the epi-elasticity of the pathogen’s overall risk to public health. Another factor that flows into both mobility and material impact is the mutability of the public health risk, or its ability or potential to change, or be changed, as it enters human populations or in response to intervention efforts. The most obvious example of the importance of mutability is the development of antimicrobial resistance in communicable pathogens, such as malaria and ТВ, which make resistant microbes more dangerous public health risks because the propensity to spread and to cause damage is enhanced. The mutability factor is not. however, limited to communicable diseases. The routes by which non-communicable disease vectors affect human populations can change, or be changed, in response to public health interventions. Raising taxes and increasing regulatory burdens on tobacco and alcohol, for example, may produce an increase in smuggling and other forms of illicit trade. The cpi-elasticity approach is not a decision tree because the assessment of the mobility and material impact factors produces an objective picture of the level of danger the public health risk poses. Concluding that a risk has a high epi-elasticity does not mean that it is automatically a security problem. The epi-elasticity approach leaves open a margin of discretion in the securitisation process because, as Mclnnes (2004) argued, how security is defined in most situations involves both objective and subjective considerations. This outcome is really no different from the definitional choices that have to be made in the decision tree approaches, such as whether a public health risk is acute or extreme. However, the epi-elasticity approach’s focus on mobility and material damage provides a more robust methodology for using empirical data to aid the determination through the securitisation process of what public health problems should be prioritised as security threats. Three Pandemics: HIV/AIDS, Pandemic Influenza, and Tobacco-Related Diseases The rise of public health concern about pandemics provides an interesting lens through which to look at public health securitism, its pathology, and its unfinished business. The three pandemics involving HIV/AIDS, influenza, and tobacco-related diseases provide rich case studies for analysing the belief that public health can be improved through the use of security-based policies. Collectively, the developments related to these pandemics support the argument that public health governance has entered a post-securitisation phase. Public health securitism appears with respect to the policy discourse on each pandemic, illustrating the power of this policy belief today in public health and other circles. The pandemics also help illustrate the various parts of the pathology of public health securitism and underscore the importance of greater analytical rigour in the relationship between security and public health. Pandemics and Public Health Securitism The ubiquity of thinking about public health problems in terms of security that has developed since 1995 owes much to the re-emergence of pandemic and potentially pandemic diseases. The threat of global disease as a public health concern diminished </w:t>
      </w:r>
      <w:r w:rsidRPr="002952DD">
        <w:rPr>
          <w:rStyle w:val="StyleUnderline"/>
        </w:rPr>
        <w:t>during the post-World War II period</w:t>
      </w:r>
      <w:r w:rsidRPr="002952DD">
        <w:rPr>
          <w:sz w:val="10"/>
        </w:rPr>
        <w:t xml:space="preserve">, particularly with respect to developed countries that dramatically reduced their vulnerability to communicable diseases. In addition, for much of this period, </w:t>
      </w:r>
      <w:r w:rsidRPr="002952DD">
        <w:rPr>
          <w:rStyle w:val="StyleUnderline"/>
        </w:rPr>
        <w:t xml:space="preserve">increased morbidity </w:t>
      </w:r>
      <w:r w:rsidRPr="00B84F98">
        <w:rPr>
          <w:rStyle w:val="StyleUnderline"/>
        </w:rPr>
        <w:t xml:space="preserve">and </w:t>
      </w:r>
      <w:r w:rsidRPr="00B84F98">
        <w:rPr>
          <w:rStyle w:val="StyleUnderline"/>
          <w:highlight w:val="cyan"/>
        </w:rPr>
        <w:t>mortality</w:t>
      </w:r>
      <w:r w:rsidRPr="00B84F98">
        <w:rPr>
          <w:rStyle w:val="StyleUnderline"/>
        </w:rPr>
        <w:t xml:space="preserve"> caused by </w:t>
      </w:r>
      <w:r w:rsidRPr="00B84F98">
        <w:rPr>
          <w:rStyle w:val="Emphasis"/>
        </w:rPr>
        <w:t>n</w:t>
      </w:r>
      <w:r w:rsidRPr="00B84F98">
        <w:rPr>
          <w:rStyle w:val="StyleUnderline"/>
        </w:rPr>
        <w:t>on-</w:t>
      </w:r>
      <w:r w:rsidRPr="00B84F98">
        <w:rPr>
          <w:rStyle w:val="Emphasis"/>
        </w:rPr>
        <w:t>c</w:t>
      </w:r>
      <w:r w:rsidRPr="00B84F98">
        <w:rPr>
          <w:rStyle w:val="StyleUnderline"/>
        </w:rPr>
        <w:t xml:space="preserve">ommunicable </w:t>
      </w:r>
      <w:r w:rsidRPr="00B84F98">
        <w:rPr>
          <w:rStyle w:val="Emphasis"/>
        </w:rPr>
        <w:t>d</w:t>
      </w:r>
      <w:r w:rsidRPr="00B84F98">
        <w:rPr>
          <w:rStyle w:val="StyleUnderline"/>
        </w:rPr>
        <w:t>isease</w:t>
      </w:r>
      <w:r w:rsidRPr="00B84F98">
        <w:rPr>
          <w:rStyle w:val="Emphasis"/>
        </w:rPr>
        <w:t>s</w:t>
      </w:r>
      <w:r w:rsidRPr="00B84F98">
        <w:rPr>
          <w:rStyle w:val="StyleUnderline"/>
        </w:rPr>
        <w:t xml:space="preserve"> remained lar</w:t>
      </w:r>
      <w:r w:rsidRPr="002952DD">
        <w:rPr>
          <w:rStyle w:val="StyleUnderline"/>
        </w:rPr>
        <w:t xml:space="preserve">gely a rich country concern and thus </w:t>
      </w:r>
      <w:r w:rsidRPr="003F53F3">
        <w:rPr>
          <w:rStyle w:val="StyleUnderline"/>
          <w:highlight w:val="cyan"/>
        </w:rPr>
        <w:t xml:space="preserve">did not have </w:t>
      </w:r>
      <w:r w:rsidRPr="003F53F3">
        <w:rPr>
          <w:rStyle w:val="Emphasis"/>
          <w:highlight w:val="cyan"/>
        </w:rPr>
        <w:t>global</w:t>
      </w:r>
      <w:r w:rsidRPr="003F53F3">
        <w:rPr>
          <w:rStyle w:val="StyleUnderline"/>
          <w:highlight w:val="cyan"/>
        </w:rPr>
        <w:t xml:space="preserve"> implications</w:t>
      </w:r>
      <w:r w:rsidRPr="002952DD">
        <w:rPr>
          <w:sz w:val="10"/>
        </w:rPr>
        <w:t xml:space="preserve">. The re-emergence of pandemic potential for communicable diseases and the emergence of pandemic possibilities for non-communicable diseases since 1995 arc directly conncctcd to the fundamental cause behind the rise of public health securitism — the awareness that the dangers presented by diseases have significantly increased from the local to the global level. Pandemics arc not, by definition, dangerous because whether a disease is dangerous involves other considerations. But pandemics can be dangerous, and mounting concerns about the dangers to public health posed by pandemics involving HIV/AIDS, influenza, and tobacco-related diseases have stimulated policy to gravitate toward security-based arguments as a strategy to motivate public health governance on these global disease threats. The pandemic threat has acted as a counterweight to the bioweapons threat's tendency to produce narrow conceptions of the relationship between security and public health. But for the threat of pandemic communicable diseases, it is unlikely that the U.S. would have been willing to move the security-public health relationship beyond bioweapons. The grim progress of the HIV AIDS pandemic and the emergence of conditions conducive to communicable disease pandemics have contributed to shattering the complacency many developed countries exhibited toward public health in the post World War II period. The rise of pandemic threats also supported the use of different kinds of security arguments in discourse about how to deal with these dangers. Pandemics provided a background against which concepts of national, international, and human security could be advanced and debated. The HIV/AIDS pandemic proved particularly powerful in attracting diverse security-related arguments in policy and academic debates about how to respond to this crisis. The continued use of these types of arguments in the frenzy of interest around avian influenza and its potential to trigger a global pandemic has reinforced the prominence of security-based thinking with respect to pandemic disease. These observations suggest that the emergence and threat of pandemics have materially contributed to the securitisation of public health governance. This development is cold comfort because it means that diseases have emerged as global dangers for which past governance frameworks have proved inadequate. The security approach prioritises pandemic preparedness and response over other public health needs and aspirations. Securitisation Claims and the Three Pandemics The growth in the threat posed by pandemics generally also raises issues explored above concerning the identification of public health threats as security problems. Are the HIV/AIDS pandemic, the feared influenza pandemic, and the pandemic of tobacco-relatcd diseases all security threats? The hardest to analyse in response to this question is the pandemic of tobacco-related diseases. Experts have frequently securitised the HIV/AIDS pandemic and the anticipated influenza pandemic. Security-based arguments are not as frequently made with respect to the global spread of tobacco-related diseases. As already argued, part of the unfinished business of public health securitism involves the development of greater analytical rigour in the relationship between security and public health. Application of the various frameworks described earlier to the three pandemics at issue here underscores the need for such rigour. Clearly, none of these three pandemics ranks as a security threat under the biowcapons framework because none involves the intentional use of disease as a weapon. This conclusion merely reinforces the under-inclusivcness and narrowness of the bioweapons approach to the securitisation of public health problems. The communicable disease framework would cover HIV/AIDS and pandemic influenza but not the pandemic of tobacco-related diseases. Given the actual and anticipated scale of the death and illness caused globally by tobacco consumption, the exclusion of this pandemic entirely on the basis that it involves non-communicable diseases does not seem analytically justifiable. The various decision tree approaches produce important questions that cast some doubt on their utility. Although the IHR(2005) clearly applies to events involving sources of non-communicable diseases, no one has argued that the concept of a public health emergency of international concern would apply in any context to the continued spread of HIV/AIDS or tobacco-related diseases.2 Such continued spread of these established pandemics would not be considered unusual or unexpected within the meaning of the IIIR(2005). This situation might change with respect to HIV/AIDS if, for example, multi-drug resistant strains of HIV/AIDS began circulating globally, thus significantly imperilling the efficacy of antiretroviral treatment (ART) efforts. Under the Feldbaum-Lce and Mclnnes decision trees, pandemic influenza would be the only pandemic of the three under consideration here to merit dear security status. For HIV/AIDS to be securitised under these decision trees, it would have to be considered either an acute disease (Feldbaum and Lee 2004) or an extreme disease event (Mclnnes 2004). As mentioned earlier, whether HIV/AIDS is an acute infection is questionable. The problem faced by the 'acute health impact’ factor in the Feldbaum-Lee decision tree is stretching ‘acute* to cover both pandemic influenza and HIV/AIDS, which stand at opposite ends of acuteness in epidemiological terms. Feldbaum and Lee stretch the concept further, in fact, in arguing that tobacco-related diseases should be securitised, which must mean Feldbaum and Lee think they have acute health impact; this again strains epidemiological credulity. In terms of the Mclnnes decision tree, HIV/AIDS and tobacco-related diseases would have to be perceived to be extreme health risks to be securitised pandemics. Aggregate morbidity and mortality statistics are not sufficient to achieve extreme status because, under that approach, tobacco-related diseases would be more extreme as a health risk than HIV/AIDS. The heavy securitisation of the HIV/AIDS pandemic and the lack of security-related claims for tobacco-related diseases reinforcc this conclusion. The Mclnnes decision tree, furthermore, seems to exclude tobacco-related diseases as security threats altogether because it is hard to argue that their spread over the course of decades constitutes an extreme health risk in the same way pandemic influenza. As with the concept of acute in the Feldbaum-Lee decision tree, ihc Mclnnes decision tree raises ihe question of whether the term ‘extreme’ needs to be defined more objectively. Both decision trees easily accommodate pandemic influenza, but they have both difficulty with HIV/AIDS, even though it is an intensively securitised pandemic. In contrast to the awkward application of the decision trees to the HIV/AIDS and tobacco-related disease pandemics, the cpi-elasticity approach assesses the level of danger presented by public health risks according to their respective propensities to spread and cause damage to human populations and societies. The mobility and material impact factors apply equally to all three pandemics, so the epi-elasticity approach does not exclude any pandemic for not satisfying a decision tree factor. This approach assesses the level of danger each of the pandemics presents, and policy makers can more objectively assess whether each pandemic poses a sufficient danger to warrant securitisation at the national or global level. An epi-elasticity analysis of the three pandemics would lead to the conclusion that pandemic influenza would have the highest epi-elasticity and thus be the most dangerous public health risk of the three. This outcome means that pandemic influenza’s combined mobility and material impact factors exceed those of HIV/AIDS and tobacco-related diseases. The next highest epi-elasticity would belong to HIV/AIDS, with tobacco-related diseases being third in terms of the level of danger posed to public health. In terms of the mobility factor, pandemic influenza would exhibit mobility greater than the mobility of HIV or tobacco products. As an airborne virus, pandemic influenza’s means of transmission is more efficient than that of HIV or tobacco products. Pandemic influenza would also have very high mobility because of the speed of virus transmission between humans and the potential of the virus to reach every corner of the earth very rapidly. HIV and tobacco products have also demonstrated impressive mobility locally, regionally, and globally in their respective spread and penetration of human populations. In terms of material impact, pandemic influenza again would threaten to damage populations and societies on a scale and speed that HIV/AIDS and tobacco-related diseases could not currently generate. Projections about the impact of pandemic influenza often discuss the scale of morbidity and mortality, the economic harm, and the political and social disruption pandemic influenza could cause in both rich and poor countries (Russell 2005). The global handwringing about the lack of preparedness for pandemic influenza demonstrates that an adequate means of response is currently lacking. Prospects for mitigating the material impact of pandemic influenza are, at present, not good. As between HIV/AIDS and tobacco-related diseases, HIV/AIDS is more dangerous in terms of its material impact in populations and societies. The morbidity and mortality and economic costs created by tobacco-related diseases are enormous in terms of aggregate numbers (WHO 2006b). But no one has argued that tobacco’s material impact on societies has the potential to destabilise entire countries, decimate political elites and productive-age labour forces, harm peacekeeping efforts, and create legions of orphans, as IIIV/AIDS is now doing in sub-Saharan Africa (Garrett 2005). Nor does contracting a tobacco-rclated disease involve the economic, social, and psychological costs associated historically with the stigma of HIV/AIDS. There is also the ability of HIV to mutate in ways that may render existing ART ineffective and defeat attempts to create a vaccine. The means of response available for preventing tobacco-related diseases is, on the whole, easicrandchcaperthan HIV/AIDS prevention and control strategies. Thus the overall propensity of HIV/AIDS to cause material damage to a population is greater than that of tobacco. This rough attempt to establish the level of danger these three pandemics respectively pose correlates with the way securitisation processes have unfolded. The epi-elasticity analysis supports the securitisation of pandemic influenza and HIV/AIDS because their combined mobility and material impact factors make them more dangerous risks than tobacco-related diseases. Thus pandemic influenza and HIV/AIDS deserve the public health governance priority that securitisation processes have accorded them as dangerous threats. Although the epi-elasticity analysis does not rank tobacco-related diseases as a security threat, this approach acknowledges the possibility that a non-communicable disease could represent such a threat because of its mobility and material impact on the health of populations. In fact, </w:t>
      </w:r>
      <w:r w:rsidRPr="002952DD">
        <w:rPr>
          <w:rStyle w:val="StyleUnderline"/>
        </w:rPr>
        <w:t xml:space="preserve">the </w:t>
      </w:r>
      <w:r w:rsidRPr="002952DD">
        <w:rPr>
          <w:rStyle w:val="Emphasis"/>
        </w:rPr>
        <w:t>epi-elasticity</w:t>
      </w:r>
      <w:r w:rsidRPr="002952DD">
        <w:rPr>
          <w:rStyle w:val="StyleUnderline"/>
        </w:rPr>
        <w:t xml:space="preserve"> of </w:t>
      </w:r>
      <w:r w:rsidRPr="002952DD">
        <w:rPr>
          <w:rStyle w:val="Emphasis"/>
        </w:rPr>
        <w:t>tobacco-related diseases</w:t>
      </w:r>
      <w:r w:rsidRPr="002952DD">
        <w:rPr>
          <w:sz w:val="14"/>
        </w:rPr>
        <w:t xml:space="preserve"> </w:t>
      </w:r>
      <w:r w:rsidRPr="002952DD">
        <w:rPr>
          <w:rStyle w:val="StyleUnderline"/>
        </w:rPr>
        <w:t xml:space="preserve">may be higher than some communicable diseases, which helps </w:t>
      </w:r>
      <w:r w:rsidRPr="002952DD">
        <w:rPr>
          <w:rStyle w:val="Emphasis"/>
        </w:rPr>
        <w:t>underscore</w:t>
      </w:r>
      <w:r w:rsidRPr="002952DD">
        <w:rPr>
          <w:rStyle w:val="StyleUnderline"/>
        </w:rPr>
        <w:t xml:space="preserve"> the </w:t>
      </w:r>
      <w:r w:rsidRPr="002952DD">
        <w:rPr>
          <w:rStyle w:val="Emphasis"/>
        </w:rPr>
        <w:t>emphasis</w:t>
      </w:r>
      <w:r w:rsidRPr="002952DD">
        <w:rPr>
          <w:rStyle w:val="StyleUnderline"/>
        </w:rPr>
        <w:t xml:space="preserve"> that public health authorities nationally and globally have been placing on the </w:t>
      </w:r>
      <w:r w:rsidRPr="002952DD">
        <w:rPr>
          <w:rStyle w:val="Emphasis"/>
        </w:rPr>
        <w:t>importance of more vigorous action against tobacco consumption</w:t>
      </w:r>
      <w:r w:rsidRPr="002952DD">
        <w:rPr>
          <w:sz w:val="14"/>
        </w:rPr>
        <w:t xml:space="preserve">. Conclusion With respect to the war on terrorism, some have expressed the hope that one day terrorism will again be treated as a law enforcement problem rather than a threat to national security. </w:t>
      </w:r>
      <w:r w:rsidRPr="002952DD">
        <w:rPr>
          <w:rStyle w:val="StyleUnderline"/>
        </w:rPr>
        <w:t>Some in public health may long for the day when disease risks ar</w:t>
      </w:r>
      <w:r>
        <w:rPr>
          <w:rStyle w:val="StyleUnderline"/>
        </w:rPr>
        <w:t>e</w:t>
      </w:r>
      <w:r w:rsidRPr="002952DD">
        <w:rPr>
          <w:rStyle w:val="StyleUnderline"/>
        </w:rPr>
        <w:t xml:space="preserve"> again treated as public health problems rather than security threats</w:t>
      </w:r>
      <w:r w:rsidRPr="002952DD">
        <w:rPr>
          <w:sz w:val="14"/>
        </w:rPr>
        <w:t xml:space="preserve">. </w:t>
      </w:r>
      <w:r w:rsidRPr="003F53F3">
        <w:rPr>
          <w:rStyle w:val="Emphasis"/>
          <w:highlight w:val="cyan"/>
        </w:rPr>
        <w:t>Desecuritisation</w:t>
      </w:r>
      <w:r w:rsidRPr="003F53F3">
        <w:rPr>
          <w:sz w:val="14"/>
          <w:highlight w:val="cyan"/>
        </w:rPr>
        <w:t xml:space="preserve"> </w:t>
      </w:r>
      <w:r w:rsidRPr="003F53F3">
        <w:rPr>
          <w:rStyle w:val="StyleUnderline"/>
          <w:highlight w:val="cyan"/>
        </w:rPr>
        <w:t>would signal</w:t>
      </w:r>
      <w:r w:rsidRPr="002952DD">
        <w:rPr>
          <w:rStyle w:val="StyleUnderline"/>
        </w:rPr>
        <w:t xml:space="preserve"> that the </w:t>
      </w:r>
      <w:r w:rsidRPr="003F53F3">
        <w:rPr>
          <w:rStyle w:val="StyleUnderline"/>
          <w:highlight w:val="cyan"/>
        </w:rPr>
        <w:t>disease dangers</w:t>
      </w:r>
      <w:r w:rsidRPr="002952DD">
        <w:rPr>
          <w:rStyle w:val="StyleUnderline"/>
        </w:rPr>
        <w:t xml:space="preserve"> that stimulated linkages between security and public health </w:t>
      </w:r>
      <w:r w:rsidRPr="003F53F3">
        <w:rPr>
          <w:rStyle w:val="StyleUnderline"/>
          <w:highlight w:val="cyan"/>
        </w:rPr>
        <w:t xml:space="preserve">had been </w:t>
      </w:r>
      <w:r w:rsidRPr="003F53F3">
        <w:rPr>
          <w:rStyle w:val="Emphasis"/>
          <w:highlight w:val="cyan"/>
        </w:rPr>
        <w:t>reduced</w:t>
      </w:r>
      <w:r w:rsidRPr="002952DD">
        <w:rPr>
          <w:sz w:val="14"/>
        </w:rPr>
        <w:t xml:space="preserve">. </w:t>
      </w:r>
      <w:r w:rsidRPr="002952DD">
        <w:rPr>
          <w:rStyle w:val="Emphasis"/>
        </w:rPr>
        <w:t xml:space="preserve">Ironically, </w:t>
      </w:r>
      <w:r w:rsidRPr="003F53F3">
        <w:rPr>
          <w:rStyle w:val="Emphasis"/>
          <w:highlight w:val="cyan"/>
        </w:rPr>
        <w:t>the only way to desecuritise</w:t>
      </w:r>
      <w:r w:rsidRPr="002952DD">
        <w:rPr>
          <w:rStyle w:val="Emphasis"/>
        </w:rPr>
        <w:t xml:space="preserve"> public health </w:t>
      </w:r>
      <w:r w:rsidRPr="003F53F3">
        <w:rPr>
          <w:rStyle w:val="Emphasis"/>
          <w:highlight w:val="cyan"/>
        </w:rPr>
        <w:t>might be to increase political interest and policy attention</w:t>
      </w:r>
      <w:r w:rsidRPr="002952DD">
        <w:rPr>
          <w:rStyle w:val="Emphasis"/>
        </w:rPr>
        <w:t xml:space="preserve"> on public health </w:t>
      </w:r>
      <w:r w:rsidRPr="003F53F3">
        <w:rPr>
          <w:rStyle w:val="Emphasis"/>
          <w:highlight w:val="cyan"/>
        </w:rPr>
        <w:t>through securitisation</w:t>
      </w:r>
      <w:r w:rsidRPr="002952DD">
        <w:rPr>
          <w:sz w:val="14"/>
        </w:rPr>
        <w:t xml:space="preserve">. </w:t>
      </w:r>
      <w:r w:rsidRPr="002952DD">
        <w:rPr>
          <w:rStyle w:val="StyleUnderline"/>
        </w:rPr>
        <w:t xml:space="preserve">This reasoning supports this chapter's emphasis on the strength of </w:t>
      </w:r>
      <w:r w:rsidRPr="00D45AB2">
        <w:rPr>
          <w:rStyle w:val="StyleUnderline"/>
        </w:rPr>
        <w:t>securitism</w:t>
      </w:r>
      <w:r w:rsidRPr="002952DD">
        <w:rPr>
          <w:rStyle w:val="StyleUnderline"/>
        </w:rPr>
        <w:t xml:space="preserve"> in public health governance today and the </w:t>
      </w:r>
      <w:r w:rsidRPr="002952DD">
        <w:rPr>
          <w:rStyle w:val="Emphasis"/>
        </w:rPr>
        <w:t>continuing importance of this policy belief in the future</w:t>
      </w:r>
      <w:r w:rsidRPr="002952DD">
        <w:rPr>
          <w:sz w:val="14"/>
        </w:rPr>
        <w:t xml:space="preserve">. The pathology of public health securitism outlined in this chapter also highlights another reason why </w:t>
      </w:r>
      <w:r w:rsidRPr="00D45AB2">
        <w:rPr>
          <w:rStyle w:val="StyleUnderline"/>
          <w:highlight w:val="cyan"/>
        </w:rPr>
        <w:t>securitisation</w:t>
      </w:r>
      <w:r w:rsidRPr="00D45AB2">
        <w:rPr>
          <w:sz w:val="14"/>
          <w:highlight w:val="cyan"/>
        </w:rPr>
        <w:t xml:space="preserve"> </w:t>
      </w:r>
      <w:r w:rsidRPr="00D45AB2">
        <w:rPr>
          <w:rStyle w:val="Emphasis"/>
          <w:highlight w:val="cyan"/>
        </w:rPr>
        <w:t xml:space="preserve">will not </w:t>
      </w:r>
      <w:r w:rsidRPr="003F53F3">
        <w:rPr>
          <w:rStyle w:val="Emphasis"/>
          <w:highlight w:val="cyan"/>
        </w:rPr>
        <w:t>fade</w:t>
      </w:r>
      <w:r w:rsidRPr="002952DD">
        <w:rPr>
          <w:rStyle w:val="Emphasis"/>
        </w:rPr>
        <w:t xml:space="preserve"> away any time </w:t>
      </w:r>
      <w:r w:rsidRPr="003F53F3">
        <w:rPr>
          <w:rStyle w:val="Emphasis"/>
          <w:highlight w:val="cyan"/>
        </w:rPr>
        <w:t>soon</w:t>
      </w:r>
      <w:r w:rsidRPr="002952DD">
        <w:rPr>
          <w:sz w:val="14"/>
        </w:rPr>
        <w:t xml:space="preserve"> </w:t>
      </w:r>
      <w:r w:rsidRPr="002952DD">
        <w:rPr>
          <w:rStyle w:val="StyleUnderline"/>
        </w:rPr>
        <w:t xml:space="preserve">as a feature of public health governance. Securitisation of public </w:t>
      </w:r>
      <w:r w:rsidRPr="005E531F">
        <w:rPr>
          <w:rStyle w:val="StyleUnderline"/>
        </w:rPr>
        <w:t xml:space="preserve">health has provided for convergences of narrow and broad conceptions of security and of interest-based and value-based approaches to health and security. In other words, the securitisation of public health creates </w:t>
      </w:r>
      <w:r w:rsidRPr="00D45AB2">
        <w:rPr>
          <w:rStyle w:val="StyleUnderline"/>
          <w:highlight w:val="cyan"/>
        </w:rPr>
        <w:t xml:space="preserve">a </w:t>
      </w:r>
      <w:r w:rsidRPr="00D45AB2">
        <w:rPr>
          <w:rStyle w:val="Emphasis"/>
          <w:highlight w:val="cyan"/>
        </w:rPr>
        <w:t>two-way street</w:t>
      </w:r>
      <w:r w:rsidRPr="005E531F">
        <w:rPr>
          <w:rStyle w:val="Emphasis"/>
        </w:rPr>
        <w:t xml:space="preserve"> conceptually</w:t>
      </w:r>
      <w:r w:rsidRPr="005E531F">
        <w:rPr>
          <w:sz w:val="14"/>
        </w:rPr>
        <w:t xml:space="preserve"> </w:t>
      </w:r>
      <w:r w:rsidRPr="00D45AB2">
        <w:rPr>
          <w:rStyle w:val="StyleUnderline"/>
        </w:rPr>
        <w:t>because</w:t>
      </w:r>
      <w:r w:rsidRPr="005E531F">
        <w:rPr>
          <w:rStyle w:val="StyleUnderline"/>
        </w:rPr>
        <w:t xml:space="preserve"> it not only brings security into public health but also </w:t>
      </w:r>
      <w:r w:rsidRPr="00D45AB2">
        <w:rPr>
          <w:rStyle w:val="Emphasis"/>
          <w:highlight w:val="cyan"/>
        </w:rPr>
        <w:t>causes public health to inform security</w:t>
      </w:r>
      <w:r w:rsidRPr="005E531F">
        <w:rPr>
          <w:sz w:val="14"/>
        </w:rPr>
        <w:t>. The</w:t>
      </w:r>
      <w:r w:rsidRPr="002952DD">
        <w:rPr>
          <w:sz w:val="14"/>
        </w:rPr>
        <w:t xml:space="preserve"> basis for a much deeper and broader governance transformation is now under construction in the post-securitisation phase of public health governance.</w:t>
      </w:r>
    </w:p>
    <w:p w14:paraId="2590358B" w14:textId="77777777" w:rsidR="001A4248" w:rsidRPr="001A4248" w:rsidRDefault="001A4248" w:rsidP="001A4248"/>
    <w:sectPr w:rsidR="001A4248" w:rsidRPr="001A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100833"/>
    <w:rsid w:val="00104529"/>
    <w:rsid w:val="00105942"/>
    <w:rsid w:val="00107396"/>
    <w:rsid w:val="00144A4C"/>
    <w:rsid w:val="00176AB0"/>
    <w:rsid w:val="00177B7D"/>
    <w:rsid w:val="0018322D"/>
    <w:rsid w:val="001A4248"/>
    <w:rsid w:val="001B5776"/>
    <w:rsid w:val="001E527A"/>
    <w:rsid w:val="001F78CE"/>
    <w:rsid w:val="00251FC7"/>
    <w:rsid w:val="002855A7"/>
    <w:rsid w:val="002B146A"/>
    <w:rsid w:val="002B5E17"/>
    <w:rsid w:val="002E7976"/>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0DB6"/>
    <w:rsid w:val="00645FA9"/>
    <w:rsid w:val="00647866"/>
    <w:rsid w:val="00665003"/>
    <w:rsid w:val="006A2AD0"/>
    <w:rsid w:val="006C2375"/>
    <w:rsid w:val="006D4ECC"/>
    <w:rsid w:val="00722258"/>
    <w:rsid w:val="007243E5"/>
    <w:rsid w:val="00766EA0"/>
    <w:rsid w:val="007859ED"/>
    <w:rsid w:val="007A2226"/>
    <w:rsid w:val="007B369E"/>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73E18"/>
    <w:rsid w:val="00A93661"/>
    <w:rsid w:val="00A95652"/>
    <w:rsid w:val="00AC0AB8"/>
    <w:rsid w:val="00B1162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F59"/>
    <w:rsid w:val="00DA1C92"/>
    <w:rsid w:val="00DA25D4"/>
    <w:rsid w:val="00DA6538"/>
    <w:rsid w:val="00E15E75"/>
    <w:rsid w:val="00E5262C"/>
    <w:rsid w:val="00EC7DC4"/>
    <w:rsid w:val="00ED30CF"/>
    <w:rsid w:val="00F176EF"/>
    <w:rsid w:val="00F45E10"/>
    <w:rsid w:val="00F6364A"/>
    <w:rsid w:val="00F9113A"/>
    <w:rsid w:val="00F943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369E"/>
    <w:rPr>
      <w:rFonts w:ascii="Calibri" w:hAnsi="Calibri" w:cs="Calibri"/>
      <w:sz w:val="24"/>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B36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7B36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7B36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7B369E"/>
    <w:pPr>
      <w:keepNext/>
      <w:keepLines/>
      <w:spacing w:before="40" w:after="0"/>
      <w:outlineLvl w:val="3"/>
    </w:pPr>
    <w:rPr>
      <w:rFonts w:eastAsiaTheme="majorEastAsia" w:cstheme="majorBidi"/>
      <w:b/>
      <w:iCs/>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B369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B369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B369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7B369E"/>
    <w:rPr>
      <w:rFonts w:ascii="Calibri" w:eastAsiaTheme="majorEastAsia" w:hAnsi="Calibri" w:cstheme="majorBidi"/>
      <w:b/>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7B369E"/>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7B369E"/>
    <w:rPr>
      <w:b/>
      <w:bCs/>
      <w:sz w:val="24"/>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6"/>
    <w:qFormat/>
    <w:rsid w:val="007B369E"/>
    <w:rPr>
      <w:b w:val="0"/>
      <w:sz w:val="24"/>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B369E"/>
    <w:rPr>
      <w:color w:val="auto"/>
      <w:u w:val="none"/>
    </w:rPr>
  </w:style>
  <w:style w:type="character" w:styleId="FollowedHyperlink">
    <w:name w:val="FollowedHyperlink"/>
    <w:basedOn w:val="DefaultParagraphFont"/>
    <w:uiPriority w:val="99"/>
    <w:unhideWhenUsed/>
    <w:rsid w:val="007B369E"/>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 w:type="paragraph" w:customStyle="1" w:styleId="NoSpacing231">
    <w:name w:val="No Spacing231"/>
    <w:basedOn w:val="Heading1"/>
    <w:next w:val="NoSpacing"/>
    <w:autoRedefine/>
    <w:uiPriority w:val="99"/>
    <w:qFormat/>
    <w:rsid w:val="001A424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2456">
      <w:bodyDiv w:val="1"/>
      <w:marLeft w:val="0"/>
      <w:marRight w:val="0"/>
      <w:marTop w:val="0"/>
      <w:marBottom w:val="0"/>
      <w:divBdr>
        <w:top w:val="none" w:sz="0" w:space="0" w:color="auto"/>
        <w:left w:val="none" w:sz="0" w:space="0" w:color="auto"/>
        <w:bottom w:val="none" w:sz="0" w:space="0" w:color="auto"/>
        <w:right w:val="none" w:sz="0" w:space="0" w:color="auto"/>
      </w:divBdr>
    </w:div>
    <w:div w:id="7589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doi.org/10.1002/hec.4438)//N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hyperlink" Target="https://doi.org/10.1287/orsc.2019.1314)/NRG" TargetMode="External"/><Relationship Id="rId2" Type="http://schemas.openxmlformats.org/officeDocument/2006/relationships/numbering" Target="numbering.xml"/><Relationship Id="rId16" Type="http://schemas.openxmlformats.org/officeDocument/2006/relationships/hyperlink" Target="https://doi.org/10.1287/orsc.2019.1314)/NRG"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s://dictionary.cambridge.org/us/dictionary/english/should" TargetMode="External"/><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61597</Words>
  <Characters>351103</Characters>
  <Application>Microsoft Office Word</Application>
  <DocSecurity>0</DocSecurity>
  <Lines>2925</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2022-02-26T18:08:00Z</dcterms:created>
  <dcterms:modified xsi:type="dcterms:W3CDTF">2022-02-26T18:08:00Z</dcterms:modified>
</cp:coreProperties>
</file>