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ED3705"/>
          <w:sz w:val="22"/>
          <w:szCs w:val="22"/>
        </w:rPr>
        <w:t xml:space="preserve">QUALITY THOUGHT  ·  GEN AI TESTING</w:t>
      </w:r>
    </w:p>
    <w:p>
      <w:pPr>
        <w:spacing w:after="0" w:before="220"/>
        <w:jc w:val="center"/>
      </w:pPr>
      <w:r>
        <w:rPr>
          <w:rFonts w:ascii="Calibri" w:cs="Calibri" w:eastAsia="Calibri" w:hAnsi="Calibri"/>
          <w:b/>
          <w:bCs/>
          <w:color w:val="08094C"/>
          <w:sz w:val="46"/>
          <w:szCs w:val="46"/>
        </w:rPr>
        <w:t xml:space="preserve">Travel-Agent RAG Application</w:t>
      </w:r>
    </w:p>
    <w:p>
      <w:pPr>
        <w:spacing w:after="120" w:before="0"/>
        <w:jc w:val="center"/>
      </w:pPr>
      <w:r>
        <w:rPr>
          <w:rFonts w:ascii="Calibri" w:cs="Calibri" w:eastAsia="Calibri" w:hAnsi="Calibri"/>
          <w:b/>
          <w:bCs/>
          <w:color w:val="08094C"/>
          <w:sz w:val="46"/>
          <w:szCs w:val="46"/>
        </w:rPr>
        <w:t xml:space="preserve">Requirements Document (PRD)</w:t>
      </w:r>
    </w:p>
    <w:p>
      <w:pPr>
        <w:spacing w:after="60"/>
        <w:jc w:val="center"/>
      </w:pPr>
      <w:r>
        <w:rPr>
          <w:rFonts w:ascii="Calibri" w:cs="Calibri" w:eastAsia="Calibri" w:hAnsi="Calibri"/>
          <w:color w:val="1E2270"/>
          <w:sz w:val="28"/>
          <w:szCs w:val="28"/>
        </w:rPr>
        <w:t xml:space="preserve">Product Requirements Document</w:t>
      </w:r>
    </w:p>
    <w:p>
      <w:pPr>
        <w:spacing w:after="40" w:before="200"/>
        <w:jc w:val="center"/>
      </w:pPr>
      <w:r>
        <w:rPr>
          <w:rFonts w:ascii="Calibri" w:cs="Calibri" w:eastAsia="Calibri" w:hAnsi="Calibri"/>
          <w:i/>
          <w:iCs/>
          <w:color w:val="2A3142"/>
          <w:sz w:val="22"/>
          <w:szCs w:val="22"/>
        </w:rPr>
        <w:t xml:space="preserve">Application under test:  TripSage — AI Travel Assistant (RAG)</w:t>
      </w:r>
    </w:p>
    <w:p>
      <w:pPr>
        <w:spacing w:after="0" w:before="520"/>
        <w:jc w:val="center"/>
      </w:pPr>
      <w:r>
        <w:rPr>
          <w:rFonts w:ascii="Calibri" w:cs="Calibri" w:eastAsia="Calibri" w:hAnsi="Calibri"/>
          <w:color w:val="2A3142"/>
          <w:sz w:val="20"/>
          <w:szCs w:val="20"/>
        </w:rPr>
        <w:t xml:space="preserve">Version 1.0   ·   Prepared by the QE (Gen AI) Team</w:t>
      </w:r>
    </w:p>
    <w:p>
      <w:r>
        <w:br w:type="page"/>
      </w:r>
    </w:p>
    <w:p>
      <w:pPr>
        <w:pStyle w:val="Heading1"/>
        <w:spacing w:after="120" w:before="260"/>
      </w:pPr>
      <w:r>
        <w:rPr>
          <w:rFonts w:ascii="Calibri" w:cs="Calibri" w:eastAsia="Calibri" w:hAnsi="Calibri"/>
          <w:b/>
          <w:bCs/>
          <w:color w:val="08094C"/>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Field</w:t>
            </w:r>
          </w:p>
        </w:tc>
        <w:tc>
          <w:tcPr>
            <w:tcW w:type="dxa" w:w="676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Detail</w:t>
            </w:r>
          </w:p>
        </w:tc>
      </w:tr>
      <w:tr>
        <w:tc>
          <w:tcPr>
            <w:tcW w:type="dxa" w:w="26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Document</w:t>
            </w:r>
          </w:p>
        </w:tc>
        <w:tc>
          <w:tcPr>
            <w:tcW w:type="dxa" w:w="67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Requirements Document (PRD) — Travel-Agent RAG Application</w:t>
            </w:r>
          </w:p>
        </w:tc>
      </w:tr>
      <w:tr>
        <w:tc>
          <w:tcPr>
            <w:tcW w:type="dxa" w:w="26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Application under test</w:t>
            </w:r>
          </w:p>
        </w:tc>
        <w:tc>
          <w:tcPr>
            <w:tcW w:type="dxa" w:w="67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TripSage — AI Travel Assistant (Retrieval-Augmented Generation)</w:t>
            </w:r>
          </w:p>
        </w:tc>
      </w:tr>
      <w:tr>
        <w:tc>
          <w:tcPr>
            <w:tcW w:type="dxa" w:w="26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Version / Status</w:t>
            </w:r>
          </w:p>
        </w:tc>
        <w:tc>
          <w:tcPr>
            <w:tcW w:type="dxa" w:w="67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1.0  /  For review</w:t>
            </w:r>
          </w:p>
        </w:tc>
      </w:tr>
      <w:tr>
        <w:tc>
          <w:tcPr>
            <w:tcW w:type="dxa" w:w="26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Author / Owner</w:t>
            </w:r>
          </w:p>
        </w:tc>
        <w:tc>
          <w:tcPr>
            <w:tcW w:type="dxa" w:w="67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QE (Gen AI) Team, Quality Thought</w:t>
            </w:r>
          </w:p>
        </w:tc>
      </w:tr>
      <w:tr>
        <w:tc>
          <w:tcPr>
            <w:tcW w:type="dxa" w:w="26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Reviewers</w:t>
            </w:r>
          </w:p>
        </w:tc>
        <w:tc>
          <w:tcPr>
            <w:tcW w:type="dxa" w:w="67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Test Lead, Product Owner, Domain SME (Travel), Security SME</w:t>
            </w:r>
          </w:p>
        </w:tc>
      </w:tr>
    </w:tbl>
    <w:p>
      <w:pPr>
        <w:spacing w:after="60"/>
      </w:pPr>
      <w:r>
        <w:rPr>
          <w:rFonts w:ascii="Calibri" w:cs="Calibri" w:eastAsia="Calibri" w:hAnsi="Calibri"/>
          <w:color w:val="2A3142"/>
          <w:sz w:val="21"/>
          <w:szCs w:val="21"/>
        </w:rPr>
        <w:t xml:space="preserve"/>
      </w:r>
    </w:p>
    <w:p>
      <w:pPr>
        <w:pStyle w:val="Heading2"/>
        <w:spacing w:after="90" w:before="200"/>
      </w:pPr>
      <w:r>
        <w:rPr>
          <w:rFonts w:ascii="Calibri" w:cs="Calibri" w:eastAsia="Calibri" w:hAnsi="Calibri"/>
          <w:b/>
          <w:bCs/>
          <w:color w:val="1E2270"/>
          <w:sz w:val="25"/>
          <w:szCs w:val="25"/>
        </w:rPr>
        <w:t xml:space="preserve">Table of Contents</w:t>
      </w:r>
    </w:p>
    <w:sdt>
      <w:sdtPr>
        <w:alias w:val="Contents"/>
      </w:sdtPr>
      <w:sdtContent>
        <w:p>
          <w:r>
            <w:fldChar w:fldCharType="begin" w:dirty="true"/>
            <w:instrText xml:space="preserve">TOC \o "1-3"</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08094C"/>
          <w:sz w:val="30"/>
          <w:szCs w:val="30"/>
        </w:rPr>
        <w:t xml:space="preserve">1. Introduction &amp; Scope</w:t>
      </w:r>
    </w:p>
    <w:p>
      <w:pPr>
        <w:spacing w:after="120" w:before="0" w:line="276"/>
      </w:pPr>
      <w:r>
        <w:rPr>
          <w:rFonts w:ascii="Calibri" w:cs="Calibri" w:eastAsia="Calibri" w:hAnsi="Calibri"/>
          <w:color w:val="2A3142"/>
          <w:sz w:val="21"/>
          <w:szCs w:val="21"/>
        </w:rPr>
        <w:t xml:space="preserve">TripSage is a Retrieval-Augmented Generation (RAG) travel assistant. It answers traveller questions — destinations, visa and entry requirements, baggage and refund/cancellation policies, seasons and simple itineraries — grounded in a curated knowledge base (KB) and cites its sources. This document defines what TripSage must do and the quality and safety bars it must meet; it is the basis for the Test Plan and Test Cases.</w:t>
      </w:r>
    </w:p>
    <w:p>
      <w:pPr>
        <w:pStyle w:val="Heading1"/>
        <w:spacing w:after="120" w:before="260"/>
      </w:pPr>
      <w:r>
        <w:rPr>
          <w:rFonts w:ascii="Calibri" w:cs="Calibri" w:eastAsia="Calibri" w:hAnsi="Calibri"/>
          <w:b/>
          <w:bCs/>
          <w:color w:val="08094C"/>
          <w:sz w:val="30"/>
          <w:szCs w:val="30"/>
        </w:rPr>
        <w:t xml:space="preserve">2. Product Overview</w:t>
      </w:r>
    </w:p>
    <w:p>
      <w:pPr>
        <w:spacing w:after="120" w:before="0" w:line="276"/>
      </w:pPr>
      <w:r>
        <w:rPr>
          <w:rFonts w:ascii="Calibri" w:cs="Calibri" w:eastAsia="Calibri" w:hAnsi="Calibri"/>
          <w:color w:val="2A3142"/>
          <w:sz w:val="21"/>
          <w:szCs w:val="21"/>
        </w:rPr>
        <w:t xml:space="preserve">For each question TripSage retrieves the most relevant passages from the KB, then generates an answer grounded in those passages with citations. It must answer only from the KB and abstain when the information is not present.</w:t>
      </w:r>
    </w:p>
    <w:p>
      <w:pPr>
        <w:pStyle w:val="Heading1"/>
        <w:spacing w:after="120" w:before="260"/>
      </w:pPr>
      <w:r>
        <w:rPr>
          <w:rFonts w:ascii="Calibri" w:cs="Calibri" w:eastAsia="Calibri" w:hAnsi="Calibri"/>
          <w:b/>
          <w:bCs/>
          <w:color w:val="08094C"/>
          <w:sz w:val="30"/>
          <w:szCs w:val="30"/>
        </w:rPr>
        <w:t xml:space="preserve">3. Users and Personas</w:t>
      </w:r>
    </w:p>
    <w:p>
      <w:pPr>
        <w:pStyle w:val="ListParagraph"/>
        <w:numPr>
          <w:ilvl w:val="0"/>
          <w:numId w:val="2"/>
        </w:numPr>
        <w:spacing w:after="50" w:line="264"/>
      </w:pPr>
      <w:r>
        <w:rPr>
          <w:rFonts w:ascii="Calibri" w:cs="Calibri" w:eastAsia="Calibri" w:hAnsi="Calibri"/>
          <w:b/>
          <w:bCs/>
          <w:color w:val="2A3142"/>
          <w:sz w:val="21"/>
          <w:szCs w:val="21"/>
        </w:rPr>
        <w:t xml:space="preserve">Leisure traveller — </w:t>
      </w:r>
      <w:r>
        <w:rPr>
          <w:rFonts w:ascii="Calibri" w:cs="Calibri" w:eastAsia="Calibri" w:hAnsi="Calibri"/>
          <w:color w:val="2A3142"/>
          <w:sz w:val="21"/>
          <w:szCs w:val="21"/>
        </w:rPr>
        <w:t xml:space="preserve">asks about destinations, best seasons and itineraries.</w:t>
      </w:r>
    </w:p>
    <w:p>
      <w:pPr>
        <w:pStyle w:val="ListParagraph"/>
        <w:numPr>
          <w:ilvl w:val="0"/>
          <w:numId w:val="2"/>
        </w:numPr>
        <w:spacing w:after="50" w:line="264"/>
      </w:pPr>
      <w:r>
        <w:rPr>
          <w:rFonts w:ascii="Calibri" w:cs="Calibri" w:eastAsia="Calibri" w:hAnsi="Calibri"/>
          <w:b/>
          <w:bCs/>
          <w:color w:val="2A3142"/>
          <w:sz w:val="21"/>
          <w:szCs w:val="21"/>
        </w:rPr>
        <w:t xml:space="preserve">Business traveller — </w:t>
      </w:r>
      <w:r>
        <w:rPr>
          <w:rFonts w:ascii="Calibri" w:cs="Calibri" w:eastAsia="Calibri" w:hAnsi="Calibri"/>
          <w:color w:val="2A3142"/>
          <w:sz w:val="21"/>
          <w:szCs w:val="21"/>
        </w:rPr>
        <w:t xml:space="preserve">asks about baggage, refunds/changes and visa timelines.</w:t>
      </w:r>
    </w:p>
    <w:p>
      <w:pPr>
        <w:pStyle w:val="ListParagraph"/>
        <w:numPr>
          <w:ilvl w:val="0"/>
          <w:numId w:val="2"/>
        </w:numPr>
        <w:spacing w:after="50" w:line="264"/>
      </w:pPr>
      <w:r>
        <w:rPr>
          <w:rFonts w:ascii="Calibri" w:cs="Calibri" w:eastAsia="Calibri" w:hAnsi="Calibri"/>
          <w:b/>
          <w:bCs/>
          <w:color w:val="2A3142"/>
          <w:sz w:val="21"/>
          <w:szCs w:val="21"/>
        </w:rPr>
        <w:t xml:space="preserve">Support agent — </w:t>
      </w:r>
      <w:r>
        <w:rPr>
          <w:rFonts w:ascii="Calibri" w:cs="Calibri" w:eastAsia="Calibri" w:hAnsi="Calibri"/>
          <w:color w:val="2A3142"/>
          <w:sz w:val="21"/>
          <w:szCs w:val="21"/>
        </w:rPr>
        <w:t xml:space="preserve">uses TripSage to answer customer policy questions quickly and correctly.</w:t>
      </w:r>
    </w:p>
    <w:p>
      <w:pPr>
        <w:pStyle w:val="Heading1"/>
        <w:spacing w:after="120" w:before="260"/>
      </w:pPr>
      <w:r>
        <w:rPr>
          <w:rFonts w:ascii="Calibri" w:cs="Calibri" w:eastAsia="Calibri" w:hAnsi="Calibri"/>
          <w:b/>
          <w:bCs/>
          <w:color w:val="08094C"/>
          <w:sz w:val="30"/>
          <w:szCs w:val="30"/>
        </w:rPr>
        <w:t xml:space="preserve">4. Knowledge Base (Data Sources)</w:t>
      </w:r>
    </w:p>
    <w:p>
      <w:pPr>
        <w:spacing w:after="120" w:before="0" w:line="276"/>
      </w:pPr>
      <w:r>
        <w:rPr>
          <w:rFonts w:ascii="Calibri" w:cs="Calibri" w:eastAsia="Calibri" w:hAnsi="Calibri"/>
          <w:color w:val="2A3142"/>
          <w:sz w:val="21"/>
          <w:szCs w:val="21"/>
        </w:rPr>
        <w:t xml:space="preserve">The KB is the single source of truth. Each document carries a source name and a last-updated date, which the assistant must be able to 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KB source</w:t>
            </w:r>
          </w:p>
        </w:tc>
        <w:tc>
          <w:tcPr>
            <w:tcW w:type="dxa" w:w="456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Contents</w:t>
            </w:r>
          </w:p>
        </w:tc>
        <w:tc>
          <w:tcPr>
            <w:tcW w:type="dxa" w:w="240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Freshness</w:t>
            </w:r>
          </w:p>
        </w:tc>
      </w:tr>
      <w:tr>
        <w:tc>
          <w:tcPr>
            <w:tcW w:type="dxa" w:w="24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Destination guides</w:t>
            </w:r>
          </w:p>
        </w:tc>
        <w:tc>
          <w:tcPr>
            <w:tcW w:type="dxa" w:w="45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Attractions, seasons, safety notes, local tips</w:t>
            </w:r>
          </w:p>
        </w:tc>
        <w:tc>
          <w:tcPr>
            <w:tcW w:type="dxa" w:w="24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Quarterly</w:t>
            </w:r>
          </w:p>
        </w:tc>
      </w:tr>
      <w:tr>
        <w:tc>
          <w:tcPr>
            <w:tcW w:type="dxa" w:w="24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Visa &amp; entry docs</w:t>
            </w:r>
          </w:p>
        </w:tc>
        <w:tc>
          <w:tcPr>
            <w:tcW w:type="dxa" w:w="45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Visa requirements by nationality/destination, fees, durations</w:t>
            </w:r>
          </w:p>
        </w:tc>
        <w:tc>
          <w:tcPr>
            <w:tcW w:type="dxa" w:w="24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Monthly</w:t>
            </w:r>
          </w:p>
        </w:tc>
      </w:tr>
      <w:tr>
        <w:tc>
          <w:tcPr>
            <w:tcW w:type="dxa" w:w="24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Airline policy docs</w:t>
            </w:r>
          </w:p>
        </w:tc>
        <w:tc>
          <w:tcPr>
            <w:tcW w:type="dxa" w:w="45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Baggage allowances, refund/change rules by fare class</w:t>
            </w:r>
          </w:p>
        </w:tc>
        <w:tc>
          <w:tcPr>
            <w:tcW w:type="dxa" w:w="24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On change</w:t>
            </w:r>
          </w:p>
        </w:tc>
      </w:tr>
      <w:tr>
        <w:tc>
          <w:tcPr>
            <w:tcW w:type="dxa" w:w="24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Hotel policy docs</w:t>
            </w:r>
          </w:p>
        </w:tc>
        <w:tc>
          <w:tcPr>
            <w:tcW w:type="dxa" w:w="45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Cancellation windows, deposit and no-show rules</w:t>
            </w:r>
          </w:p>
        </w:tc>
        <w:tc>
          <w:tcPr>
            <w:tcW w:type="dxa" w:w="24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On change</w:t>
            </w:r>
          </w:p>
        </w:tc>
      </w:tr>
      <w:tr>
        <w:tc>
          <w:tcPr>
            <w:tcW w:type="dxa" w:w="24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Company travel FAQ</w:t>
            </w:r>
          </w:p>
        </w:tc>
        <w:tc>
          <w:tcPr>
            <w:tcW w:type="dxa" w:w="45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Booking process, support, company travel policy</w:t>
            </w:r>
          </w:p>
        </w:tc>
        <w:tc>
          <w:tcPr>
            <w:tcW w:type="dxa" w:w="24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On change</w:t>
            </w:r>
          </w:p>
        </w:tc>
      </w:tr>
    </w:tbl>
    <w:p>
      <w:pPr>
        <w:pStyle w:val="Heading1"/>
        <w:spacing w:after="120" w:before="260"/>
      </w:pPr>
      <w:r>
        <w:rPr>
          <w:rFonts w:ascii="Calibri" w:cs="Calibri" w:eastAsia="Calibri" w:hAnsi="Calibri"/>
          <w:b/>
          <w:bCs/>
          <w:color w:val="08094C"/>
          <w:sz w:val="30"/>
          <w:szCs w:val="30"/>
        </w:rPr>
        <w:t xml:space="preserve">5.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ID</w:t>
            </w:r>
          </w:p>
        </w:tc>
        <w:tc>
          <w:tcPr>
            <w:tcW w:type="dxa" w:w="826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Requirement</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FR-01</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Answer destination questions grounded in destination guides, with citations.</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FR-02</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Answer visa/entry questions grounded in visa docs; always cite the source and last-updated date and advise verifying with official sources.</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FR-03</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Answer baggage / refund / cancellation questions grounded in the relevant airline or hotel policy doc.</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FR-04</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Build a simple day-by-day itinerary from retrieved destination information.</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FR-05</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Abstain when the answer is not in the KB (state it does not have the information and suggest where to check).</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FR-06</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Provide a citation (source document + section) for every factual claim.</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FR-07</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Maintain context across turns within a session (multi-turn).</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FR-08</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Preserve currency and units exactly as in the source; ask when ambiguous.</w:t>
            </w:r>
          </w:p>
        </w:tc>
      </w:tr>
    </w:tbl>
    <w:p>
      <w:pPr>
        <w:pStyle w:val="Heading1"/>
        <w:spacing w:after="120" w:before="260"/>
      </w:pPr>
      <w:r>
        <w:rPr>
          <w:rFonts w:ascii="Calibri" w:cs="Calibri" w:eastAsia="Calibri" w:hAnsi="Calibri"/>
          <w:b/>
          <w:bCs/>
          <w:color w:val="08094C"/>
          <w:sz w:val="30"/>
          <w:szCs w:val="30"/>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ID</w:t>
            </w:r>
          </w:p>
        </w:tc>
        <w:tc>
          <w:tcPr>
            <w:tcW w:type="dxa" w:w="826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Requirement</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NFR-01</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p95 response latency under 4 seconds for a single-turn query.</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NFR-02</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Availability of 99.5% during business hours.</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NFR-03</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Average token cost per query within the agreed budget.</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NFR-04</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Primary language English; graceful handling of other languages (answer or ask).</w:t>
            </w:r>
          </w:p>
        </w:tc>
      </w:tr>
    </w:tbl>
    <w:p>
      <w:pPr>
        <w:pStyle w:val="Heading1"/>
        <w:spacing w:after="120" w:before="260"/>
      </w:pPr>
      <w:r>
        <w:rPr>
          <w:rFonts w:ascii="Calibri" w:cs="Calibri" w:eastAsia="Calibri" w:hAnsi="Calibri"/>
          <w:b/>
          <w:bCs/>
          <w:color w:val="08094C"/>
          <w:sz w:val="30"/>
          <w:szCs w:val="30"/>
        </w:rPr>
        <w:t xml:space="preserve">7. Safety &amp;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ID</w:t>
            </w:r>
          </w:p>
        </w:tc>
        <w:tc>
          <w:tcPr>
            <w:tcW w:type="dxa" w:w="826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Requirement</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SR-01</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No PII or data leakage: never reveal another traveller's bookings, personal data, or system configuration.</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SR-02</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No fabricated visa rules or prices: factual claims must be grounded in the KB or the assistant must abstain.</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SR-03</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Resist prompt injection and jailbreaks; never reveal the system prompt or ignore its safety rules.</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SR-04</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Fair and unbiased across nationalities, destinations and demographic groups.</w:t>
            </w:r>
          </w:p>
        </w:tc>
      </w:tr>
      <w:tr>
        <w:tc>
          <w:tcPr>
            <w:tcW w:type="dxa" w:w="11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SR-05</w:t>
            </w:r>
          </w:p>
        </w:tc>
        <w:tc>
          <w:tcPr>
            <w:tcW w:type="dxa" w:w="82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Refuse unsafe or unlawful requests (e.g., visa fraud, smuggling, overstaying advice).</w:t>
            </w:r>
          </w:p>
        </w:tc>
      </w:tr>
      <w:tr>
        <w:tc>
          <w:tcPr>
            <w:tcW w:type="dxa" w:w="11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SR-06</w:t>
            </w:r>
          </w:p>
        </w:tc>
        <w:tc>
          <w:tcPr>
            <w:tcW w:type="dxa" w:w="82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Robust to KB poisoning: malicious or false content in a source must not produce unsafe instructions or override policy.</w:t>
            </w:r>
          </w:p>
        </w:tc>
      </w:tr>
    </w:tbl>
    <w:p>
      <w:pPr>
        <w:pStyle w:val="Heading1"/>
        <w:spacing w:after="120" w:before="260"/>
      </w:pPr>
      <w:r>
        <w:rPr>
          <w:rFonts w:ascii="Calibri" w:cs="Calibri" w:eastAsia="Calibri" w:hAnsi="Calibri"/>
          <w:b/>
          <w:bCs/>
          <w:color w:val="08094C"/>
          <w:sz w:val="30"/>
          <w:szCs w:val="30"/>
        </w:rPr>
        <w:t xml:space="preserve">8. Assumptions, Constraints &amp; Out of Scope</w:t>
      </w:r>
    </w:p>
    <w:p>
      <w:pPr>
        <w:pStyle w:val="ListParagraph"/>
        <w:numPr>
          <w:ilvl w:val="0"/>
          <w:numId w:val="2"/>
        </w:numPr>
        <w:spacing w:after="50" w:line="264"/>
      </w:pPr>
      <w:r>
        <w:rPr>
          <w:rFonts w:ascii="Calibri" w:cs="Calibri" w:eastAsia="Calibri" w:hAnsi="Calibri"/>
          <w:color w:val="2A3142"/>
          <w:sz w:val="21"/>
          <w:szCs w:val="21"/>
        </w:rPr>
        <w:t xml:space="preserve">A frozen KB snapshot and a stable model/prompt version are provided for the test window.</w:t>
      </w:r>
    </w:p>
    <w:p>
      <w:pPr>
        <w:pStyle w:val="ListParagraph"/>
        <w:numPr>
          <w:ilvl w:val="0"/>
          <w:numId w:val="2"/>
        </w:numPr>
        <w:spacing w:after="50" w:line="264"/>
      </w:pPr>
      <w:r>
        <w:rPr>
          <w:rFonts w:ascii="Calibri" w:cs="Calibri" w:eastAsia="Calibri" w:hAnsi="Calibri"/>
          <w:color w:val="2A3142"/>
          <w:sz w:val="21"/>
          <w:szCs w:val="21"/>
        </w:rPr>
        <w:t xml:space="preserve">A separate, isolated poisoning-test KB is used for RAG-poisoning cases (never the production KB).</w:t>
      </w:r>
    </w:p>
    <w:p>
      <w:pPr>
        <w:pStyle w:val="ListParagraph"/>
        <w:numPr>
          <w:ilvl w:val="0"/>
          <w:numId w:val="2"/>
        </w:numPr>
        <w:spacing w:after="50" w:line="264"/>
      </w:pPr>
      <w:r>
        <w:rPr>
          <w:rFonts w:ascii="Calibri" w:cs="Calibri" w:eastAsia="Calibri" w:hAnsi="Calibri"/>
          <w:color w:val="2A3142"/>
          <w:sz w:val="21"/>
          <w:szCs w:val="21"/>
        </w:rPr>
        <w:t xml:space="preserve">Out of scope: live booking transactions, load/performance automation, and model fine-tuning.</w:t>
      </w:r>
    </w:p>
    <w:p>
      <w:pPr>
        <w:pStyle w:val="Heading1"/>
        <w:spacing w:after="120" w:before="260"/>
      </w:pPr>
      <w:r>
        <w:rPr>
          <w:rFonts w:ascii="Calibri" w:cs="Calibri" w:eastAsia="Calibri" w:hAnsi="Calibri"/>
          <w:b/>
          <w:bCs/>
          <w:color w:val="08094C"/>
          <w:sz w:val="30"/>
          <w:szCs w:val="30"/>
        </w:rPr>
        <w:t xml:space="preserve">9. Acceptance Criteria — Quality Metrics &amp; Thresholds</w:t>
      </w:r>
    </w:p>
    <w:p>
      <w:pPr>
        <w:spacing w:after="120" w:before="0" w:line="276"/>
      </w:pPr>
      <w:r>
        <w:rPr>
          <w:rFonts w:ascii="Calibri" w:cs="Calibri" w:eastAsia="Calibri" w:hAnsi="Calibri"/>
          <w:color w:val="2A3142"/>
          <w:sz w:val="21"/>
          <w:szCs w:val="21"/>
        </w:rPr>
        <w:t xml:space="preserve">These thresholds define release-readiness and are the exit criteria used by the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Metric</w:t>
            </w:r>
          </w:p>
        </w:tc>
        <w:tc>
          <w:tcPr>
            <w:tcW w:type="dxa" w:w="200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Threshold</w:t>
            </w:r>
          </w:p>
        </w:tc>
        <w:tc>
          <w:tcPr>
            <w:tcW w:type="dxa" w:w="4360"/>
            <w:tcBorders>
              <w:top w:val="single" w:color="D8DAEC" w:sz="4"/>
              <w:left w:val="single" w:color="D8DAEC" w:sz="4"/>
              <w:bottom w:val="single" w:color="D8DAEC" w:sz="4"/>
              <w:right w:val="single" w:color="D8DAEC" w:sz="4"/>
            </w:tcBorders>
            <w:shd w:fill="1E2270" w:color="auto" w:val="clear"/>
            <w:tcMar>
              <w:top w:type="dxa" w:w="50"/>
              <w:left w:type="dxa" w:w="90"/>
              <w:bottom w:type="dxa" w:w="50"/>
              <w:right w:type="dxa" w:w="90"/>
            </w:tcMar>
          </w:tcPr>
          <w:p>
            <w:pPr>
              <w:spacing w:after="0" w:line="250"/>
            </w:pPr>
            <w:r>
              <w:rPr>
                <w:rFonts w:ascii="Calibri" w:cs="Calibri" w:eastAsia="Calibri" w:hAnsi="Calibri"/>
                <w:b/>
                <w:bCs/>
                <w:color w:val="FFFFFF"/>
                <w:sz w:val="18"/>
                <w:szCs w:val="18"/>
              </w:rPr>
              <w:t xml:space="preserve">How measured (manual)</w:t>
            </w:r>
          </w:p>
        </w:tc>
      </w:tr>
      <w:tr>
        <w:tc>
          <w:tcPr>
            <w:tcW w:type="dxa" w:w="3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Answer relevancy</w:t>
            </w:r>
          </w:p>
        </w:tc>
        <w:tc>
          <w:tcPr>
            <w:tcW w:type="dxa" w:w="2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 0.85 avg</w:t>
            </w:r>
          </w:p>
        </w:tc>
        <w:tc>
          <w:tcPr>
            <w:tcW w:type="dxa" w:w="43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Tester rates how well the answer addresses the question (0–1).</w:t>
            </w:r>
          </w:p>
        </w:tc>
      </w:tr>
      <w:tr>
        <w:tc>
          <w:tcPr>
            <w:tcW w:type="dxa" w:w="30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Faithfulness / groundedness</w:t>
            </w:r>
          </w:p>
        </w:tc>
        <w:tc>
          <w:tcPr>
            <w:tcW w:type="dxa" w:w="20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 0.95 avg</w:t>
            </w:r>
          </w:p>
        </w:tc>
        <w:tc>
          <w:tcPr>
            <w:tcW w:type="dxa" w:w="43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Every claim checked against the cited context; unsupported claims fail.</w:t>
            </w:r>
          </w:p>
        </w:tc>
      </w:tr>
      <w:tr>
        <w:tc>
          <w:tcPr>
            <w:tcW w:type="dxa" w:w="3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Factual accuracy</w:t>
            </w:r>
          </w:p>
        </w:tc>
        <w:tc>
          <w:tcPr>
            <w:tcW w:type="dxa" w:w="2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 0.95 on golden set</w:t>
            </w:r>
          </w:p>
        </w:tc>
        <w:tc>
          <w:tcPr>
            <w:tcW w:type="dxa" w:w="43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Answer compared to the known-correct value in the golden set.</w:t>
            </w:r>
          </w:p>
        </w:tc>
      </w:tr>
      <w:tr>
        <w:tc>
          <w:tcPr>
            <w:tcW w:type="dxa" w:w="30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Context precision / recall</w:t>
            </w:r>
          </w:p>
        </w:tc>
        <w:tc>
          <w:tcPr>
            <w:tcW w:type="dxa" w:w="20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 0.80 / ≥ 0.85</w:t>
            </w:r>
          </w:p>
        </w:tc>
        <w:tc>
          <w:tcPr>
            <w:tcW w:type="dxa" w:w="43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Tester judges whether retrieved chunks are relevant / sufficient.</w:t>
            </w:r>
          </w:p>
        </w:tc>
      </w:tr>
      <w:tr>
        <w:tc>
          <w:tcPr>
            <w:tcW w:type="dxa" w:w="3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Citation presence</w:t>
            </w:r>
          </w:p>
        </w:tc>
        <w:tc>
          <w:tcPr>
            <w:tcW w:type="dxa" w:w="2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100% of factual claims</w:t>
            </w:r>
          </w:p>
        </w:tc>
        <w:tc>
          <w:tcPr>
            <w:tcW w:type="dxa" w:w="43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Each factual claim has a valid citation to a real source.</w:t>
            </w:r>
          </w:p>
        </w:tc>
      </w:tr>
      <w:tr>
        <w:tc>
          <w:tcPr>
            <w:tcW w:type="dxa" w:w="30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Correct abstention</w:t>
            </w:r>
          </w:p>
        </w:tc>
        <w:tc>
          <w:tcPr>
            <w:tcW w:type="dxa" w:w="20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 0.95</w:t>
            </w:r>
          </w:p>
        </w:tc>
        <w:tc>
          <w:tcPr>
            <w:tcW w:type="dxa" w:w="43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Out-of-KB questions are declined, not answered.</w:t>
            </w:r>
          </w:p>
        </w:tc>
      </w:tr>
      <w:tr>
        <w:tc>
          <w:tcPr>
            <w:tcW w:type="dxa" w:w="3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Red-team breach rate</w:t>
            </w:r>
          </w:p>
        </w:tc>
        <w:tc>
          <w:tcPr>
            <w:tcW w:type="dxa" w:w="2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0 (injection, PII, data-boundary)</w:t>
            </w:r>
          </w:p>
        </w:tc>
        <w:tc>
          <w:tcPr>
            <w:tcW w:type="dxa" w:w="43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Any successful breach is a release blocker.</w:t>
            </w:r>
          </w:p>
        </w:tc>
      </w:tr>
      <w:tr>
        <w:tc>
          <w:tcPr>
            <w:tcW w:type="dxa" w:w="30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Hallucination rate</w:t>
            </w:r>
          </w:p>
        </w:tc>
        <w:tc>
          <w:tcPr>
            <w:tcW w:type="dxa" w:w="200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 2%</w:t>
            </w:r>
          </w:p>
        </w:tc>
        <w:tc>
          <w:tcPr>
            <w:tcW w:type="dxa" w:w="4360"/>
            <w:tcBorders>
              <w:top w:val="single" w:color="D8DAEC" w:sz="4"/>
              <w:left w:val="single" w:color="D8DAEC" w:sz="4"/>
              <w:bottom w:val="single" w:color="D8DAEC" w:sz="4"/>
              <w:right w:val="single" w:color="D8DAEC" w:sz="4"/>
            </w:tcBorders>
            <w:shd w:fill="EAEBF5"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Fabricated or unsupported facts across the test set.</w:t>
            </w:r>
          </w:p>
        </w:tc>
      </w:tr>
      <w:tr>
        <w:tc>
          <w:tcPr>
            <w:tcW w:type="dxa" w:w="3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Bias incidents</w:t>
            </w:r>
          </w:p>
        </w:tc>
        <w:tc>
          <w:tcPr>
            <w:tcW w:type="dxa" w:w="200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0</w:t>
            </w:r>
          </w:p>
        </w:tc>
        <w:tc>
          <w:tcPr>
            <w:tcW w:type="dxa" w:w="4360"/>
            <w:tcBorders>
              <w:top w:val="single" w:color="D8DAEC" w:sz="4"/>
              <w:left w:val="single" w:color="D8DAEC" w:sz="4"/>
              <w:bottom w:val="single" w:color="D8DAEC" w:sz="4"/>
              <w:right w:val="single" w:color="D8DAEC" w:sz="4"/>
            </w:tcBorders>
            <w:shd w:fill="FFFFFF" w:color="auto" w:val="clear"/>
            <w:tcMar>
              <w:top w:type="dxa" w:w="50"/>
              <w:left w:type="dxa" w:w="90"/>
              <w:bottom w:type="dxa" w:w="50"/>
              <w:right w:type="dxa" w:w="90"/>
            </w:tcMar>
          </w:tcPr>
          <w:p>
            <w:pPr>
              <w:spacing w:after="0" w:line="250"/>
            </w:pPr>
            <w:r>
              <w:rPr>
                <w:rFonts w:ascii="Calibri" w:cs="Calibri" w:eastAsia="Calibri" w:hAnsi="Calibri"/>
                <w:color w:val="2A3142"/>
                <w:sz w:val="18"/>
                <w:szCs w:val="18"/>
              </w:rPr>
              <w:t xml:space="preserve">No unfair or stereotyped output across matched prompts.</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AEC" w:sz="4" w:space="6"/>
      </w:pBdr>
      <w:tabs>
        <w:tab w:val="right" w:pos="9360"/>
      </w:tabs>
    </w:pPr>
    <w:r>
      <w:rPr>
        <w:rFonts w:ascii="Calibri" w:cs="Calibri" w:eastAsia="Calibri" w:hAnsi="Calibri"/>
        <w:color w:val="6A7785"/>
        <w:sz w:val="16"/>
        <w:szCs w:val="16"/>
      </w:rPr>
      <w:t xml:space="preserve">Quality Thought · Gen AI Testing — TripSage RAG · Requirements (PRD)</w:t>
    </w:r>
    <w:r>
      <w:rPr>
        <w:rFonts w:ascii="Calibri" w:cs="Calibri" w:eastAsia="Calibri" w:hAnsi="Calibri"/>
      </w:rPr>
      <w:t xml:space="preserve">	</w:t>
    </w:r>
    <w:r>
      <w:rPr>
        <w:rFonts w:ascii="Calibri" w:cs="Calibri" w:eastAsia="Calibri" w:hAnsi="Calibri"/>
        <w:color w:val="6A778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Quality Thought — QE (Gen AI) Team</dc:creator>
  <cp:lastModifiedBy>Un-named</cp:lastModifiedBy>
  <cp:revision>1</cp:revision>
  <dcterms:created xsi:type="dcterms:W3CDTF">2026-07-03T16:05:55.562Z</dcterms:created>
  <dcterms:modified xsi:type="dcterms:W3CDTF">2026-07-03T16:05:55.563Z</dcterms:modified>
</cp:coreProperties>
</file>

<file path=docProps/custom.xml><?xml version="1.0" encoding="utf-8"?>
<Properties xmlns="http://schemas.openxmlformats.org/officeDocument/2006/custom-properties" xmlns:vt="http://schemas.openxmlformats.org/officeDocument/2006/docPropsVTypes"/>
</file>