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8D" w:rsidRPr="008C148D" w:rsidRDefault="008C148D" w:rsidP="00170859">
      <w:pPr>
        <w:jc w:val="center"/>
      </w:pPr>
      <w:r w:rsidRPr="008C148D">
        <w:rPr>
          <w:noProof/>
          <w:lang w:val="en-GB" w:eastAsia="en-GB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151A20" w:rsidP="00170859">
      <w:pPr>
        <w:jc w:val="center"/>
        <w:rPr>
          <w:sz w:val="48"/>
          <w:szCs w:val="48"/>
        </w:rPr>
      </w:pPr>
      <w:r w:rsidRPr="00151A20">
        <w:rPr>
          <w:sz w:val="48"/>
          <w:szCs w:val="48"/>
        </w:rPr>
        <w:t>QEFormStateChange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:rsidR="00FB4AD2" w:rsidRDefault="00FB4AD2" w:rsidP="00170859">
      <w:pPr>
        <w:jc w:val="center"/>
      </w:pPr>
      <w:r>
        <w:t>Andrew Starritt</w:t>
      </w:r>
    </w:p>
    <w:p w:rsidR="00170859" w:rsidRDefault="00E331D2" w:rsidP="00170859">
      <w:pPr>
        <w:jc w:val="center"/>
      </w:pPr>
      <w:r>
        <w:t>2</w:t>
      </w:r>
      <w:r w:rsidR="0079716E">
        <w:t>5</w:t>
      </w:r>
      <w:r w:rsidR="009A2A07">
        <w:rPr>
          <w:vertAlign w:val="superscript"/>
        </w:rPr>
        <w:t xml:space="preserve">th </w:t>
      </w:r>
      <w:r w:rsidR="00FC334A">
        <w:t>April</w:t>
      </w:r>
      <w:r w:rsidR="006B260E">
        <w:t xml:space="preserve"> </w:t>
      </w:r>
      <w:r w:rsidR="00FC334A">
        <w:t>2019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2019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C3141" w:rsidRDefault="001C3141">
          <w:pPr>
            <w:pStyle w:val="TOCHeading"/>
          </w:pPr>
          <w:r>
            <w:t>Contents</w:t>
          </w:r>
          <w:bookmarkStart w:id="0" w:name="_GoBack"/>
          <w:bookmarkEnd w:id="0"/>
        </w:p>
        <w:p w:rsidR="0092375B" w:rsidRDefault="00FD7585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7121711" w:history="1">
            <w:r w:rsidR="0092375B" w:rsidRPr="0018317B">
              <w:rPr>
                <w:rStyle w:val="Hyperlink"/>
                <w:noProof/>
              </w:rPr>
              <w:t>Introduction</w:t>
            </w:r>
            <w:r w:rsidR="0092375B">
              <w:rPr>
                <w:noProof/>
                <w:webHidden/>
              </w:rPr>
              <w:tab/>
            </w:r>
            <w:r w:rsidR="0092375B">
              <w:rPr>
                <w:noProof/>
                <w:webHidden/>
              </w:rPr>
              <w:fldChar w:fldCharType="begin"/>
            </w:r>
            <w:r w:rsidR="0092375B">
              <w:rPr>
                <w:noProof/>
                <w:webHidden/>
              </w:rPr>
              <w:instrText xml:space="preserve"> PAGEREF _Toc7121711 \h </w:instrText>
            </w:r>
            <w:r w:rsidR="0092375B">
              <w:rPr>
                <w:noProof/>
                <w:webHidden/>
              </w:rPr>
            </w:r>
            <w:r w:rsidR="0092375B">
              <w:rPr>
                <w:noProof/>
                <w:webHidden/>
              </w:rPr>
              <w:fldChar w:fldCharType="separate"/>
            </w:r>
            <w:r w:rsidR="0092375B">
              <w:rPr>
                <w:noProof/>
                <w:webHidden/>
              </w:rPr>
              <w:t>3</w:t>
            </w:r>
            <w:r w:rsidR="0092375B"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2" w:history="1">
            <w:r w:rsidRPr="001831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3" w:history="1">
            <w:r w:rsidRPr="0018317B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4" w:history="1">
            <w:r w:rsidRPr="0018317B">
              <w:rPr>
                <w:rStyle w:val="Hyperlink"/>
                <w:noProof/>
              </w:rPr>
              <w:t>variableOpen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5" w:history="1">
            <w:r w:rsidRPr="0018317B">
              <w:rPr>
                <w:rStyle w:val="Hyperlink"/>
                <w:noProof/>
              </w:rPr>
              <w:t>variableClose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6" w:history="1">
            <w:r w:rsidRPr="0018317B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7" w:history="1">
            <w:r w:rsidRPr="0018317B">
              <w:rPr>
                <w:rStyle w:val="Hyperlink"/>
                <w:noProof/>
              </w:rPr>
              <w:t>format : QEFormStateChange::Format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8" w:history="1">
            <w:r w:rsidRPr="0018317B">
              <w:rPr>
                <w:rStyle w:val="Hyperlink"/>
                <w:noProof/>
              </w:rPr>
              <w:t>openText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19" w:history="1">
            <w:r w:rsidRPr="0018317B">
              <w:rPr>
                <w:rStyle w:val="Hyperlink"/>
                <w:noProof/>
              </w:rPr>
              <w:t>openProgram :QString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20" w:history="1">
            <w:r w:rsidRPr="0018317B">
              <w:rPr>
                <w:rStyle w:val="Hyperlink"/>
                <w:noProof/>
              </w:rPr>
              <w:t>openArguments : QStringList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21" w:history="1">
            <w:r w:rsidRPr="0018317B">
              <w:rPr>
                <w:rStyle w:val="Hyperlink"/>
                <w:noProof/>
              </w:rPr>
              <w:t>closeText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22" w:history="1">
            <w:r w:rsidRPr="0018317B">
              <w:rPr>
                <w:rStyle w:val="Hyperlink"/>
                <w:noProof/>
              </w:rPr>
              <w:t>closeProgram :QString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23" w:history="1">
            <w:r w:rsidRPr="0018317B">
              <w:rPr>
                <w:rStyle w:val="Hyperlink"/>
                <w:noProof/>
              </w:rPr>
              <w:t>closeArguments : QStringList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5B" w:rsidRDefault="0092375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121724" w:history="1">
            <w:r w:rsidRPr="0018317B">
              <w:rPr>
                <w:rStyle w:val="Hyperlink"/>
                <w:noProof/>
              </w:rPr>
              <w:t>runVisible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fldChar w:fldCharType="end"/>
          </w:r>
        </w:p>
      </w:sdtContent>
    </w:sdt>
    <w:p w:rsidR="008C148D" w:rsidRDefault="008C148D">
      <w:pPr>
        <w:sectPr w:rsidR="008C148D" w:rsidSect="0052491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1" w:name="_Ref342384189"/>
      <w:bookmarkStart w:id="2" w:name="_Toc7121711"/>
      <w:r>
        <w:lastRenderedPageBreak/>
        <w:t>Introduction</w:t>
      </w:r>
      <w:bookmarkEnd w:id="1"/>
      <w:bookmarkEnd w:id="2"/>
    </w:p>
    <w:p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151A20" w:rsidRPr="00151A20">
        <w:t>QEFormStateChange</w:t>
      </w:r>
      <w:r w:rsidR="00151A20">
        <w:t xml:space="preserve"> </w:t>
      </w:r>
      <w:r w:rsidR="003905FF">
        <w:t>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1" w:history="1">
        <w:r w:rsidR="00F15CBE">
          <w:rPr>
            <w:rStyle w:val="Hyperlink"/>
          </w:rPr>
          <w:t>http://www.gnu.org/licenses/lgpl-3.0-standalone.html</w:t>
        </w:r>
      </w:hyperlink>
    </w:p>
    <w:p w:rsidR="004939B2" w:rsidRDefault="0032316B" w:rsidP="00816937">
      <w:pPr>
        <w:pStyle w:val="Heading1"/>
      </w:pPr>
      <w:bookmarkStart w:id="3" w:name="_Toc7121712"/>
      <w:r>
        <w:t>Descript</w:t>
      </w:r>
      <w:r w:rsidR="003905FF">
        <w:t>ion</w:t>
      </w:r>
      <w:bookmarkEnd w:id="3"/>
    </w:p>
    <w:p w:rsidR="00151A20" w:rsidRDefault="00AB4226" w:rsidP="00151A20">
      <w:r>
        <w:t xml:space="preserve">The </w:t>
      </w:r>
      <w:r w:rsidR="00151A20" w:rsidRPr="00151A20">
        <w:t>QEFormStateChange</w:t>
      </w:r>
      <w:r w:rsidR="00151A20">
        <w:t xml:space="preserve"> is a non-visible widget like </w:t>
      </w:r>
      <w:r w:rsidR="004E74D4">
        <w:t xml:space="preserve">the </w:t>
      </w:r>
      <w:r w:rsidR="00151A20">
        <w:t>QELink</w:t>
      </w:r>
      <w:r w:rsidR="004E74D4">
        <w:t xml:space="preserve"> widget</w:t>
      </w:r>
      <w:r w:rsidR="00151A20">
        <w:t xml:space="preserve">. </w:t>
      </w:r>
      <w:r w:rsidR="00151A20">
        <w:t>This widget is capable of responding to window/form open and close events.</w:t>
      </w:r>
      <w:r w:rsidR="00151A20">
        <w:t xml:space="preserve"> </w:t>
      </w:r>
      <w:r w:rsidR="00151A20">
        <w:t xml:space="preserve">On </w:t>
      </w:r>
      <w:r w:rsidR="004E74D4">
        <w:t xml:space="preserve">form </w:t>
      </w:r>
      <w:r w:rsidR="00151A20">
        <w:t xml:space="preserve">open and/or close the widget can write to a PV and/or </w:t>
      </w:r>
      <w:r w:rsidR="00151A20">
        <w:t>execute</w:t>
      </w:r>
      <w:r w:rsidR="00151A20">
        <w:t xml:space="preserve"> </w:t>
      </w:r>
      <w:r w:rsidR="004E74D4">
        <w:t>arbitrary</w:t>
      </w:r>
      <w:r w:rsidR="00151A20">
        <w:t xml:space="preserve"> </w:t>
      </w:r>
      <w:r w:rsidR="00151A20">
        <w:t>local program</w:t>
      </w:r>
      <w:r w:rsidR="004E74D4">
        <w:t>s</w:t>
      </w:r>
      <w:r w:rsidR="00151A20">
        <w:t>/scripts. This is not unlike automatically clicking a QEPushButton on open</w:t>
      </w:r>
      <w:r w:rsidR="004E74D4">
        <w:t xml:space="preserve"> and</w:t>
      </w:r>
      <w:r w:rsidR="00151A20">
        <w:t>/</w:t>
      </w:r>
      <w:r w:rsidR="004E74D4">
        <w:t xml:space="preserve">or </w:t>
      </w:r>
      <w:r w:rsidR="00151A20">
        <w:t xml:space="preserve">close, save that there is no option to open another </w:t>
      </w:r>
      <w:r w:rsidR="00151A20">
        <w:t>.</w:t>
      </w:r>
      <w:r w:rsidR="00151A20">
        <w:t>ui file.</w:t>
      </w:r>
    </w:p>
    <w:p w:rsidR="00151A20" w:rsidRDefault="00151A20" w:rsidP="00151A20">
      <w:r>
        <w:t xml:space="preserve">While in designer, the </w:t>
      </w:r>
      <w:r w:rsidRPr="00151A20">
        <w:t>QEFormStateChange</w:t>
      </w:r>
      <w:r w:rsidR="00E07AA5">
        <w:t xml:space="preserve"> is visible as a small 16</w:t>
      </w:r>
      <w:r>
        <w:t>x</w:t>
      </w:r>
      <w:r w:rsidR="00E07AA5">
        <w:t>16</w:t>
      </w:r>
      <w:r>
        <w:t xml:space="preserve"> pixel </w:t>
      </w:r>
      <w:r w:rsidR="00E07AA5">
        <w:t>pale blue</w:t>
      </w:r>
      <w:r>
        <w:t xml:space="preserve"> </w:t>
      </w:r>
      <w:r w:rsidR="004E74D4">
        <w:t>rectangle</w:t>
      </w:r>
      <w:r>
        <w:t>.</w:t>
      </w:r>
      <w:r w:rsidR="004E74D4">
        <w:t xml:space="preserve"> It is not immune to </w:t>
      </w:r>
      <w:proofErr w:type="spellStart"/>
      <w:r w:rsidR="004E74D4">
        <w:t>Qt’s</w:t>
      </w:r>
      <w:proofErr w:type="spellEnd"/>
      <w:r w:rsidR="004E74D4">
        <w:t xml:space="preserve"> layout system, but as non-visible at runtime, it should not impact the run time layout.</w:t>
      </w:r>
    </w:p>
    <w:p w:rsidR="004E74D4" w:rsidRDefault="004E74D4" w:rsidP="00151A20">
      <w:r>
        <w:t xml:space="preserve">A form may contain many </w:t>
      </w:r>
      <w:r w:rsidRPr="00151A20">
        <w:t>QEFormStateChange</w:t>
      </w:r>
      <w:r>
        <w:t xml:space="preserve"> widget</w:t>
      </w:r>
      <w:r>
        <w:t xml:space="preserve">s. The order in which PVs are written and programs are executed should be considered arbitrary. The widget </w:t>
      </w:r>
      <w:r w:rsidRPr="004E74D4">
        <w:rPr>
          <w:b/>
          <w:i/>
        </w:rPr>
        <w:t>does not</w:t>
      </w:r>
      <w:r>
        <w:t xml:space="preserve"> support any kind of order of execution mechanism.</w:t>
      </w:r>
    </w:p>
    <w:p w:rsidR="00D707FC" w:rsidRDefault="00D707FC" w:rsidP="009E46C3">
      <w:pPr>
        <w:pStyle w:val="Heading1"/>
      </w:pPr>
      <w:bookmarkStart w:id="4" w:name="_Toc7121713"/>
      <w:r>
        <w:t>Properties</w:t>
      </w:r>
      <w:bookmarkEnd w:id="4"/>
    </w:p>
    <w:p w:rsidR="004939B2" w:rsidRDefault="007A3CE3" w:rsidP="007A3CE3">
      <w:r>
        <w:t xml:space="preserve">The </w:t>
      </w:r>
      <w:r w:rsidR="00151A20" w:rsidRPr="00151A20">
        <w:t>QEFormStateChange</w:t>
      </w:r>
      <w:r w:rsidR="00151A20">
        <w:t xml:space="preserve"> </w:t>
      </w:r>
      <w:r>
        <w:t xml:space="preserve">inherits directly from </w:t>
      </w:r>
      <w:r w:rsidR="00151A20">
        <w:t xml:space="preserve">QWidget </w:t>
      </w:r>
      <w:r>
        <w:t xml:space="preserve">and as such inherits all the </w:t>
      </w:r>
      <w:r w:rsidR="002C65DF">
        <w:t xml:space="preserve">QWidget </w:t>
      </w:r>
      <w:r>
        <w:t xml:space="preserve">properties. The widget </w:t>
      </w:r>
      <w:r w:rsidR="009F798A">
        <w:t xml:space="preserve">has the following </w:t>
      </w:r>
      <w:r>
        <w:t xml:space="preserve">class specific </w:t>
      </w:r>
      <w:r w:rsidR="0032316B">
        <w:t>properties.</w:t>
      </w:r>
    </w:p>
    <w:p w:rsidR="00151A20" w:rsidRDefault="00151A20" w:rsidP="00151A20">
      <w:pPr>
        <w:pStyle w:val="Heading2"/>
      </w:pPr>
      <w:bookmarkStart w:id="5" w:name="_Ref7119467"/>
      <w:bookmarkStart w:id="6" w:name="_Ref7120183"/>
      <w:bookmarkStart w:id="7" w:name="_Toc7121714"/>
      <w:proofErr w:type="gramStart"/>
      <w:r>
        <w:t>variable</w:t>
      </w:r>
      <w:r>
        <w:t>Open</w:t>
      </w:r>
      <w:r>
        <w:t xml:space="preserve"> :</w:t>
      </w:r>
      <w:proofErr w:type="gramEnd"/>
      <w:r>
        <w:t xml:space="preserve"> QString</w:t>
      </w:r>
      <w:bookmarkEnd w:id="5"/>
      <w:bookmarkEnd w:id="6"/>
      <w:bookmarkEnd w:id="7"/>
    </w:p>
    <w:p w:rsidR="00151A20" w:rsidRDefault="00151A20" w:rsidP="00151A20">
      <w:r>
        <w:t xml:space="preserve">This defines the process variable name </w:t>
      </w:r>
      <w:r>
        <w:t>to be written to when the form is opened.</w:t>
      </w:r>
    </w:p>
    <w:p w:rsidR="00151A20" w:rsidRDefault="00151A20" w:rsidP="00151A20">
      <w:pPr>
        <w:pStyle w:val="Heading2"/>
      </w:pPr>
      <w:bookmarkStart w:id="8" w:name="_Ref7120683"/>
      <w:bookmarkStart w:id="9" w:name="_Toc7121715"/>
      <w:proofErr w:type="spellStart"/>
      <w:proofErr w:type="gramStart"/>
      <w:r>
        <w:t>variable</w:t>
      </w:r>
      <w:r>
        <w:t>Close</w:t>
      </w:r>
      <w:proofErr w:type="spellEnd"/>
      <w:r>
        <w:t xml:space="preserve"> :</w:t>
      </w:r>
      <w:proofErr w:type="gramEnd"/>
      <w:r>
        <w:t xml:space="preserve"> QString</w:t>
      </w:r>
      <w:bookmarkEnd w:id="8"/>
      <w:bookmarkEnd w:id="9"/>
    </w:p>
    <w:p w:rsidR="00151A20" w:rsidRDefault="00151A20" w:rsidP="00151A20">
      <w:r>
        <w:t xml:space="preserve">This defines the process variable name to be written to when the form is </w:t>
      </w:r>
      <w:r>
        <w:t>closed</w:t>
      </w:r>
      <w:r>
        <w:t>.</w:t>
      </w:r>
      <w:r>
        <w:t xml:space="preserve"> It m</w:t>
      </w:r>
      <w:r w:rsidRPr="00151A20">
        <w:t>ay be the same as the open variable.</w:t>
      </w:r>
    </w:p>
    <w:p w:rsidR="009E46C3" w:rsidRDefault="009E46C3" w:rsidP="007E1CF1">
      <w:pPr>
        <w:pStyle w:val="Heading2"/>
      </w:pPr>
      <w:bookmarkStart w:id="10" w:name="_Toc7121716"/>
      <w:proofErr w:type="gramStart"/>
      <w:r>
        <w:t>variableSubstitutions</w:t>
      </w:r>
      <w:r w:rsidR="007E1CF1">
        <w:t xml:space="preserve"> :</w:t>
      </w:r>
      <w:proofErr w:type="gramEnd"/>
      <w:r w:rsidR="007E1CF1">
        <w:t xml:space="preserve"> QString</w:t>
      </w:r>
      <w:bookmarkEnd w:id="10"/>
    </w:p>
    <w:p w:rsidR="007E1CF1" w:rsidRDefault="007E1CF1" w:rsidP="009E46C3">
      <w:r>
        <w:t xml:space="preserve">This defines the default substitutions that are applied to </w:t>
      </w:r>
      <w:r w:rsidR="00151A20">
        <w:t>both</w:t>
      </w:r>
      <w:r>
        <w:t xml:space="preserve"> variable name</w:t>
      </w:r>
      <w:r w:rsidR="00151A20">
        <w:t>s</w:t>
      </w:r>
      <w:r>
        <w:t>.</w:t>
      </w:r>
    </w:p>
    <w:p w:rsidR="007E1CF1" w:rsidRDefault="00151A20" w:rsidP="007E1CF1">
      <w:pPr>
        <w:pStyle w:val="Heading2"/>
      </w:pPr>
      <w:bookmarkStart w:id="11" w:name="_Toc7121717"/>
      <w:proofErr w:type="gramStart"/>
      <w:r>
        <w:t>format</w:t>
      </w:r>
      <w:r w:rsidR="007E1CF1">
        <w:t xml:space="preserve"> :</w:t>
      </w:r>
      <w:proofErr w:type="gramEnd"/>
      <w:r>
        <w:t xml:space="preserve"> </w:t>
      </w:r>
      <w:r w:rsidR="0070038B" w:rsidRPr="00151A20">
        <w:t>QEFormStateChange</w:t>
      </w:r>
      <w:r w:rsidR="0070038B">
        <w:t>::Format</w:t>
      </w:r>
      <w:bookmarkEnd w:id="11"/>
    </w:p>
    <w:p w:rsidR="005B08A2" w:rsidRDefault="005B08A2" w:rsidP="005B08A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 w:rsidR="00151A20">
        <w:t xml:space="preserve"> Default</w:t>
      </w:r>
    </w:p>
    <w:p w:rsidR="00151A20" w:rsidRDefault="00151A20" w:rsidP="009E46C3">
      <w:r>
        <w:t xml:space="preserve">The format applied to the date written to both the open and close </w:t>
      </w:r>
      <w:r w:rsidR="0070038B">
        <w:t>PVs.</w:t>
      </w:r>
    </w:p>
    <w:p w:rsidR="0070038B" w:rsidRDefault="0070038B" w:rsidP="009E46C3"/>
    <w:p w:rsidR="006257F7" w:rsidRDefault="006257F7" w:rsidP="009E46C3"/>
    <w:p w:rsidR="007E1CF1" w:rsidRDefault="0070038B" w:rsidP="007E1CF1">
      <w:pPr>
        <w:pStyle w:val="Heading2"/>
      </w:pPr>
      <w:bookmarkStart w:id="12" w:name="_Ref7119445"/>
      <w:bookmarkStart w:id="13" w:name="_Toc7121718"/>
      <w:proofErr w:type="spellStart"/>
      <w:proofErr w:type="gramStart"/>
      <w:r>
        <w:t>openText</w:t>
      </w:r>
      <w:proofErr w:type="spellEnd"/>
      <w:r w:rsidR="007E1CF1">
        <w:t xml:space="preserve"> :</w:t>
      </w:r>
      <w:proofErr w:type="gramEnd"/>
      <w:r w:rsidR="007E1CF1">
        <w:t xml:space="preserve"> </w:t>
      </w:r>
      <w:r>
        <w:t>QString</w:t>
      </w:r>
      <w:bookmarkEnd w:id="12"/>
      <w:bookmarkEnd w:id="13"/>
    </w:p>
    <w:p w:rsidR="005B08A2" w:rsidRDefault="005B08A2" w:rsidP="005B08A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 w:rsidR="0070038B">
        <w:t xml:space="preserve"> </w:t>
      </w:r>
      <w:r w:rsidR="00E07AA5">
        <w:t>1</w:t>
      </w:r>
    </w:p>
    <w:p w:rsidR="0070038B" w:rsidRDefault="0070038B" w:rsidP="005B08A2">
      <w:r>
        <w:t>The value written when the form is opened provided</w:t>
      </w:r>
      <w:r w:rsidR="002D5121">
        <w:t xml:space="preserve"> the</w:t>
      </w:r>
      <w:r>
        <w:t xml:space="preserve"> </w:t>
      </w:r>
      <w:r w:rsidR="00E07AA5">
        <w:fldChar w:fldCharType="begin"/>
      </w:r>
      <w:r w:rsidR="00E07AA5">
        <w:instrText xml:space="preserve"> REF _Ref7120183 \h </w:instrText>
      </w:r>
      <w:r w:rsidR="00E07AA5">
        <w:fldChar w:fldCharType="separate"/>
      </w:r>
      <w:proofErr w:type="gramStart"/>
      <w:r w:rsidR="0092375B">
        <w:t>variable</w:t>
      </w:r>
      <w:r w:rsidR="0092375B">
        <w:t>Open</w:t>
      </w:r>
      <w:r w:rsidR="0092375B">
        <w:t xml:space="preserve"> :</w:t>
      </w:r>
      <w:proofErr w:type="gramEnd"/>
      <w:r w:rsidR="0092375B">
        <w:t xml:space="preserve"> QString</w:t>
      </w:r>
      <w:r w:rsidR="00E07AA5">
        <w:fldChar w:fldCharType="end"/>
      </w:r>
      <w:r w:rsidR="00E07AA5">
        <w:t xml:space="preserve"> </w:t>
      </w:r>
      <w:r w:rsidR="002D5121">
        <w:t xml:space="preserve">property </w:t>
      </w:r>
      <w:r>
        <w:t xml:space="preserve">is defined and </w:t>
      </w:r>
      <w:r w:rsidR="002D5121">
        <w:t xml:space="preserve">the nominated PV has </w:t>
      </w:r>
      <w:r>
        <w:t>connected.</w:t>
      </w:r>
    </w:p>
    <w:p w:rsidR="005B08A2" w:rsidRDefault="0070038B" w:rsidP="005B08A2">
      <w:pPr>
        <w:pStyle w:val="Heading2"/>
      </w:pPr>
      <w:bookmarkStart w:id="14" w:name="_Toc7121719"/>
      <w:proofErr w:type="spellStart"/>
      <w:proofErr w:type="gramStart"/>
      <w:r>
        <w:t>openProgram</w:t>
      </w:r>
      <w:proofErr w:type="spellEnd"/>
      <w:proofErr w:type="gramEnd"/>
      <w:r w:rsidR="005B08A2">
        <w:t xml:space="preserve"> :</w:t>
      </w:r>
      <w:r>
        <w:t>QString</w:t>
      </w:r>
      <w:bookmarkEnd w:id="14"/>
    </w:p>
    <w:p w:rsidR="006257F7" w:rsidRDefault="006257F7" w:rsidP="006257F7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empty</w:t>
      </w:r>
      <w:r>
        <w:t xml:space="preserve"> string</w:t>
      </w:r>
    </w:p>
    <w:p w:rsidR="006257F7" w:rsidRDefault="002D5121" w:rsidP="006257F7">
      <w:r>
        <w:t>This specifies the</w:t>
      </w:r>
      <w:r w:rsidR="006257F7">
        <w:t xml:space="preserve"> p</w:t>
      </w:r>
      <w:r w:rsidR="006257F7">
        <w:t>rogram to</w:t>
      </w:r>
      <w:r>
        <w:t xml:space="preserve"> be</w:t>
      </w:r>
      <w:r w:rsidR="006257F7">
        <w:t xml:space="preserve"> run when the </w:t>
      </w:r>
      <w:r w:rsidR="006257F7">
        <w:t xml:space="preserve">form is opened. </w:t>
      </w:r>
      <w:r w:rsidR="006257F7">
        <w:t>No attempt to run a program is made if this property is empty.</w:t>
      </w:r>
    </w:p>
    <w:p w:rsidR="005B08A2" w:rsidRDefault="0070038B" w:rsidP="001F60EB">
      <w:pPr>
        <w:pStyle w:val="Heading2"/>
      </w:pPr>
      <w:bookmarkStart w:id="15" w:name="_Toc7121720"/>
      <w:proofErr w:type="spellStart"/>
      <w:proofErr w:type="gramStart"/>
      <w:r>
        <w:t>openArguments</w:t>
      </w:r>
      <w:proofErr w:type="spellEnd"/>
      <w:r w:rsidR="001F60EB">
        <w:t xml:space="preserve"> :</w:t>
      </w:r>
      <w:proofErr w:type="gramEnd"/>
      <w:r>
        <w:t xml:space="preserve"> </w:t>
      </w:r>
      <w:proofErr w:type="spellStart"/>
      <w:r>
        <w:t>QStringList</w:t>
      </w:r>
      <w:bookmarkEnd w:id="15"/>
      <w:proofErr w:type="spellEnd"/>
    </w:p>
    <w:p w:rsidR="001F60EB" w:rsidRDefault="001F60EB" w:rsidP="006257F7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 w:rsidR="0070038B">
        <w:t xml:space="preserve"> empty</w:t>
      </w:r>
      <w:r w:rsidR="006257F7">
        <w:t xml:space="preserve"> list</w:t>
      </w:r>
    </w:p>
    <w:p w:rsidR="002D5121" w:rsidRDefault="006257F7" w:rsidP="002D5121">
      <w:bookmarkStart w:id="16" w:name="_Ref7093808"/>
      <w:r w:rsidRPr="006257F7">
        <w:t>Arguments</w:t>
      </w:r>
      <w:r>
        <w:t xml:space="preserve"> for program specified in the </w:t>
      </w:r>
      <w:r w:rsidR="002D5121" w:rsidRPr="002D5121">
        <w:t>"</w:t>
      </w:r>
      <w:proofErr w:type="spellStart"/>
      <w:r>
        <w:t>openP</w:t>
      </w:r>
      <w:r w:rsidRPr="006257F7">
        <w:t>rogram</w:t>
      </w:r>
      <w:proofErr w:type="spellEnd"/>
      <w:r w:rsidR="002D5121" w:rsidRPr="002D5121">
        <w:t>"</w:t>
      </w:r>
      <w:r w:rsidRPr="006257F7">
        <w:t xml:space="preserve"> property.</w:t>
      </w:r>
      <w:bookmarkEnd w:id="16"/>
    </w:p>
    <w:p w:rsidR="002D5121" w:rsidRDefault="002D5121" w:rsidP="002D5121">
      <w:pPr>
        <w:pStyle w:val="Heading2"/>
      </w:pPr>
      <w:bookmarkStart w:id="17" w:name="_Toc7121721"/>
      <w:proofErr w:type="spellStart"/>
      <w:proofErr w:type="gramStart"/>
      <w:r>
        <w:t>close</w:t>
      </w:r>
      <w:r>
        <w:t>Text</w:t>
      </w:r>
      <w:proofErr w:type="spellEnd"/>
      <w:r>
        <w:t xml:space="preserve"> :</w:t>
      </w:r>
      <w:proofErr w:type="gramEnd"/>
      <w:r>
        <w:t xml:space="preserve"> QString</w:t>
      </w:r>
      <w:bookmarkEnd w:id="17"/>
    </w:p>
    <w:p w:rsidR="002D5121" w:rsidRDefault="002D5121" w:rsidP="002D5121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1</w:t>
      </w:r>
    </w:p>
    <w:p w:rsidR="002D5121" w:rsidRDefault="002D5121" w:rsidP="002D5121">
      <w:r>
        <w:t xml:space="preserve">The value written when the form is </w:t>
      </w:r>
      <w:r>
        <w:t>close</w:t>
      </w:r>
      <w:r>
        <w:t xml:space="preserve">d provided the </w:t>
      </w:r>
      <w:r>
        <w:fldChar w:fldCharType="begin"/>
      </w:r>
      <w:r>
        <w:instrText xml:space="preserve"> REF _Ref7120683 \h </w:instrText>
      </w:r>
      <w:r>
        <w:fldChar w:fldCharType="separate"/>
      </w:r>
      <w:proofErr w:type="spellStart"/>
      <w:proofErr w:type="gramStart"/>
      <w:r w:rsidR="0092375B">
        <w:t>variable</w:t>
      </w:r>
      <w:r w:rsidR="0092375B">
        <w:t>Close</w:t>
      </w:r>
      <w:proofErr w:type="spellEnd"/>
      <w:r w:rsidR="0092375B">
        <w:t xml:space="preserve"> :</w:t>
      </w:r>
      <w:proofErr w:type="gramEnd"/>
      <w:r w:rsidR="0092375B">
        <w:t xml:space="preserve"> QString</w:t>
      </w:r>
      <w:r>
        <w:fldChar w:fldCharType="end"/>
      </w:r>
      <w:r>
        <w:t xml:space="preserve"> </w:t>
      </w:r>
      <w:r>
        <w:t>property is defined and the nominated PV has</w:t>
      </w:r>
      <w:r>
        <w:t xml:space="preserve"> </w:t>
      </w:r>
      <w:r>
        <w:t>connected.</w:t>
      </w:r>
    </w:p>
    <w:p w:rsidR="002D5121" w:rsidRDefault="002D5121" w:rsidP="002D5121">
      <w:pPr>
        <w:pStyle w:val="Heading2"/>
      </w:pPr>
      <w:bookmarkStart w:id="18" w:name="_Toc7121722"/>
      <w:proofErr w:type="spellStart"/>
      <w:proofErr w:type="gramStart"/>
      <w:r>
        <w:t>close</w:t>
      </w:r>
      <w:r>
        <w:t>Program</w:t>
      </w:r>
      <w:proofErr w:type="spellEnd"/>
      <w:proofErr w:type="gramEnd"/>
      <w:r>
        <w:t xml:space="preserve"> :QString</w:t>
      </w:r>
      <w:bookmarkEnd w:id="18"/>
    </w:p>
    <w:p w:rsidR="002D5121" w:rsidRDefault="002D5121" w:rsidP="002D5121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empty string</w:t>
      </w:r>
    </w:p>
    <w:p w:rsidR="002D5121" w:rsidRDefault="002D5121" w:rsidP="002D5121">
      <w:r>
        <w:t xml:space="preserve">This specifies the program to be run when the form is </w:t>
      </w:r>
      <w:r>
        <w:t>clos</w:t>
      </w:r>
      <w:r>
        <w:t>ed. No attempt to run a program is made if this property is empty.</w:t>
      </w:r>
    </w:p>
    <w:p w:rsidR="002D5121" w:rsidRDefault="002D5121" w:rsidP="002D5121">
      <w:pPr>
        <w:pStyle w:val="Heading2"/>
      </w:pPr>
      <w:bookmarkStart w:id="19" w:name="_Toc7121723"/>
      <w:proofErr w:type="spellStart"/>
      <w:proofErr w:type="gramStart"/>
      <w:r>
        <w:t>close</w:t>
      </w:r>
      <w:r>
        <w:t>Arguments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QStringList</w:t>
      </w:r>
      <w:bookmarkEnd w:id="19"/>
      <w:proofErr w:type="spellEnd"/>
    </w:p>
    <w:p w:rsidR="002D5121" w:rsidRDefault="002D5121" w:rsidP="002D5121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empty list</w:t>
      </w:r>
    </w:p>
    <w:p w:rsidR="002D5121" w:rsidRDefault="002D5121" w:rsidP="002D5121">
      <w:r w:rsidRPr="006257F7">
        <w:t>Arguments</w:t>
      </w:r>
      <w:r>
        <w:t xml:space="preserve"> for program specified in the </w:t>
      </w:r>
      <w:r w:rsidRPr="002D5121">
        <w:t>"</w:t>
      </w:r>
      <w:proofErr w:type="spellStart"/>
      <w:r>
        <w:t>close</w:t>
      </w:r>
      <w:r>
        <w:t>P</w:t>
      </w:r>
      <w:r w:rsidRPr="006257F7">
        <w:t>rogram</w:t>
      </w:r>
      <w:proofErr w:type="spellEnd"/>
      <w:r w:rsidRPr="002D5121">
        <w:t>"</w:t>
      </w:r>
      <w:r w:rsidRPr="006257F7">
        <w:t xml:space="preserve"> property.</w:t>
      </w:r>
    </w:p>
    <w:p w:rsidR="002C65DF" w:rsidRDefault="002C65DF" w:rsidP="002C65DF">
      <w:pPr>
        <w:pStyle w:val="Heading2"/>
      </w:pPr>
      <w:bookmarkStart w:id="20" w:name="_Toc7121724"/>
      <w:proofErr w:type="spellStart"/>
      <w:proofErr w:type="gramStart"/>
      <w:r w:rsidRPr="002C65DF">
        <w:t>runVisible</w:t>
      </w:r>
      <w:proofErr w:type="spellEnd"/>
      <w:r>
        <w:t xml:space="preserve"> :</w:t>
      </w:r>
      <w:proofErr w:type="gramEnd"/>
      <w:r>
        <w:t xml:space="preserve"> bool</w:t>
      </w:r>
      <w:bookmarkEnd w:id="20"/>
    </w:p>
    <w:p w:rsidR="002C65DF" w:rsidRDefault="002C65DF" w:rsidP="002C65DF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false</w:t>
      </w:r>
    </w:p>
    <w:p w:rsidR="002C65DF" w:rsidRDefault="002C65DF" w:rsidP="002C65DF">
      <w:r>
        <w:t xml:space="preserve">This property defines if the widget is visible at run time, i.e. within QEGui. </w:t>
      </w:r>
      <w:r>
        <w:t>Not sure how useful it would be to have t</w:t>
      </w:r>
      <w:r>
        <w:t xml:space="preserve">his widget visible at run time, </w:t>
      </w:r>
      <w:r>
        <w:t>but let's not second guess the users' needs and desires.</w:t>
      </w:r>
    </w:p>
    <w:p w:rsidR="00523C55" w:rsidRDefault="00523C55" w:rsidP="00523C55"/>
    <w:p w:rsidR="0092375B" w:rsidRDefault="0092375B"/>
    <w:sectPr w:rsidR="0092375B" w:rsidSect="0052491A">
      <w:head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A80" w:rsidRDefault="00D52A80" w:rsidP="001C3141">
      <w:pPr>
        <w:spacing w:after="0" w:line="240" w:lineRule="auto"/>
      </w:pPr>
      <w:r>
        <w:separator/>
      </w:r>
    </w:p>
  </w:endnote>
  <w:endnote w:type="continuationSeparator" w:id="0">
    <w:p w:rsidR="00D52A80" w:rsidRDefault="00D52A80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:rsidTr="00906165">
      <w:tc>
        <w:tcPr>
          <w:tcW w:w="643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92375B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92375B">
            <w:rPr>
              <w:noProof/>
              <w:color w:val="747476"/>
              <w:sz w:val="18"/>
            </w:rPr>
            <w:t>4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F62DB6" w:rsidRDefault="00F62DB6" w:rsidP="008C148D">
    <w:pPr>
      <w:pStyle w:val="Footer"/>
    </w:pPr>
  </w:p>
  <w:p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A80" w:rsidRDefault="00D52A80" w:rsidP="001C3141">
      <w:pPr>
        <w:spacing w:after="0" w:line="240" w:lineRule="auto"/>
      </w:pPr>
      <w:r>
        <w:separator/>
      </w:r>
    </w:p>
  </w:footnote>
  <w:footnote w:type="continuationSeparator" w:id="0">
    <w:p w:rsidR="00D52A80" w:rsidRDefault="00D52A80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F62DB6" w:rsidTr="00906165">
      <w:tc>
        <w:tcPr>
          <w:tcW w:w="3153" w:type="pct"/>
          <w:vAlign w:val="bottom"/>
        </w:tcPr>
        <w:p w:rsidR="00F62DB6" w:rsidRPr="0043764B" w:rsidRDefault="00151A20" w:rsidP="003B0E42">
          <w:pPr>
            <w:pStyle w:val="Header"/>
            <w:spacing w:after="60"/>
            <w:rPr>
              <w:b/>
              <w:sz w:val="28"/>
              <w:szCs w:val="28"/>
            </w:rPr>
          </w:pPr>
          <w:r w:rsidRPr="00151A20">
            <w:rPr>
              <w:b/>
              <w:sz w:val="32"/>
              <w:szCs w:val="28"/>
            </w:rPr>
            <w:t>QEFormStateChange</w:t>
          </w:r>
          <w:r>
            <w:rPr>
              <w:b/>
              <w:sz w:val="32"/>
              <w:szCs w:val="28"/>
            </w:rPr>
            <w:t xml:space="preserve"> </w:t>
          </w:r>
          <w:r w:rsidR="003B0E42">
            <w:rPr>
              <w:b/>
              <w:sz w:val="32"/>
              <w:szCs w:val="28"/>
            </w:rPr>
            <w:t>Widget Specification</w:t>
          </w:r>
        </w:p>
      </w:tc>
      <w:tc>
        <w:tcPr>
          <w:tcW w:w="1847" w:type="pct"/>
        </w:tcPr>
        <w:p w:rsidR="00F62DB6" w:rsidRDefault="00F62DB6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62DB6" w:rsidRDefault="00F62DB6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1A20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C65DF"/>
    <w:rsid w:val="002D1E1A"/>
    <w:rsid w:val="002D3166"/>
    <w:rsid w:val="002D4362"/>
    <w:rsid w:val="002D5121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4D4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57F7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1E9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38B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375B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2A80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AA5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licenses/lgpl-3.0-standalone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7CDBB-E81D-41BE-8D5D-31049810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Andrew Starritt</cp:lastModifiedBy>
  <cp:revision>181</cp:revision>
  <cp:lastPrinted>2018-12-12T00:31:00Z</cp:lastPrinted>
  <dcterms:created xsi:type="dcterms:W3CDTF">2016-06-07T02:25:00Z</dcterms:created>
  <dcterms:modified xsi:type="dcterms:W3CDTF">2019-04-25T11:54:00Z</dcterms:modified>
</cp:coreProperties>
</file>