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8D" w:rsidRPr="008C148D" w:rsidRDefault="008C148D" w:rsidP="00170859">
      <w:pPr>
        <w:jc w:val="center"/>
      </w:pPr>
      <w:bookmarkStart w:id="0" w:name="_GoBack"/>
      <w:r w:rsidRPr="008C148D">
        <w:rPr>
          <w:noProof/>
          <w:lang w:val="en-GB" w:eastAsia="en-GB"/>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E4329C" w:rsidP="00170859">
      <w:pPr>
        <w:jc w:val="center"/>
        <w:rPr>
          <w:sz w:val="48"/>
          <w:szCs w:val="48"/>
        </w:rPr>
      </w:pPr>
      <w:r>
        <w:rPr>
          <w:sz w:val="48"/>
          <w:szCs w:val="48"/>
        </w:rPr>
        <w:t>QE</w:t>
      </w:r>
      <w:r w:rsidR="00E77B52">
        <w:rPr>
          <w:sz w:val="48"/>
          <w:szCs w:val="48"/>
        </w:rPr>
        <w:t xml:space="preserve">PvLoadSave </w:t>
      </w:r>
      <w:r>
        <w:rPr>
          <w:sz w:val="48"/>
          <w:szCs w:val="48"/>
        </w:rPr>
        <w:t>Specification</w:t>
      </w:r>
    </w:p>
    <w:p w:rsidR="00FB4AD2" w:rsidRDefault="00FB4AD2" w:rsidP="00170859">
      <w:pPr>
        <w:jc w:val="center"/>
      </w:pPr>
      <w:r>
        <w:t>Andrew Starritt</w:t>
      </w:r>
    </w:p>
    <w:p w:rsidR="00170859" w:rsidRDefault="00E77B52" w:rsidP="00170859">
      <w:pPr>
        <w:jc w:val="center"/>
      </w:pPr>
      <w:r>
        <w:t>2</w:t>
      </w:r>
      <w:r w:rsidR="00F247C6">
        <w:t>3</w:t>
      </w:r>
      <w:r w:rsidR="00F247C6">
        <w:rPr>
          <w:vertAlign w:val="superscript"/>
        </w:rPr>
        <w:t>rd</w:t>
      </w:r>
      <w:r w:rsidR="009A2A07">
        <w:rPr>
          <w:vertAlign w:val="superscript"/>
        </w:rPr>
        <w:t xml:space="preserve"> </w:t>
      </w:r>
      <w:r w:rsidR="00F247C6">
        <w:t>November</w:t>
      </w:r>
      <w:r w:rsidR="006B260E">
        <w:t xml:space="preserve"> </w:t>
      </w:r>
      <w:r w:rsidR="00FC334A">
        <w:t>20</w:t>
      </w:r>
      <w:r w:rsidR="00F247C6">
        <w:t>20</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247C6">
        <w:rPr>
          <w:rFonts w:ascii="Calibri" w:eastAsia="Times New Roman" w:hAnsi="Calibri" w:cs="Courier New"/>
        </w:rPr>
        <w:t>2020</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proofErr w:type="spellStart"/>
      <w:r w:rsidR="00E14A07" w:rsidRPr="00E14A07">
        <w:rPr>
          <w:rFonts w:ascii="Calibri" w:eastAsia="Times New Roman" w:hAnsi="Calibri" w:cs="Courier New"/>
        </w:rPr>
        <w:t>QE_QEGuiAndUserInterfaceDesign</w:t>
      </w:r>
      <w:proofErr w:type="spellEnd"/>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F044C2" w:rsidRDefault="00FD7585">
          <w:pPr>
            <w:pStyle w:val="TOC1"/>
            <w:tabs>
              <w:tab w:val="right" w:leader="dot" w:pos="9016"/>
            </w:tabs>
            <w:rPr>
              <w:noProof/>
              <w:lang w:val="en-GB" w:eastAsia="en-GB"/>
            </w:rPr>
          </w:pPr>
          <w:r>
            <w:fldChar w:fldCharType="begin"/>
          </w:r>
          <w:r w:rsidR="001C3141">
            <w:instrText xml:space="preserve"> TOC \o "1-3" \h \z \u </w:instrText>
          </w:r>
          <w:r>
            <w:fldChar w:fldCharType="separate"/>
          </w:r>
          <w:hyperlink w:anchor="_Toc56779022" w:history="1">
            <w:r w:rsidR="00F044C2" w:rsidRPr="003D5CD7">
              <w:rPr>
                <w:rStyle w:val="Hyperlink"/>
                <w:noProof/>
              </w:rPr>
              <w:t>Introduction</w:t>
            </w:r>
            <w:r w:rsidR="00F044C2">
              <w:rPr>
                <w:noProof/>
                <w:webHidden/>
              </w:rPr>
              <w:tab/>
            </w:r>
            <w:r w:rsidR="00F044C2">
              <w:rPr>
                <w:noProof/>
                <w:webHidden/>
              </w:rPr>
              <w:fldChar w:fldCharType="begin"/>
            </w:r>
            <w:r w:rsidR="00F044C2">
              <w:rPr>
                <w:noProof/>
                <w:webHidden/>
              </w:rPr>
              <w:instrText xml:space="preserve"> PAGEREF _Toc56779022 \h </w:instrText>
            </w:r>
            <w:r w:rsidR="00F044C2">
              <w:rPr>
                <w:noProof/>
                <w:webHidden/>
              </w:rPr>
            </w:r>
            <w:r w:rsidR="00F044C2">
              <w:rPr>
                <w:noProof/>
                <w:webHidden/>
              </w:rPr>
              <w:fldChar w:fldCharType="separate"/>
            </w:r>
            <w:r w:rsidR="00F044C2">
              <w:rPr>
                <w:noProof/>
                <w:webHidden/>
              </w:rPr>
              <w:t>3</w:t>
            </w:r>
            <w:r w:rsidR="00F044C2">
              <w:rPr>
                <w:noProof/>
                <w:webHidden/>
              </w:rPr>
              <w:fldChar w:fldCharType="end"/>
            </w:r>
          </w:hyperlink>
        </w:p>
        <w:p w:rsidR="00F044C2" w:rsidRDefault="00F044C2">
          <w:pPr>
            <w:pStyle w:val="TOC1"/>
            <w:tabs>
              <w:tab w:val="right" w:leader="dot" w:pos="9016"/>
            </w:tabs>
            <w:rPr>
              <w:noProof/>
              <w:lang w:val="en-GB" w:eastAsia="en-GB"/>
            </w:rPr>
          </w:pPr>
          <w:hyperlink w:anchor="_Toc56779023" w:history="1">
            <w:r w:rsidRPr="003D5CD7">
              <w:rPr>
                <w:rStyle w:val="Hyperlink"/>
                <w:noProof/>
              </w:rPr>
              <w:t>QEPvLoadSave</w:t>
            </w:r>
            <w:r>
              <w:rPr>
                <w:noProof/>
                <w:webHidden/>
              </w:rPr>
              <w:tab/>
            </w:r>
            <w:r>
              <w:rPr>
                <w:noProof/>
                <w:webHidden/>
              </w:rPr>
              <w:fldChar w:fldCharType="begin"/>
            </w:r>
            <w:r>
              <w:rPr>
                <w:noProof/>
                <w:webHidden/>
              </w:rPr>
              <w:instrText xml:space="preserve"> PAGEREF _Toc56779023 \h </w:instrText>
            </w:r>
            <w:r>
              <w:rPr>
                <w:noProof/>
                <w:webHidden/>
              </w:rPr>
            </w:r>
            <w:r>
              <w:rPr>
                <w:noProof/>
                <w:webHidden/>
              </w:rPr>
              <w:fldChar w:fldCharType="separate"/>
            </w:r>
            <w:r>
              <w:rPr>
                <w:noProof/>
                <w:webHidden/>
              </w:rPr>
              <w:t>3</w:t>
            </w:r>
            <w:r>
              <w:rPr>
                <w:noProof/>
                <w:webHidden/>
              </w:rPr>
              <w:fldChar w:fldCharType="end"/>
            </w:r>
          </w:hyperlink>
        </w:p>
        <w:p w:rsidR="00F044C2" w:rsidRDefault="00F044C2">
          <w:pPr>
            <w:pStyle w:val="TOC2"/>
            <w:tabs>
              <w:tab w:val="right" w:leader="dot" w:pos="9016"/>
            </w:tabs>
            <w:rPr>
              <w:noProof/>
              <w:lang w:val="en-GB" w:eastAsia="en-GB"/>
            </w:rPr>
          </w:pPr>
          <w:hyperlink w:anchor="_Toc56779024" w:history="1">
            <w:r w:rsidRPr="003D5CD7">
              <w:rPr>
                <w:rStyle w:val="Hyperlink"/>
                <w:noProof/>
              </w:rPr>
              <w:t>Description</w:t>
            </w:r>
            <w:r>
              <w:rPr>
                <w:noProof/>
                <w:webHidden/>
              </w:rPr>
              <w:tab/>
            </w:r>
            <w:r>
              <w:rPr>
                <w:noProof/>
                <w:webHidden/>
              </w:rPr>
              <w:fldChar w:fldCharType="begin"/>
            </w:r>
            <w:r>
              <w:rPr>
                <w:noProof/>
                <w:webHidden/>
              </w:rPr>
              <w:instrText xml:space="preserve"> PAGEREF _Toc56779024 \h </w:instrText>
            </w:r>
            <w:r>
              <w:rPr>
                <w:noProof/>
                <w:webHidden/>
              </w:rPr>
            </w:r>
            <w:r>
              <w:rPr>
                <w:noProof/>
                <w:webHidden/>
              </w:rPr>
              <w:fldChar w:fldCharType="separate"/>
            </w:r>
            <w:r>
              <w:rPr>
                <w:noProof/>
                <w:webHidden/>
              </w:rPr>
              <w:t>3</w:t>
            </w:r>
            <w:r>
              <w:rPr>
                <w:noProof/>
                <w:webHidden/>
              </w:rPr>
              <w:fldChar w:fldCharType="end"/>
            </w:r>
          </w:hyperlink>
        </w:p>
        <w:p w:rsidR="00F044C2" w:rsidRDefault="00F044C2">
          <w:pPr>
            <w:pStyle w:val="TOC3"/>
            <w:tabs>
              <w:tab w:val="right" w:leader="dot" w:pos="9016"/>
            </w:tabs>
            <w:rPr>
              <w:noProof/>
              <w:lang w:val="en-GB" w:eastAsia="en-GB"/>
            </w:rPr>
          </w:pPr>
          <w:hyperlink w:anchor="_Toc56779025" w:history="1">
            <w:r w:rsidRPr="003D5CD7">
              <w:rPr>
                <w:rStyle w:val="Hyperlink"/>
                <w:noProof/>
              </w:rPr>
              <w:t>Tool Bar</w:t>
            </w:r>
            <w:r>
              <w:rPr>
                <w:noProof/>
                <w:webHidden/>
              </w:rPr>
              <w:tab/>
            </w:r>
            <w:r>
              <w:rPr>
                <w:noProof/>
                <w:webHidden/>
              </w:rPr>
              <w:fldChar w:fldCharType="begin"/>
            </w:r>
            <w:r>
              <w:rPr>
                <w:noProof/>
                <w:webHidden/>
              </w:rPr>
              <w:instrText xml:space="preserve"> PAGEREF _Toc56779025 \h </w:instrText>
            </w:r>
            <w:r>
              <w:rPr>
                <w:noProof/>
                <w:webHidden/>
              </w:rPr>
            </w:r>
            <w:r>
              <w:rPr>
                <w:noProof/>
                <w:webHidden/>
              </w:rPr>
              <w:fldChar w:fldCharType="separate"/>
            </w:r>
            <w:r>
              <w:rPr>
                <w:noProof/>
                <w:webHidden/>
              </w:rPr>
              <w:t>4</w:t>
            </w:r>
            <w:r>
              <w:rPr>
                <w:noProof/>
                <w:webHidden/>
              </w:rPr>
              <w:fldChar w:fldCharType="end"/>
            </w:r>
          </w:hyperlink>
        </w:p>
        <w:p w:rsidR="00F044C2" w:rsidRDefault="00F044C2">
          <w:pPr>
            <w:pStyle w:val="TOC3"/>
            <w:tabs>
              <w:tab w:val="right" w:leader="dot" w:pos="9016"/>
            </w:tabs>
            <w:rPr>
              <w:noProof/>
              <w:lang w:val="en-GB" w:eastAsia="en-GB"/>
            </w:rPr>
          </w:pPr>
          <w:hyperlink w:anchor="_Toc56779026" w:history="1">
            <w:r w:rsidRPr="003D5CD7">
              <w:rPr>
                <w:rStyle w:val="Hyperlink"/>
                <w:noProof/>
              </w:rPr>
              <w:t>Context Menu</w:t>
            </w:r>
            <w:r>
              <w:rPr>
                <w:noProof/>
                <w:webHidden/>
              </w:rPr>
              <w:tab/>
            </w:r>
            <w:r>
              <w:rPr>
                <w:noProof/>
                <w:webHidden/>
              </w:rPr>
              <w:fldChar w:fldCharType="begin"/>
            </w:r>
            <w:r>
              <w:rPr>
                <w:noProof/>
                <w:webHidden/>
              </w:rPr>
              <w:instrText xml:space="preserve"> PAGEREF _Toc56779026 \h </w:instrText>
            </w:r>
            <w:r>
              <w:rPr>
                <w:noProof/>
                <w:webHidden/>
              </w:rPr>
            </w:r>
            <w:r>
              <w:rPr>
                <w:noProof/>
                <w:webHidden/>
              </w:rPr>
              <w:fldChar w:fldCharType="separate"/>
            </w:r>
            <w:r>
              <w:rPr>
                <w:noProof/>
                <w:webHidden/>
              </w:rPr>
              <w:t>6</w:t>
            </w:r>
            <w:r>
              <w:rPr>
                <w:noProof/>
                <w:webHidden/>
              </w:rPr>
              <w:fldChar w:fldCharType="end"/>
            </w:r>
          </w:hyperlink>
        </w:p>
        <w:p w:rsidR="00F044C2" w:rsidRDefault="00F044C2">
          <w:pPr>
            <w:pStyle w:val="TOC3"/>
            <w:tabs>
              <w:tab w:val="right" w:leader="dot" w:pos="9016"/>
            </w:tabs>
            <w:rPr>
              <w:noProof/>
              <w:lang w:val="en-GB" w:eastAsia="en-GB"/>
            </w:rPr>
          </w:pPr>
          <w:hyperlink w:anchor="_Toc56779027" w:history="1">
            <w:r w:rsidRPr="003D5CD7">
              <w:rPr>
                <w:rStyle w:val="Hyperlink"/>
                <w:noProof/>
              </w:rPr>
              <w:t>Drop</w:t>
            </w:r>
            <w:r>
              <w:rPr>
                <w:noProof/>
                <w:webHidden/>
              </w:rPr>
              <w:tab/>
            </w:r>
            <w:r>
              <w:rPr>
                <w:noProof/>
                <w:webHidden/>
              </w:rPr>
              <w:fldChar w:fldCharType="begin"/>
            </w:r>
            <w:r>
              <w:rPr>
                <w:noProof/>
                <w:webHidden/>
              </w:rPr>
              <w:instrText xml:space="preserve"> PAGEREF _Toc56779027 \h </w:instrText>
            </w:r>
            <w:r>
              <w:rPr>
                <w:noProof/>
                <w:webHidden/>
              </w:rPr>
            </w:r>
            <w:r>
              <w:rPr>
                <w:noProof/>
                <w:webHidden/>
              </w:rPr>
              <w:fldChar w:fldCharType="separate"/>
            </w:r>
            <w:r>
              <w:rPr>
                <w:noProof/>
                <w:webHidden/>
              </w:rPr>
              <w:t>7</w:t>
            </w:r>
            <w:r>
              <w:rPr>
                <w:noProof/>
                <w:webHidden/>
              </w:rPr>
              <w:fldChar w:fldCharType="end"/>
            </w:r>
          </w:hyperlink>
        </w:p>
        <w:p w:rsidR="00F044C2" w:rsidRDefault="00F044C2">
          <w:pPr>
            <w:pStyle w:val="TOC3"/>
            <w:tabs>
              <w:tab w:val="right" w:leader="dot" w:pos="9016"/>
            </w:tabs>
            <w:rPr>
              <w:noProof/>
              <w:lang w:val="en-GB" w:eastAsia="en-GB"/>
            </w:rPr>
          </w:pPr>
          <w:hyperlink w:anchor="_Toc56779028" w:history="1">
            <w:r w:rsidRPr="003D5CD7">
              <w:rPr>
                <w:rStyle w:val="Hyperlink"/>
                <w:noProof/>
              </w:rPr>
              <w:t>XML File Format</w:t>
            </w:r>
            <w:r>
              <w:rPr>
                <w:noProof/>
                <w:webHidden/>
              </w:rPr>
              <w:tab/>
            </w:r>
            <w:r>
              <w:rPr>
                <w:noProof/>
                <w:webHidden/>
              </w:rPr>
              <w:fldChar w:fldCharType="begin"/>
            </w:r>
            <w:r>
              <w:rPr>
                <w:noProof/>
                <w:webHidden/>
              </w:rPr>
              <w:instrText xml:space="preserve"> PAGEREF _Toc56779028 \h </w:instrText>
            </w:r>
            <w:r>
              <w:rPr>
                <w:noProof/>
                <w:webHidden/>
              </w:rPr>
            </w:r>
            <w:r>
              <w:rPr>
                <w:noProof/>
                <w:webHidden/>
              </w:rPr>
              <w:fldChar w:fldCharType="separate"/>
            </w:r>
            <w:r>
              <w:rPr>
                <w:noProof/>
                <w:webHidden/>
              </w:rPr>
              <w:t>7</w:t>
            </w:r>
            <w:r>
              <w:rPr>
                <w:noProof/>
                <w:webHidden/>
              </w:rPr>
              <w:fldChar w:fldCharType="end"/>
            </w:r>
          </w:hyperlink>
        </w:p>
        <w:p w:rsidR="00F044C2" w:rsidRDefault="00F044C2">
          <w:pPr>
            <w:pStyle w:val="TOC3"/>
            <w:tabs>
              <w:tab w:val="right" w:leader="dot" w:pos="9016"/>
            </w:tabs>
            <w:rPr>
              <w:noProof/>
              <w:lang w:val="en-GB" w:eastAsia="en-GB"/>
            </w:rPr>
          </w:pPr>
          <w:hyperlink w:anchor="_Toc56779029" w:history="1">
            <w:r w:rsidRPr="003D5CD7">
              <w:rPr>
                <w:rStyle w:val="Hyperlink"/>
                <w:noProof/>
              </w:rPr>
              <w:t>Merged Node Names</w:t>
            </w:r>
            <w:r>
              <w:rPr>
                <w:noProof/>
                <w:webHidden/>
              </w:rPr>
              <w:tab/>
            </w:r>
            <w:r>
              <w:rPr>
                <w:noProof/>
                <w:webHidden/>
              </w:rPr>
              <w:fldChar w:fldCharType="begin"/>
            </w:r>
            <w:r>
              <w:rPr>
                <w:noProof/>
                <w:webHidden/>
              </w:rPr>
              <w:instrText xml:space="preserve"> PAGEREF _Toc56779029 \h </w:instrText>
            </w:r>
            <w:r>
              <w:rPr>
                <w:noProof/>
                <w:webHidden/>
              </w:rPr>
            </w:r>
            <w:r>
              <w:rPr>
                <w:noProof/>
                <w:webHidden/>
              </w:rPr>
              <w:fldChar w:fldCharType="separate"/>
            </w:r>
            <w:r>
              <w:rPr>
                <w:noProof/>
                <w:webHidden/>
              </w:rPr>
              <w:t>8</w:t>
            </w:r>
            <w:r>
              <w:rPr>
                <w:noProof/>
                <w:webHidden/>
              </w:rPr>
              <w:fldChar w:fldCharType="end"/>
            </w:r>
          </w:hyperlink>
        </w:p>
        <w:p w:rsidR="00F044C2" w:rsidRDefault="00F044C2">
          <w:pPr>
            <w:pStyle w:val="TOC2"/>
            <w:tabs>
              <w:tab w:val="right" w:leader="dot" w:pos="9016"/>
            </w:tabs>
            <w:rPr>
              <w:noProof/>
              <w:lang w:val="en-GB" w:eastAsia="en-GB"/>
            </w:rPr>
          </w:pPr>
          <w:hyperlink w:anchor="_Toc56779030" w:history="1">
            <w:r w:rsidRPr="003D5CD7">
              <w:rPr>
                <w:rStyle w:val="Hyperlink"/>
                <w:noProof/>
              </w:rPr>
              <w:t>Properties</w:t>
            </w:r>
            <w:r>
              <w:rPr>
                <w:noProof/>
                <w:webHidden/>
              </w:rPr>
              <w:tab/>
            </w:r>
            <w:r>
              <w:rPr>
                <w:noProof/>
                <w:webHidden/>
              </w:rPr>
              <w:fldChar w:fldCharType="begin"/>
            </w:r>
            <w:r>
              <w:rPr>
                <w:noProof/>
                <w:webHidden/>
              </w:rPr>
              <w:instrText xml:space="preserve"> PAGEREF _Toc56779030 \h </w:instrText>
            </w:r>
            <w:r>
              <w:rPr>
                <w:noProof/>
                <w:webHidden/>
              </w:rPr>
            </w:r>
            <w:r>
              <w:rPr>
                <w:noProof/>
                <w:webHidden/>
              </w:rPr>
              <w:fldChar w:fldCharType="separate"/>
            </w:r>
            <w:r>
              <w:rPr>
                <w:noProof/>
                <w:webHidden/>
              </w:rPr>
              <w:t>9</w:t>
            </w:r>
            <w:r>
              <w:rPr>
                <w:noProof/>
                <w:webHidden/>
              </w:rPr>
              <w:fldChar w:fldCharType="end"/>
            </w:r>
          </w:hyperlink>
        </w:p>
        <w:p w:rsidR="00F044C2" w:rsidRDefault="00F044C2">
          <w:pPr>
            <w:pStyle w:val="TOC3"/>
            <w:tabs>
              <w:tab w:val="right" w:leader="dot" w:pos="9016"/>
            </w:tabs>
            <w:rPr>
              <w:noProof/>
              <w:lang w:val="en-GB" w:eastAsia="en-GB"/>
            </w:rPr>
          </w:pPr>
          <w:hyperlink w:anchor="_Toc56779031" w:history="1">
            <w:r w:rsidRPr="003D5CD7">
              <w:rPr>
                <w:rStyle w:val="Hyperlink"/>
                <w:noProof/>
              </w:rPr>
              <w:t>configurationFileLeft : QString</w:t>
            </w:r>
            <w:r>
              <w:rPr>
                <w:noProof/>
                <w:webHidden/>
              </w:rPr>
              <w:tab/>
            </w:r>
            <w:r>
              <w:rPr>
                <w:noProof/>
                <w:webHidden/>
              </w:rPr>
              <w:fldChar w:fldCharType="begin"/>
            </w:r>
            <w:r>
              <w:rPr>
                <w:noProof/>
                <w:webHidden/>
              </w:rPr>
              <w:instrText xml:space="preserve"> PAGEREF _Toc56779031 \h </w:instrText>
            </w:r>
            <w:r>
              <w:rPr>
                <w:noProof/>
                <w:webHidden/>
              </w:rPr>
            </w:r>
            <w:r>
              <w:rPr>
                <w:noProof/>
                <w:webHidden/>
              </w:rPr>
              <w:fldChar w:fldCharType="separate"/>
            </w:r>
            <w:r>
              <w:rPr>
                <w:noProof/>
                <w:webHidden/>
              </w:rPr>
              <w:t>9</w:t>
            </w:r>
            <w:r>
              <w:rPr>
                <w:noProof/>
                <w:webHidden/>
              </w:rPr>
              <w:fldChar w:fldCharType="end"/>
            </w:r>
          </w:hyperlink>
        </w:p>
        <w:p w:rsidR="00F044C2" w:rsidRDefault="00F044C2">
          <w:pPr>
            <w:pStyle w:val="TOC3"/>
            <w:tabs>
              <w:tab w:val="right" w:leader="dot" w:pos="9016"/>
            </w:tabs>
            <w:rPr>
              <w:noProof/>
              <w:lang w:val="en-GB" w:eastAsia="en-GB"/>
            </w:rPr>
          </w:pPr>
          <w:hyperlink w:anchor="_Toc56779032" w:history="1">
            <w:r w:rsidRPr="003D5CD7">
              <w:rPr>
                <w:rStyle w:val="Hyperlink"/>
                <w:noProof/>
              </w:rPr>
              <w:t>configurationFileRight : QString</w:t>
            </w:r>
            <w:r>
              <w:rPr>
                <w:noProof/>
                <w:webHidden/>
              </w:rPr>
              <w:tab/>
            </w:r>
            <w:r>
              <w:rPr>
                <w:noProof/>
                <w:webHidden/>
              </w:rPr>
              <w:fldChar w:fldCharType="begin"/>
            </w:r>
            <w:r>
              <w:rPr>
                <w:noProof/>
                <w:webHidden/>
              </w:rPr>
              <w:instrText xml:space="preserve"> PAGEREF _Toc56779032 \h </w:instrText>
            </w:r>
            <w:r>
              <w:rPr>
                <w:noProof/>
                <w:webHidden/>
              </w:rPr>
            </w:r>
            <w:r>
              <w:rPr>
                <w:noProof/>
                <w:webHidden/>
              </w:rPr>
              <w:fldChar w:fldCharType="separate"/>
            </w:r>
            <w:r>
              <w:rPr>
                <w:noProof/>
                <w:webHidden/>
              </w:rPr>
              <w:t>9</w:t>
            </w:r>
            <w:r>
              <w:rPr>
                <w:noProof/>
                <w:webHidden/>
              </w:rPr>
              <w:fldChar w:fldCharType="end"/>
            </w:r>
          </w:hyperlink>
        </w:p>
        <w:p w:rsidR="00F044C2" w:rsidRDefault="00F044C2">
          <w:pPr>
            <w:pStyle w:val="TOC3"/>
            <w:tabs>
              <w:tab w:val="right" w:leader="dot" w:pos="9016"/>
            </w:tabs>
            <w:rPr>
              <w:noProof/>
              <w:lang w:val="en-GB" w:eastAsia="en-GB"/>
            </w:rPr>
          </w:pPr>
          <w:hyperlink w:anchor="_Toc56779033" w:history="1">
            <w:r w:rsidRPr="003D5CD7">
              <w:rPr>
                <w:rStyle w:val="Hyperlink"/>
                <w:noProof/>
              </w:rPr>
              <w:t>defaultSubstitutions : QString</w:t>
            </w:r>
            <w:r>
              <w:rPr>
                <w:noProof/>
                <w:webHidden/>
              </w:rPr>
              <w:tab/>
            </w:r>
            <w:r>
              <w:rPr>
                <w:noProof/>
                <w:webHidden/>
              </w:rPr>
              <w:fldChar w:fldCharType="begin"/>
            </w:r>
            <w:r>
              <w:rPr>
                <w:noProof/>
                <w:webHidden/>
              </w:rPr>
              <w:instrText xml:space="preserve"> PAGEREF _Toc56779033 \h </w:instrText>
            </w:r>
            <w:r>
              <w:rPr>
                <w:noProof/>
                <w:webHidden/>
              </w:rPr>
            </w:r>
            <w:r>
              <w:rPr>
                <w:noProof/>
                <w:webHidden/>
              </w:rPr>
              <w:fldChar w:fldCharType="separate"/>
            </w:r>
            <w:r>
              <w:rPr>
                <w:noProof/>
                <w:webHidden/>
              </w:rPr>
              <w:t>9</w:t>
            </w:r>
            <w:r>
              <w:rPr>
                <w:noProof/>
                <w:webHidden/>
              </w:rPr>
              <w:fldChar w:fldCharType="end"/>
            </w:r>
          </w:hyperlink>
        </w:p>
        <w:p w:rsidR="00F044C2" w:rsidRDefault="00F044C2">
          <w:pPr>
            <w:pStyle w:val="TOC3"/>
            <w:tabs>
              <w:tab w:val="right" w:leader="dot" w:pos="9016"/>
            </w:tabs>
            <w:rPr>
              <w:noProof/>
              <w:lang w:val="en-GB" w:eastAsia="en-GB"/>
            </w:rPr>
          </w:pPr>
          <w:hyperlink w:anchor="_Toc56779034" w:history="1">
            <w:r w:rsidRPr="003D5CD7">
              <w:rPr>
                <w:rStyle w:val="Hyperlink"/>
                <w:noProof/>
              </w:rPr>
              <w:t>defaultDir : QString</w:t>
            </w:r>
            <w:r>
              <w:rPr>
                <w:noProof/>
                <w:webHidden/>
              </w:rPr>
              <w:tab/>
            </w:r>
            <w:r>
              <w:rPr>
                <w:noProof/>
                <w:webHidden/>
              </w:rPr>
              <w:fldChar w:fldCharType="begin"/>
            </w:r>
            <w:r>
              <w:rPr>
                <w:noProof/>
                <w:webHidden/>
              </w:rPr>
              <w:instrText xml:space="preserve"> PAGEREF _Toc56779034 \h </w:instrText>
            </w:r>
            <w:r>
              <w:rPr>
                <w:noProof/>
                <w:webHidden/>
              </w:rPr>
            </w:r>
            <w:r>
              <w:rPr>
                <w:noProof/>
                <w:webHidden/>
              </w:rPr>
              <w:fldChar w:fldCharType="separate"/>
            </w:r>
            <w:r>
              <w:rPr>
                <w:noProof/>
                <w:webHidden/>
              </w:rPr>
              <w:t>9</w:t>
            </w:r>
            <w:r>
              <w:rPr>
                <w:noProof/>
                <w:webHidden/>
              </w:rPr>
              <w:fldChar w:fldCharType="end"/>
            </w:r>
          </w:hyperlink>
        </w:p>
        <w:p w:rsidR="00F044C2" w:rsidRDefault="00F044C2">
          <w:pPr>
            <w:pStyle w:val="TOC3"/>
            <w:tabs>
              <w:tab w:val="right" w:leader="dot" w:pos="9016"/>
            </w:tabs>
            <w:rPr>
              <w:noProof/>
              <w:lang w:val="en-GB" w:eastAsia="en-GB"/>
            </w:rPr>
          </w:pPr>
          <w:hyperlink w:anchor="_Toc56779035" w:history="1">
            <w:r w:rsidRPr="003D5CD7">
              <w:rPr>
                <w:rStyle w:val="Hyperlink"/>
                <w:noProof/>
              </w:rPr>
              <w:t>confirmAction : bool</w:t>
            </w:r>
            <w:r>
              <w:rPr>
                <w:noProof/>
                <w:webHidden/>
              </w:rPr>
              <w:tab/>
            </w:r>
            <w:r>
              <w:rPr>
                <w:noProof/>
                <w:webHidden/>
              </w:rPr>
              <w:fldChar w:fldCharType="begin"/>
            </w:r>
            <w:r>
              <w:rPr>
                <w:noProof/>
                <w:webHidden/>
              </w:rPr>
              <w:instrText xml:space="preserve"> PAGEREF _Toc56779035 \h </w:instrText>
            </w:r>
            <w:r>
              <w:rPr>
                <w:noProof/>
                <w:webHidden/>
              </w:rPr>
            </w:r>
            <w:r>
              <w:rPr>
                <w:noProof/>
                <w:webHidden/>
              </w:rPr>
              <w:fldChar w:fldCharType="separate"/>
            </w:r>
            <w:r>
              <w:rPr>
                <w:noProof/>
                <w:webHidden/>
              </w:rPr>
              <w:t>9</w:t>
            </w:r>
            <w:r>
              <w:rPr>
                <w:noProof/>
                <w:webHidden/>
              </w:rPr>
              <w:fldChar w:fldCharType="end"/>
            </w:r>
          </w:hyperlink>
        </w:p>
        <w:p w:rsidR="00F044C2" w:rsidRDefault="00F044C2">
          <w:pPr>
            <w:pStyle w:val="TOC1"/>
            <w:tabs>
              <w:tab w:val="right" w:leader="dot" w:pos="9016"/>
            </w:tabs>
            <w:rPr>
              <w:noProof/>
              <w:lang w:val="en-GB" w:eastAsia="en-GB"/>
            </w:rPr>
          </w:pPr>
          <w:hyperlink w:anchor="_Toc56779036" w:history="1">
            <w:r w:rsidRPr="003D5CD7">
              <w:rPr>
                <w:rStyle w:val="Hyperlink"/>
                <w:noProof/>
              </w:rPr>
              <w:t>QEPvLoadSaveButton</w:t>
            </w:r>
            <w:r>
              <w:rPr>
                <w:noProof/>
                <w:webHidden/>
              </w:rPr>
              <w:tab/>
            </w:r>
            <w:r>
              <w:rPr>
                <w:noProof/>
                <w:webHidden/>
              </w:rPr>
              <w:fldChar w:fldCharType="begin"/>
            </w:r>
            <w:r>
              <w:rPr>
                <w:noProof/>
                <w:webHidden/>
              </w:rPr>
              <w:instrText xml:space="preserve"> PAGEREF _Toc56779036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2"/>
            <w:tabs>
              <w:tab w:val="right" w:leader="dot" w:pos="9016"/>
            </w:tabs>
            <w:rPr>
              <w:noProof/>
              <w:lang w:val="en-GB" w:eastAsia="en-GB"/>
            </w:rPr>
          </w:pPr>
          <w:hyperlink w:anchor="_Toc56779037" w:history="1">
            <w:r w:rsidRPr="003D5CD7">
              <w:rPr>
                <w:rStyle w:val="Hyperlink"/>
                <w:noProof/>
              </w:rPr>
              <w:t>Description</w:t>
            </w:r>
            <w:r>
              <w:rPr>
                <w:noProof/>
                <w:webHidden/>
              </w:rPr>
              <w:tab/>
            </w:r>
            <w:r>
              <w:rPr>
                <w:noProof/>
                <w:webHidden/>
              </w:rPr>
              <w:fldChar w:fldCharType="begin"/>
            </w:r>
            <w:r>
              <w:rPr>
                <w:noProof/>
                <w:webHidden/>
              </w:rPr>
              <w:instrText xml:space="preserve"> PAGEREF _Toc56779037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2"/>
            <w:tabs>
              <w:tab w:val="right" w:leader="dot" w:pos="9016"/>
            </w:tabs>
            <w:rPr>
              <w:noProof/>
              <w:lang w:val="en-GB" w:eastAsia="en-GB"/>
            </w:rPr>
          </w:pPr>
          <w:hyperlink w:anchor="_Toc56779038" w:history="1">
            <w:r w:rsidRPr="003D5CD7">
              <w:rPr>
                <w:rStyle w:val="Hyperlink"/>
                <w:noProof/>
              </w:rPr>
              <w:t>Properties</w:t>
            </w:r>
            <w:r>
              <w:rPr>
                <w:noProof/>
                <w:webHidden/>
              </w:rPr>
              <w:tab/>
            </w:r>
            <w:r>
              <w:rPr>
                <w:noProof/>
                <w:webHidden/>
              </w:rPr>
              <w:fldChar w:fldCharType="begin"/>
            </w:r>
            <w:r>
              <w:rPr>
                <w:noProof/>
                <w:webHidden/>
              </w:rPr>
              <w:instrText xml:space="preserve"> PAGEREF _Toc56779038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3"/>
            <w:tabs>
              <w:tab w:val="right" w:leader="dot" w:pos="9016"/>
            </w:tabs>
            <w:rPr>
              <w:noProof/>
              <w:lang w:val="en-GB" w:eastAsia="en-GB"/>
            </w:rPr>
          </w:pPr>
          <w:hyperlink w:anchor="_Toc56779039" w:history="1">
            <w:r w:rsidRPr="003D5CD7">
              <w:rPr>
                <w:rStyle w:val="Hyperlink"/>
                <w:noProof/>
              </w:rPr>
              <w:t>configurationFile : QString</w:t>
            </w:r>
            <w:r>
              <w:rPr>
                <w:noProof/>
                <w:webHidden/>
              </w:rPr>
              <w:tab/>
            </w:r>
            <w:r>
              <w:rPr>
                <w:noProof/>
                <w:webHidden/>
              </w:rPr>
              <w:fldChar w:fldCharType="begin"/>
            </w:r>
            <w:r>
              <w:rPr>
                <w:noProof/>
                <w:webHidden/>
              </w:rPr>
              <w:instrText xml:space="preserve"> PAGEREF _Toc56779039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3"/>
            <w:tabs>
              <w:tab w:val="right" w:leader="dot" w:pos="9016"/>
            </w:tabs>
            <w:rPr>
              <w:noProof/>
              <w:lang w:val="en-GB" w:eastAsia="en-GB"/>
            </w:rPr>
          </w:pPr>
          <w:hyperlink w:anchor="_Toc56779040" w:history="1">
            <w:r w:rsidRPr="003D5CD7">
              <w:rPr>
                <w:rStyle w:val="Hyperlink"/>
                <w:noProof/>
              </w:rPr>
              <w:t>defaultSubstitutions : QString</w:t>
            </w:r>
            <w:r>
              <w:rPr>
                <w:noProof/>
                <w:webHidden/>
              </w:rPr>
              <w:tab/>
            </w:r>
            <w:r>
              <w:rPr>
                <w:noProof/>
                <w:webHidden/>
              </w:rPr>
              <w:fldChar w:fldCharType="begin"/>
            </w:r>
            <w:r>
              <w:rPr>
                <w:noProof/>
                <w:webHidden/>
              </w:rPr>
              <w:instrText xml:space="preserve"> PAGEREF _Toc56779040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3"/>
            <w:tabs>
              <w:tab w:val="right" w:leader="dot" w:pos="9016"/>
            </w:tabs>
            <w:rPr>
              <w:noProof/>
              <w:lang w:val="en-GB" w:eastAsia="en-GB"/>
            </w:rPr>
          </w:pPr>
          <w:hyperlink w:anchor="_Toc56779041" w:history="1">
            <w:r w:rsidRPr="003D5CD7">
              <w:rPr>
                <w:rStyle w:val="Hyperlink"/>
                <w:noProof/>
              </w:rPr>
              <w:t>action : enumeration</w:t>
            </w:r>
            <w:r>
              <w:rPr>
                <w:noProof/>
                <w:webHidden/>
              </w:rPr>
              <w:tab/>
            </w:r>
            <w:r>
              <w:rPr>
                <w:noProof/>
                <w:webHidden/>
              </w:rPr>
              <w:fldChar w:fldCharType="begin"/>
            </w:r>
            <w:r>
              <w:rPr>
                <w:noProof/>
                <w:webHidden/>
              </w:rPr>
              <w:instrText xml:space="preserve"> PAGEREF _Toc56779041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3"/>
            <w:tabs>
              <w:tab w:val="right" w:leader="dot" w:pos="9016"/>
            </w:tabs>
            <w:rPr>
              <w:noProof/>
              <w:lang w:val="en-GB" w:eastAsia="en-GB"/>
            </w:rPr>
          </w:pPr>
          <w:hyperlink w:anchor="_Toc56779042" w:history="1">
            <w:r w:rsidRPr="003D5CD7">
              <w:rPr>
                <w:rStyle w:val="Hyperlink"/>
                <w:noProof/>
              </w:rPr>
              <w:t>confirmAction : bool</w:t>
            </w:r>
            <w:r>
              <w:rPr>
                <w:noProof/>
                <w:webHidden/>
              </w:rPr>
              <w:tab/>
            </w:r>
            <w:r>
              <w:rPr>
                <w:noProof/>
                <w:webHidden/>
              </w:rPr>
              <w:fldChar w:fldCharType="begin"/>
            </w:r>
            <w:r>
              <w:rPr>
                <w:noProof/>
                <w:webHidden/>
              </w:rPr>
              <w:instrText xml:space="preserve"> PAGEREF _Toc56779042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3"/>
            <w:tabs>
              <w:tab w:val="right" w:leader="dot" w:pos="9016"/>
            </w:tabs>
            <w:rPr>
              <w:noProof/>
              <w:lang w:val="en-GB" w:eastAsia="en-GB"/>
            </w:rPr>
          </w:pPr>
          <w:hyperlink w:anchor="_Toc56779043" w:history="1">
            <w:r w:rsidRPr="003D5CD7">
              <w:rPr>
                <w:rStyle w:val="Hyperlink"/>
                <w:noProof/>
              </w:rPr>
              <w:t>confirmText : QString</w:t>
            </w:r>
            <w:r>
              <w:rPr>
                <w:noProof/>
                <w:webHidden/>
              </w:rPr>
              <w:tab/>
            </w:r>
            <w:r>
              <w:rPr>
                <w:noProof/>
                <w:webHidden/>
              </w:rPr>
              <w:fldChar w:fldCharType="begin"/>
            </w:r>
            <w:r>
              <w:rPr>
                <w:noProof/>
                <w:webHidden/>
              </w:rPr>
              <w:instrText xml:space="preserve"> PAGEREF _Toc56779043 \h </w:instrText>
            </w:r>
            <w:r>
              <w:rPr>
                <w:noProof/>
                <w:webHidden/>
              </w:rPr>
            </w:r>
            <w:r>
              <w:rPr>
                <w:noProof/>
                <w:webHidden/>
              </w:rPr>
              <w:fldChar w:fldCharType="separate"/>
            </w:r>
            <w:r>
              <w:rPr>
                <w:noProof/>
                <w:webHidden/>
              </w:rPr>
              <w:t>10</w:t>
            </w:r>
            <w:r>
              <w:rPr>
                <w:noProof/>
                <w:webHidden/>
              </w:rPr>
              <w:fldChar w:fldCharType="end"/>
            </w:r>
          </w:hyperlink>
        </w:p>
        <w:p w:rsidR="00F044C2" w:rsidRDefault="00F044C2">
          <w:pPr>
            <w:pStyle w:val="TOC3"/>
            <w:tabs>
              <w:tab w:val="right" w:leader="dot" w:pos="9016"/>
            </w:tabs>
            <w:rPr>
              <w:noProof/>
              <w:lang w:val="en-GB" w:eastAsia="en-GB"/>
            </w:rPr>
          </w:pPr>
          <w:hyperlink w:anchor="_Toc56779044" w:history="1">
            <w:r w:rsidRPr="003D5CD7">
              <w:rPr>
                <w:rStyle w:val="Hyperlink"/>
                <w:noProof/>
              </w:rPr>
              <w:t>showProgressBar : bool</w:t>
            </w:r>
            <w:r>
              <w:rPr>
                <w:noProof/>
                <w:webHidden/>
              </w:rPr>
              <w:tab/>
            </w:r>
            <w:r>
              <w:rPr>
                <w:noProof/>
                <w:webHidden/>
              </w:rPr>
              <w:fldChar w:fldCharType="begin"/>
            </w:r>
            <w:r>
              <w:rPr>
                <w:noProof/>
                <w:webHidden/>
              </w:rPr>
              <w:instrText xml:space="preserve"> PAGEREF _Toc56779044 \h </w:instrText>
            </w:r>
            <w:r>
              <w:rPr>
                <w:noProof/>
                <w:webHidden/>
              </w:rPr>
            </w:r>
            <w:r>
              <w:rPr>
                <w:noProof/>
                <w:webHidden/>
              </w:rPr>
              <w:fldChar w:fldCharType="separate"/>
            </w:r>
            <w:r>
              <w:rPr>
                <w:noProof/>
                <w:webHidden/>
              </w:rPr>
              <w:t>10</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10"/>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56779022"/>
      <w:r>
        <w:lastRenderedPageBreak/>
        <w:t>Introduction</w:t>
      </w:r>
      <w:bookmarkEnd w:id="1"/>
      <w:bookmarkEnd w:id="2"/>
    </w:p>
    <w:p w:rsidR="00236B6B" w:rsidRDefault="00236B6B" w:rsidP="00236B6B">
      <w:r>
        <w:t xml:space="preserve">This document describes in detail the </w:t>
      </w:r>
      <w:r w:rsidR="00661F61">
        <w:t xml:space="preserve">related </w:t>
      </w:r>
      <w:r w:rsidR="00E77B52">
        <w:t>QEPvLoadSave and QEPvLoadSaveButton</w:t>
      </w:r>
      <w:r>
        <w:t xml:space="preserve"> widgets (strictly speaking, we should call these widget classes, but the term “widget” is often used through-out this document) which are </w:t>
      </w:r>
      <w:r w:rsidR="00E77B52">
        <w:t>two</w:t>
      </w:r>
      <w:r>
        <w:t xml:space="preserve"> EPICS aware widgets provided by the EPICS Qt, aka QE, Framework.</w:t>
      </w:r>
    </w:p>
    <w:p w:rsidR="00236B6B" w:rsidRDefault="00236B6B" w:rsidP="00236B6B">
      <w:r>
        <w:t>This document was created as a separate widget specification document. The main reason for this is ease of maintenance and avoiding editing large and unwieldy word documents.</w:t>
      </w:r>
    </w:p>
    <w:p w:rsidR="00523C55" w:rsidRDefault="00236B6B" w:rsidP="00236B6B">
      <w:r>
        <w:t>The QE Framework is distributed under the GNU Lesser General Public License version 3, distributed with the framework in the file LICENSE. It may also be obtained from here</w:t>
      </w:r>
      <w:r w:rsidR="00503EAD">
        <w:t xml:space="preserve">: </w:t>
      </w:r>
      <w:hyperlink r:id="rId11" w:history="1">
        <w:r w:rsidR="00F15CBE">
          <w:rPr>
            <w:rStyle w:val="Hyperlink"/>
          </w:rPr>
          <w:t>http://www.gnu.org/licenses/lgpl-3.0-standalone.html</w:t>
        </w:r>
      </w:hyperlink>
    </w:p>
    <w:p w:rsidR="00034932" w:rsidRDefault="00E77B52" w:rsidP="00034932">
      <w:pPr>
        <w:pStyle w:val="Heading1"/>
      </w:pPr>
      <w:bookmarkStart w:id="3" w:name="__RefHeading___Toc477_2825637425"/>
      <w:bookmarkStart w:id="4" w:name="_Toc56779023"/>
      <w:bookmarkEnd w:id="3"/>
      <w:r>
        <w:t>QEPvLoadSave</w:t>
      </w:r>
      <w:bookmarkEnd w:id="4"/>
    </w:p>
    <w:p w:rsidR="00034932" w:rsidRDefault="00034932" w:rsidP="00034932">
      <w:pPr>
        <w:pStyle w:val="Heading2"/>
      </w:pPr>
      <w:bookmarkStart w:id="5" w:name="__RefHeading___Toc500_2825637425"/>
      <w:bookmarkStart w:id="6" w:name="_Toc56779024"/>
      <w:bookmarkEnd w:id="5"/>
      <w:r>
        <w:t>Description</w:t>
      </w:r>
      <w:bookmarkEnd w:id="6"/>
    </w:p>
    <w:p w:rsidR="008B5A33" w:rsidRDefault="008B5A33" w:rsidP="008B5A33">
      <w:pPr>
        <w:jc w:val="both"/>
      </w:pPr>
      <w:r>
        <w:t>The QEPvLoadSave widget is designed and provided primarily to support the in built-in PV Load/Save form included in the QEGui application. However form designers may include one or more instances of this widget on their own forms if so desired.</w:t>
      </w:r>
    </w:p>
    <w:p w:rsidR="008B5A33" w:rsidRDefault="00550620" w:rsidP="008B5A33">
      <w:pPr>
        <w:jc w:val="both"/>
      </w:pPr>
      <w:r>
        <w:t>The QEPvLoadSave widget allows</w:t>
      </w:r>
      <w:r w:rsidR="008B5A33">
        <w:t xml:space="preserve"> a user to define a hierarchical set of variables and apply the following actions to the whole hierarchy or a selected subset:</w:t>
      </w:r>
    </w:p>
    <w:p w:rsidR="008B5A33" w:rsidRDefault="008B5A33" w:rsidP="00252663">
      <w:pPr>
        <w:pStyle w:val="ListParagraph"/>
        <w:numPr>
          <w:ilvl w:val="0"/>
          <w:numId w:val="1"/>
        </w:numPr>
        <w:jc w:val="both"/>
      </w:pPr>
      <w:r>
        <w:t xml:space="preserve">Write the values to the ‘system’ – the system being whatever IOCs and other Channel Access servers are currently </w:t>
      </w:r>
      <w:r w:rsidR="00550620">
        <w:t>accessible</w:t>
      </w:r>
      <w:r>
        <w:t xml:space="preserve"> to the QEGui application;</w:t>
      </w:r>
    </w:p>
    <w:p w:rsidR="008B5A33" w:rsidRDefault="008B5A33" w:rsidP="008B5A33">
      <w:pPr>
        <w:pStyle w:val="ListParagraph"/>
        <w:jc w:val="both"/>
      </w:pPr>
    </w:p>
    <w:p w:rsidR="008B5A33" w:rsidRDefault="008B5A33" w:rsidP="00252663">
      <w:pPr>
        <w:pStyle w:val="ListParagraph"/>
        <w:numPr>
          <w:ilvl w:val="0"/>
          <w:numId w:val="1"/>
        </w:numPr>
        <w:jc w:val="both"/>
      </w:pPr>
      <w:r>
        <w:t>Read the values from the system;</w:t>
      </w:r>
    </w:p>
    <w:p w:rsidR="008B5A33" w:rsidRDefault="008B5A33" w:rsidP="008B5A33">
      <w:pPr>
        <w:pStyle w:val="ListParagraph"/>
      </w:pPr>
    </w:p>
    <w:p w:rsidR="008B5A33" w:rsidRDefault="008B5A33" w:rsidP="00252663">
      <w:pPr>
        <w:pStyle w:val="ListParagraph"/>
        <w:numPr>
          <w:ilvl w:val="0"/>
          <w:numId w:val="1"/>
        </w:numPr>
        <w:jc w:val="both"/>
      </w:pPr>
      <w:r>
        <w:t>Read the values from the archive for a user nominated time;</w:t>
      </w:r>
    </w:p>
    <w:p w:rsidR="008B5A33" w:rsidRDefault="008B5A33" w:rsidP="008B5A33">
      <w:pPr>
        <w:pStyle w:val="ListParagraph"/>
      </w:pPr>
    </w:p>
    <w:p w:rsidR="008B5A33" w:rsidRDefault="008B5A33" w:rsidP="00252663">
      <w:pPr>
        <w:pStyle w:val="ListParagraph"/>
        <w:numPr>
          <w:ilvl w:val="0"/>
          <w:numId w:val="1"/>
        </w:numPr>
        <w:jc w:val="both"/>
      </w:pPr>
      <w:r>
        <w:t>Write the values to a file for not volatile storage. The file is an xml file -  the format is described below;</w:t>
      </w:r>
    </w:p>
    <w:p w:rsidR="008B5A33" w:rsidRDefault="008B5A33" w:rsidP="008B5A33">
      <w:pPr>
        <w:pStyle w:val="ListParagraph"/>
      </w:pPr>
    </w:p>
    <w:p w:rsidR="008B5A33" w:rsidRDefault="008B5A33" w:rsidP="00252663">
      <w:pPr>
        <w:pStyle w:val="ListParagraph"/>
        <w:numPr>
          <w:ilvl w:val="0"/>
          <w:numId w:val="1"/>
        </w:numPr>
        <w:jc w:val="both"/>
      </w:pPr>
      <w:r>
        <w:t>Read the values from a file; and</w:t>
      </w:r>
    </w:p>
    <w:p w:rsidR="008B5A33" w:rsidRDefault="008B5A33" w:rsidP="008B5A33">
      <w:pPr>
        <w:pStyle w:val="ListParagraph"/>
      </w:pPr>
    </w:p>
    <w:p w:rsidR="008B5A33" w:rsidRDefault="008B5A33" w:rsidP="00252663">
      <w:pPr>
        <w:pStyle w:val="ListParagraph"/>
        <w:numPr>
          <w:ilvl w:val="0"/>
          <w:numId w:val="1"/>
        </w:numPr>
        <w:jc w:val="both"/>
      </w:pPr>
      <w:r>
        <w:t>Edit a nominated value.</w:t>
      </w:r>
    </w:p>
    <w:p w:rsidR="008B5A33" w:rsidRDefault="008B5A33" w:rsidP="008B5A33">
      <w:pPr>
        <w:jc w:val="both"/>
      </w:pPr>
      <w:r>
        <w:t xml:space="preserve">The QEPvLoadSave widget </w:t>
      </w:r>
      <w:r w:rsidR="00550620">
        <w:t>can</w:t>
      </w:r>
      <w:r>
        <w:t xml:space="preserve"> supports two simultaneous and independent hierarchies, and the user is able to merge the whole hierarchy or a selected subset into the other hierarchy. The user may also request the display of the difference between the hierarchies. This is presented graphically to the user to enable him/her to quickly identify differences in the values associated between the PVs common to both sets.</w:t>
      </w:r>
    </w:p>
    <w:p w:rsidR="008B5A33" w:rsidRDefault="008B5A33" w:rsidP="008B5A33">
      <w:pPr>
        <w:jc w:val="both"/>
      </w:pPr>
      <w:r>
        <w:fldChar w:fldCharType="begin"/>
      </w:r>
      <w:r>
        <w:instrText xml:space="preserve"> REF _Ref370132660 \h </w:instrText>
      </w:r>
      <w:r>
        <w:fldChar w:fldCharType="separate"/>
      </w:r>
      <w:r w:rsidR="00F044C2">
        <w:t xml:space="preserve">Figure </w:t>
      </w:r>
      <w:r w:rsidR="00F044C2">
        <w:rPr>
          <w:noProof/>
        </w:rPr>
        <w:t>1</w:t>
      </w:r>
      <w:r>
        <w:fldChar w:fldCharType="end"/>
      </w:r>
      <w:r w:rsidR="00550620">
        <w:t xml:space="preserve"> </w:t>
      </w:r>
      <w:r>
        <w:fldChar w:fldCharType="begin"/>
      </w:r>
      <w:r>
        <w:instrText xml:space="preserve"> REF _Ref370132662 \p \h </w:instrText>
      </w:r>
      <w:r>
        <w:fldChar w:fldCharType="separate"/>
      </w:r>
      <w:r w:rsidR="00F044C2">
        <w:t>below</w:t>
      </w:r>
      <w:r>
        <w:fldChar w:fldCharType="end"/>
      </w:r>
      <w:r>
        <w:t xml:space="preserve"> shows the QEPvLoadSave widget as used </w:t>
      </w:r>
      <w:r w:rsidR="00550620">
        <w:t>within the QEGui built-in form.</w:t>
      </w:r>
    </w:p>
    <w:p w:rsidR="00550620" w:rsidRDefault="00550620" w:rsidP="00550620">
      <w:pPr>
        <w:jc w:val="both"/>
      </w:pPr>
    </w:p>
    <w:p w:rsidR="00550620" w:rsidRDefault="00550620" w:rsidP="00550620">
      <w:pPr>
        <w:jc w:val="center"/>
      </w:pPr>
      <w:r>
        <w:rPr>
          <w:noProof/>
          <w:lang w:val="en-GB" w:eastAsia="en-GB"/>
        </w:rPr>
        <w:drawing>
          <wp:inline distT="0" distB="0" distL="0" distR="0" wp14:anchorId="1681C2EC" wp14:editId="0B1F87C4">
            <wp:extent cx="3753135" cy="5001138"/>
            <wp:effectExtent l="0" t="0" r="0" b="0"/>
            <wp:docPr id="88" name="Picture 59" descr="QEPvLoad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PvLoadSave-1.png"/>
                    <pic:cNvPicPr/>
                  </pic:nvPicPr>
                  <pic:blipFill>
                    <a:blip r:embed="rId12" cstate="print"/>
                    <a:stretch>
                      <a:fillRect/>
                    </a:stretch>
                  </pic:blipFill>
                  <pic:spPr>
                    <a:xfrm>
                      <a:off x="0" y="0"/>
                      <a:ext cx="3757506" cy="5006962"/>
                    </a:xfrm>
                    <a:prstGeom prst="rect">
                      <a:avLst/>
                    </a:prstGeom>
                  </pic:spPr>
                </pic:pic>
              </a:graphicData>
            </a:graphic>
          </wp:inline>
        </w:drawing>
      </w:r>
    </w:p>
    <w:p w:rsidR="00550620" w:rsidRDefault="00550620" w:rsidP="00550620">
      <w:pPr>
        <w:pStyle w:val="Caption"/>
        <w:jc w:val="center"/>
      </w:pPr>
      <w:bookmarkStart w:id="7" w:name="_Ref370132660"/>
      <w:bookmarkStart w:id="8" w:name="_Ref370132662"/>
      <w:r>
        <w:t xml:space="preserve">Figure </w:t>
      </w:r>
      <w:r w:rsidR="00F044C2">
        <w:fldChar w:fldCharType="begin"/>
      </w:r>
      <w:r w:rsidR="00F044C2">
        <w:instrText xml:space="preserve"> SEQ Figure \* ARABIC </w:instrText>
      </w:r>
      <w:r w:rsidR="00F044C2">
        <w:fldChar w:fldCharType="separate"/>
      </w:r>
      <w:r w:rsidR="00F044C2">
        <w:rPr>
          <w:noProof/>
        </w:rPr>
        <w:t>1</w:t>
      </w:r>
      <w:r w:rsidR="00F044C2">
        <w:rPr>
          <w:noProof/>
        </w:rPr>
        <w:fldChar w:fldCharType="end"/>
      </w:r>
      <w:bookmarkEnd w:id="7"/>
      <w:r>
        <w:t xml:space="preserve"> QEPvLoadSave – basic example.</w:t>
      </w:r>
      <w:bookmarkEnd w:id="8"/>
    </w:p>
    <w:p w:rsidR="00550620" w:rsidRPr="00550620" w:rsidRDefault="00550620" w:rsidP="00550620"/>
    <w:p w:rsidR="008B5A33" w:rsidRDefault="008B5A33" w:rsidP="008B5A33">
      <w:pPr>
        <w:pStyle w:val="Heading3"/>
      </w:pPr>
      <w:bookmarkStart w:id="9" w:name="_Toc46494751"/>
      <w:bookmarkStart w:id="10" w:name="_Toc56779025"/>
      <w:r>
        <w:t>Tool Bar</w:t>
      </w:r>
      <w:bookmarkEnd w:id="9"/>
      <w:bookmarkEnd w:id="10"/>
    </w:p>
    <w:p w:rsidR="008B5A33" w:rsidRDefault="008B5A33" w:rsidP="008B5A33">
      <w:pPr>
        <w:jc w:val="both"/>
      </w:pPr>
      <w:r>
        <w:t>Each hierarchy is provided with a tool bar. The functions provided by each of these buttons are:</w:t>
      </w:r>
    </w:p>
    <w:p w:rsidR="008B5A33" w:rsidRDefault="008B5A33" w:rsidP="00252663">
      <w:pPr>
        <w:pStyle w:val="ListParagraph"/>
        <w:numPr>
          <w:ilvl w:val="0"/>
          <w:numId w:val="2"/>
        </w:numPr>
        <w:jc w:val="both"/>
      </w:pPr>
      <w:r>
        <w:rPr>
          <w:noProof/>
          <w:lang w:val="en-GB" w:eastAsia="en-GB"/>
        </w:rPr>
        <w:drawing>
          <wp:inline distT="0" distB="0" distL="0" distR="0" wp14:anchorId="673243CF" wp14:editId="0E605896">
            <wp:extent cx="397510" cy="246380"/>
            <wp:effectExtent l="19050" t="0" r="254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97510" cy="246380"/>
                    </a:xfrm>
                    <a:prstGeom prst="rect">
                      <a:avLst/>
                    </a:prstGeom>
                    <a:noFill/>
                    <a:ln w="9525">
                      <a:noFill/>
                      <a:miter lim="800000"/>
                      <a:headEnd/>
                      <a:tailEnd/>
                    </a:ln>
                  </pic:spPr>
                </pic:pic>
              </a:graphicData>
            </a:graphic>
          </wp:inline>
        </w:drawing>
      </w:r>
      <w:r>
        <w:t xml:space="preserve">  - this button writes all values in the hierarchy to their associated PVs; </w:t>
      </w:r>
    </w:p>
    <w:p w:rsidR="008B5A33" w:rsidRDefault="008B5A33" w:rsidP="008B5A33">
      <w:pPr>
        <w:pStyle w:val="ListParagraph"/>
        <w:jc w:val="both"/>
      </w:pPr>
    </w:p>
    <w:p w:rsidR="008B5A33" w:rsidRDefault="008B5A33" w:rsidP="00252663">
      <w:pPr>
        <w:pStyle w:val="ListParagraph"/>
        <w:numPr>
          <w:ilvl w:val="0"/>
          <w:numId w:val="2"/>
        </w:numPr>
        <w:jc w:val="both"/>
      </w:pPr>
      <w:r>
        <w:rPr>
          <w:noProof/>
          <w:lang w:val="en-GB" w:eastAsia="en-GB"/>
        </w:rPr>
        <w:drawing>
          <wp:inline distT="0" distB="0" distL="0" distR="0" wp14:anchorId="21332AB1" wp14:editId="42F9849E">
            <wp:extent cx="381635" cy="246380"/>
            <wp:effectExtent l="19050" t="0" r="0"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 this button re</w:t>
      </w:r>
      <w:r w:rsidR="00550620">
        <w:t>a</w:t>
      </w:r>
      <w:r>
        <w:t>ds all values in the hierarchy from their associated PVs;</w:t>
      </w:r>
    </w:p>
    <w:p w:rsidR="008B5A33" w:rsidRDefault="008B5A33" w:rsidP="008B5A33">
      <w:pPr>
        <w:pStyle w:val="ListParagraph"/>
      </w:pPr>
    </w:p>
    <w:p w:rsidR="008B5A33" w:rsidRDefault="008B5A33" w:rsidP="00252663">
      <w:pPr>
        <w:pStyle w:val="ListParagraph"/>
        <w:numPr>
          <w:ilvl w:val="0"/>
          <w:numId w:val="2"/>
        </w:numPr>
        <w:jc w:val="both"/>
      </w:pPr>
      <w:r>
        <w:rPr>
          <w:noProof/>
          <w:lang w:val="en-GB" w:eastAsia="en-GB"/>
        </w:rPr>
        <w:drawing>
          <wp:inline distT="0" distB="0" distL="0" distR="0" wp14:anchorId="796183B4" wp14:editId="2D067638">
            <wp:extent cx="381635" cy="246380"/>
            <wp:effectExtent l="19050" t="0" r="0" b="0"/>
            <wp:docPr id="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 this button writes the selected sub-hierarchy values to their associated PVs;</w:t>
      </w:r>
    </w:p>
    <w:p w:rsidR="008B5A33" w:rsidRDefault="008B5A33" w:rsidP="008B5A33">
      <w:pPr>
        <w:pStyle w:val="ListParagraph"/>
      </w:pPr>
    </w:p>
    <w:p w:rsidR="008B5A33" w:rsidRDefault="008B5A33" w:rsidP="00252663">
      <w:pPr>
        <w:pStyle w:val="ListParagraph"/>
        <w:numPr>
          <w:ilvl w:val="0"/>
          <w:numId w:val="2"/>
        </w:numPr>
        <w:jc w:val="both"/>
      </w:pPr>
      <w:r>
        <w:rPr>
          <w:noProof/>
          <w:lang w:val="en-GB" w:eastAsia="en-GB"/>
        </w:rPr>
        <w:drawing>
          <wp:inline distT="0" distB="0" distL="0" distR="0" wp14:anchorId="6BF2167C" wp14:editId="41559293">
            <wp:extent cx="381635" cy="246380"/>
            <wp:effectExtent l="19050" t="0" r="0" b="0"/>
            <wp:docPr id="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 this button reads the selected sub-hierarchy values from their associated PVs;</w:t>
      </w:r>
    </w:p>
    <w:p w:rsidR="008B5A33" w:rsidRDefault="008B5A33" w:rsidP="008B5A33">
      <w:pPr>
        <w:pStyle w:val="ListParagraph"/>
      </w:pPr>
    </w:p>
    <w:p w:rsidR="008B5A33" w:rsidRDefault="008B5A33" w:rsidP="00252663">
      <w:pPr>
        <w:pStyle w:val="ListParagraph"/>
        <w:numPr>
          <w:ilvl w:val="0"/>
          <w:numId w:val="2"/>
        </w:numPr>
        <w:jc w:val="both"/>
      </w:pPr>
      <w:r>
        <w:rPr>
          <w:noProof/>
          <w:lang w:val="en-GB" w:eastAsia="en-GB"/>
        </w:rPr>
        <w:drawing>
          <wp:inline distT="0" distB="0" distL="0" distR="0" wp14:anchorId="0AE4F13D" wp14:editId="0C0770DA">
            <wp:extent cx="381635" cy="246380"/>
            <wp:effectExtent l="19050" t="0" r="0" b="0"/>
            <wp:docPr id="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 </w:t>
      </w:r>
      <w:proofErr w:type="gramStart"/>
      <w:r>
        <w:t>this</w:t>
      </w:r>
      <w:proofErr w:type="gramEnd"/>
      <w:r>
        <w:t xml:space="preserve"> button displays a date/time selection dialog. Once the user has selected a data and time, the archiver is accessed and t</w:t>
      </w:r>
      <w:r w:rsidR="00550620">
        <w:t>he associated values extracted</w:t>
      </w:r>
      <w:r>
        <w:t>;</w:t>
      </w:r>
    </w:p>
    <w:p w:rsidR="008B5A33" w:rsidRDefault="008B5A33" w:rsidP="008B5A33">
      <w:pPr>
        <w:pStyle w:val="ListParagraph"/>
      </w:pPr>
    </w:p>
    <w:p w:rsidR="008B5A33" w:rsidRDefault="008B5A33" w:rsidP="00252663">
      <w:pPr>
        <w:pStyle w:val="ListParagraph"/>
        <w:numPr>
          <w:ilvl w:val="0"/>
          <w:numId w:val="2"/>
        </w:numPr>
        <w:jc w:val="both"/>
      </w:pPr>
      <w:r>
        <w:rPr>
          <w:noProof/>
          <w:lang w:val="en-GB" w:eastAsia="en-GB"/>
        </w:rPr>
        <w:drawing>
          <wp:inline distT="0" distB="0" distL="0" distR="0" wp14:anchorId="14811DCF" wp14:editId="38615408">
            <wp:extent cx="381635" cy="246380"/>
            <wp:effectExtent l="19050" t="0" r="0" b="0"/>
            <wp:docPr id="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or </w:t>
      </w:r>
      <w:r>
        <w:rPr>
          <w:noProof/>
          <w:lang w:val="en-GB" w:eastAsia="en-GB"/>
        </w:rPr>
        <w:drawing>
          <wp:inline distT="0" distB="0" distL="0" distR="0" wp14:anchorId="08E19BD7" wp14:editId="52242DEB">
            <wp:extent cx="381000" cy="247650"/>
            <wp:effectExtent l="19050" t="0" r="0" b="0"/>
            <wp:docPr id="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81000" cy="247650"/>
                    </a:xfrm>
                    <a:prstGeom prst="rect">
                      <a:avLst/>
                    </a:prstGeom>
                    <a:noFill/>
                    <a:ln w="9525">
                      <a:noFill/>
                      <a:miter lim="800000"/>
                      <a:headEnd/>
                      <a:tailEnd/>
                    </a:ln>
                  </pic:spPr>
                </pic:pic>
              </a:graphicData>
            </a:graphic>
          </wp:inline>
        </w:drawing>
      </w:r>
      <w:r>
        <w:t xml:space="preserve"> - this button copies all values from the hierarchy and merges these into the other hierarchy;</w:t>
      </w:r>
    </w:p>
    <w:p w:rsidR="008B5A33" w:rsidRDefault="008B5A33" w:rsidP="008B5A33">
      <w:pPr>
        <w:pStyle w:val="ListParagraph"/>
      </w:pPr>
    </w:p>
    <w:p w:rsidR="008B5A33" w:rsidRDefault="008B5A33" w:rsidP="00252663">
      <w:pPr>
        <w:pStyle w:val="ListParagraph"/>
        <w:numPr>
          <w:ilvl w:val="0"/>
          <w:numId w:val="2"/>
        </w:numPr>
        <w:jc w:val="both"/>
      </w:pPr>
      <w:r>
        <w:rPr>
          <w:noProof/>
          <w:lang w:val="en-GB" w:eastAsia="en-GB"/>
        </w:rPr>
        <w:drawing>
          <wp:inline distT="0" distB="0" distL="0" distR="0" wp14:anchorId="51026DA8" wp14:editId="6535A557">
            <wp:extent cx="381635" cy="246380"/>
            <wp:effectExtent l="19050" t="0" r="0" b="0"/>
            <wp:docPr id="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or </w:t>
      </w:r>
      <w:r>
        <w:rPr>
          <w:noProof/>
          <w:lang w:val="en-GB" w:eastAsia="en-GB"/>
        </w:rPr>
        <w:drawing>
          <wp:inline distT="0" distB="0" distL="0" distR="0" wp14:anchorId="5614D63E" wp14:editId="786BE7FB">
            <wp:extent cx="381635" cy="246380"/>
            <wp:effectExtent l="19050" t="0" r="0" b="0"/>
            <wp:docPr id="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381635" cy="246380"/>
                    </a:xfrm>
                    <a:prstGeom prst="rect">
                      <a:avLst/>
                    </a:prstGeom>
                    <a:noFill/>
                    <a:ln w="9525">
                      <a:noFill/>
                      <a:miter lim="800000"/>
                      <a:headEnd/>
                      <a:tailEnd/>
                    </a:ln>
                  </pic:spPr>
                </pic:pic>
              </a:graphicData>
            </a:graphic>
          </wp:inline>
        </w:drawing>
      </w:r>
      <w:r>
        <w:t xml:space="preserve"> - this button copies all values from the selected sub-hierarchy and merges these into the other hierarchy;</w:t>
      </w:r>
    </w:p>
    <w:p w:rsidR="008B5A33" w:rsidRDefault="008B5A33" w:rsidP="008B5A33">
      <w:pPr>
        <w:pStyle w:val="ListParagraph"/>
      </w:pPr>
    </w:p>
    <w:p w:rsidR="008B5A33" w:rsidRDefault="008B5A33" w:rsidP="00252663">
      <w:pPr>
        <w:pStyle w:val="ListParagraph"/>
        <w:numPr>
          <w:ilvl w:val="0"/>
          <w:numId w:val="2"/>
        </w:numPr>
        <w:jc w:val="both"/>
      </w:pPr>
      <w:r>
        <w:t>Show second tree check box – this control whether the second tree (hierarchy) is displayed;</w:t>
      </w:r>
    </w:p>
    <w:p w:rsidR="008B5A33" w:rsidRDefault="008B5A33" w:rsidP="008B5A33">
      <w:pPr>
        <w:pStyle w:val="ListParagraph"/>
      </w:pPr>
    </w:p>
    <w:p w:rsidR="008B5A33" w:rsidRDefault="008B5A33" w:rsidP="008B5A33">
      <w:pPr>
        <w:pStyle w:val="ListParagraph"/>
        <w:numPr>
          <w:ilvl w:val="0"/>
          <w:numId w:val="2"/>
        </w:numPr>
        <w:jc w:val="both"/>
      </w:pPr>
      <w:r>
        <w:t>Load... - this button allows the user to navigate the file syst</w:t>
      </w:r>
      <w:r w:rsidR="00550620">
        <w:t>em to load a PV-Value xml file.</w:t>
      </w:r>
      <w:r w:rsidR="00550620">
        <w:br/>
      </w:r>
    </w:p>
    <w:p w:rsidR="008B5A33" w:rsidRDefault="008B5A33" w:rsidP="00252663">
      <w:pPr>
        <w:pStyle w:val="ListParagraph"/>
        <w:numPr>
          <w:ilvl w:val="0"/>
          <w:numId w:val="2"/>
        </w:numPr>
        <w:jc w:val="both"/>
      </w:pPr>
      <w:r>
        <w:t>Save... - this button allows the user to navigate the file system and select the file to save the current configuration file;</w:t>
      </w:r>
    </w:p>
    <w:p w:rsidR="008B5A33" w:rsidRDefault="008B5A33" w:rsidP="008B5A33">
      <w:pPr>
        <w:pStyle w:val="ListParagraph"/>
      </w:pPr>
    </w:p>
    <w:p w:rsidR="008B5A33" w:rsidRDefault="008B5A33" w:rsidP="00252663">
      <w:pPr>
        <w:pStyle w:val="ListParagraph"/>
        <w:numPr>
          <w:ilvl w:val="0"/>
          <w:numId w:val="2"/>
        </w:numPr>
        <w:jc w:val="both"/>
      </w:pPr>
      <w:r>
        <w:t>Delete - this button delete the selected sub-hierarchy;</w:t>
      </w:r>
    </w:p>
    <w:p w:rsidR="008B5A33" w:rsidRDefault="008B5A33" w:rsidP="008B5A33">
      <w:pPr>
        <w:pStyle w:val="ListParagraph"/>
      </w:pPr>
    </w:p>
    <w:p w:rsidR="008B5A33" w:rsidRDefault="008B5A33" w:rsidP="00252663">
      <w:pPr>
        <w:pStyle w:val="ListParagraph"/>
        <w:numPr>
          <w:ilvl w:val="0"/>
          <w:numId w:val="2"/>
        </w:numPr>
        <w:jc w:val="both"/>
      </w:pPr>
      <w:r>
        <w:t>Edit... - this button allows the user to edit  the value</w:t>
      </w:r>
      <w:r w:rsidR="00550620">
        <w:t xml:space="preserve"> </w:t>
      </w:r>
      <w:r>
        <w:t xml:space="preserve"> of the selected PV</w:t>
      </w:r>
      <w:r w:rsidR="00550620">
        <w:t>, or values for a an array PV</w:t>
      </w:r>
      <w:r>
        <w:t>;</w:t>
      </w:r>
    </w:p>
    <w:p w:rsidR="008B5A33" w:rsidRDefault="008B5A33" w:rsidP="008B5A33">
      <w:pPr>
        <w:pStyle w:val="ListParagraph"/>
      </w:pPr>
    </w:p>
    <w:p w:rsidR="008B5A33" w:rsidRDefault="008B5A33" w:rsidP="00252663">
      <w:pPr>
        <w:pStyle w:val="ListParagraph"/>
        <w:numPr>
          <w:ilvl w:val="0"/>
          <w:numId w:val="2"/>
        </w:numPr>
        <w:jc w:val="both"/>
      </w:pPr>
      <w:r>
        <w:t>Sort - this button sort by PV name the selected sub-hierarchy (</w:t>
      </w:r>
      <w:r w:rsidRPr="00277735">
        <w:rPr>
          <w:i/>
          <w:color w:val="548DD4" w:themeColor="text2" w:themeTint="99"/>
        </w:rPr>
        <w:t>this functionality is TDB</w:t>
      </w:r>
      <w:r>
        <w:t>); and</w:t>
      </w:r>
    </w:p>
    <w:p w:rsidR="008B5A33" w:rsidRDefault="008B5A33" w:rsidP="008B5A33">
      <w:pPr>
        <w:pStyle w:val="ListParagraph"/>
      </w:pPr>
    </w:p>
    <w:p w:rsidR="008B5A33" w:rsidRDefault="008B5A33" w:rsidP="00252663">
      <w:pPr>
        <w:pStyle w:val="ListParagraph"/>
        <w:numPr>
          <w:ilvl w:val="0"/>
          <w:numId w:val="2"/>
        </w:numPr>
        <w:jc w:val="both"/>
      </w:pPr>
      <w:r>
        <w:t>Compare - this button generates a graphical comparison of the two sets of PVs and their associated values. Only numerical values common to both hierarchies contri</w:t>
      </w:r>
      <w:r w:rsidR="00550620">
        <w:t xml:space="preserve">bute to this graphical </w:t>
      </w:r>
      <w:proofErr w:type="gramStart"/>
      <w:r w:rsidR="00550620">
        <w:t xml:space="preserve">display </w:t>
      </w:r>
      <w:r>
        <w:t>.</w:t>
      </w:r>
      <w:proofErr w:type="gramEnd"/>
    </w:p>
    <w:p w:rsidR="008B5A33" w:rsidRDefault="008B5A33" w:rsidP="008B5A33">
      <w:pPr>
        <w:jc w:val="center"/>
      </w:pPr>
      <w:r>
        <w:rPr>
          <w:noProof/>
          <w:lang w:val="en-GB" w:eastAsia="en-GB"/>
        </w:rPr>
        <w:lastRenderedPageBreak/>
        <w:drawing>
          <wp:inline distT="0" distB="0" distL="0" distR="0" wp14:anchorId="5F26AE7E" wp14:editId="6A010A30">
            <wp:extent cx="3508657" cy="4675367"/>
            <wp:effectExtent l="19050" t="0" r="0" b="0"/>
            <wp:docPr id="89" name="Picture 32" descr="QEPvLoadS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PvLoadSave-2.png"/>
                    <pic:cNvPicPr/>
                  </pic:nvPicPr>
                  <pic:blipFill>
                    <a:blip r:embed="rId22" cstate="print"/>
                    <a:stretch>
                      <a:fillRect/>
                    </a:stretch>
                  </pic:blipFill>
                  <pic:spPr>
                    <a:xfrm>
                      <a:off x="0" y="0"/>
                      <a:ext cx="3508925" cy="4675724"/>
                    </a:xfrm>
                    <a:prstGeom prst="rect">
                      <a:avLst/>
                    </a:prstGeom>
                  </pic:spPr>
                </pic:pic>
              </a:graphicData>
            </a:graphic>
          </wp:inline>
        </w:drawing>
      </w:r>
    </w:p>
    <w:p w:rsidR="008B5A33" w:rsidRDefault="008B5A33" w:rsidP="008B5A33">
      <w:pPr>
        <w:pStyle w:val="Caption"/>
        <w:jc w:val="center"/>
      </w:pPr>
      <w:bookmarkStart w:id="11" w:name="_Ref370135585"/>
      <w:bookmarkStart w:id="12" w:name="_Ref370135586"/>
      <w:r>
        <w:t xml:space="preserve">Figure </w:t>
      </w:r>
      <w:fldSimple w:instr=" SEQ Figure \* ARABIC ">
        <w:r w:rsidR="00F044C2">
          <w:rPr>
            <w:noProof/>
          </w:rPr>
          <w:t>2</w:t>
        </w:r>
      </w:fldSimple>
      <w:bookmarkEnd w:id="11"/>
      <w:r>
        <w:t xml:space="preserve"> QEPvLoadSave – context menu example.</w:t>
      </w:r>
      <w:bookmarkEnd w:id="12"/>
    </w:p>
    <w:p w:rsidR="008B5A33" w:rsidRDefault="008B5A33" w:rsidP="008B5A33">
      <w:pPr>
        <w:pStyle w:val="Heading3"/>
      </w:pPr>
      <w:bookmarkStart w:id="13" w:name="_Toc46494752"/>
      <w:bookmarkStart w:id="14" w:name="_Toc56779026"/>
      <w:r>
        <w:t>Context Menu</w:t>
      </w:r>
      <w:bookmarkEnd w:id="13"/>
      <w:bookmarkEnd w:id="14"/>
    </w:p>
    <w:p w:rsidR="008B5A33" w:rsidRDefault="008B5A33" w:rsidP="008B5A33">
      <w:pPr>
        <w:jc w:val="both"/>
      </w:pPr>
      <w:r>
        <w:t xml:space="preserve">The QEPvLoadSave widget tree hierarchies provided context menus to allow the following. The content of the context menu depends on the type of item if any selected when the context menu is launched. </w:t>
      </w:r>
      <w:r>
        <w:fldChar w:fldCharType="begin"/>
      </w:r>
      <w:r>
        <w:instrText xml:space="preserve"> REF _Ref370135585 \h </w:instrText>
      </w:r>
      <w:r>
        <w:fldChar w:fldCharType="separate"/>
      </w:r>
      <w:r w:rsidR="00F044C2">
        <w:t xml:space="preserve">Figure </w:t>
      </w:r>
      <w:r w:rsidR="00F044C2">
        <w:rPr>
          <w:noProof/>
        </w:rPr>
        <w:t>2</w:t>
      </w:r>
      <w:r>
        <w:fldChar w:fldCharType="end"/>
      </w:r>
      <w:r w:rsidR="00550620">
        <w:t xml:space="preserve"> </w:t>
      </w:r>
      <w:r>
        <w:fldChar w:fldCharType="begin"/>
      </w:r>
      <w:r>
        <w:instrText xml:space="preserve"> REF _Ref370135586 \p \h </w:instrText>
      </w:r>
      <w:r>
        <w:fldChar w:fldCharType="separate"/>
      </w:r>
      <w:r w:rsidR="00F044C2">
        <w:t>above</w:t>
      </w:r>
      <w:r>
        <w:fldChar w:fldCharType="end"/>
      </w:r>
      <w:r>
        <w:t xml:space="preserve"> shows the context menu presented to the user when a PV node in the hierarchy is selected. Most of these items mirror those available for any EPICS aware framework widget. QEPvLoadSave specific context menu items are:</w:t>
      </w:r>
    </w:p>
    <w:p w:rsidR="008B5A33" w:rsidRDefault="008B5A33" w:rsidP="00252663">
      <w:pPr>
        <w:pStyle w:val="ListParagraph"/>
        <w:numPr>
          <w:ilvl w:val="0"/>
          <w:numId w:val="3"/>
        </w:numPr>
        <w:jc w:val="both"/>
      </w:pPr>
      <w:r>
        <w:t>Create Root (not shown in example). This is only available for an empty hierarchy and creates the root node</w:t>
      </w:r>
      <w:r w:rsidR="00550620">
        <w:t>. A root not is currently required</w:t>
      </w:r>
      <w:r>
        <w:t>;</w:t>
      </w:r>
    </w:p>
    <w:p w:rsidR="008B5A33" w:rsidRDefault="008B5A33" w:rsidP="008B5A33">
      <w:pPr>
        <w:pStyle w:val="ListParagraph"/>
        <w:jc w:val="both"/>
      </w:pPr>
    </w:p>
    <w:p w:rsidR="008B5A33" w:rsidRDefault="008B5A33" w:rsidP="00252663">
      <w:pPr>
        <w:pStyle w:val="ListParagraph"/>
        <w:numPr>
          <w:ilvl w:val="0"/>
          <w:numId w:val="3"/>
        </w:numPr>
        <w:jc w:val="both"/>
      </w:pPr>
      <w:r>
        <w:t>Add Group...  (</w:t>
      </w:r>
      <w:proofErr w:type="gramStart"/>
      <w:r>
        <w:t>not</w:t>
      </w:r>
      <w:proofErr w:type="gramEnd"/>
      <w:r>
        <w:t xml:space="preserve"> shown in example). This allows a group to be added to the hierarchy. It is only available if the root node or another group node is selected;</w:t>
      </w:r>
    </w:p>
    <w:p w:rsidR="008B5A33" w:rsidRDefault="008B5A33" w:rsidP="008B5A33">
      <w:pPr>
        <w:pStyle w:val="ListParagraph"/>
      </w:pPr>
    </w:p>
    <w:p w:rsidR="008B5A33" w:rsidRDefault="008B5A33" w:rsidP="00252663">
      <w:pPr>
        <w:pStyle w:val="ListParagraph"/>
        <w:numPr>
          <w:ilvl w:val="0"/>
          <w:numId w:val="3"/>
        </w:numPr>
        <w:jc w:val="both"/>
      </w:pPr>
      <w:r>
        <w:t>Rename Group...  (</w:t>
      </w:r>
      <w:proofErr w:type="gramStart"/>
      <w:r>
        <w:t>not</w:t>
      </w:r>
      <w:proofErr w:type="gramEnd"/>
      <w:r>
        <w:t xml:space="preserve"> shown in example). This allows the group name to be modified. It is only available if a group node is selected;</w:t>
      </w:r>
    </w:p>
    <w:p w:rsidR="008B5A33" w:rsidRDefault="008B5A33" w:rsidP="008B5A33">
      <w:pPr>
        <w:pStyle w:val="ListParagraph"/>
      </w:pPr>
    </w:p>
    <w:p w:rsidR="008B5A33" w:rsidRDefault="008B5A33" w:rsidP="00252663">
      <w:pPr>
        <w:pStyle w:val="ListParagraph"/>
        <w:numPr>
          <w:ilvl w:val="0"/>
          <w:numId w:val="3"/>
        </w:numPr>
        <w:jc w:val="both"/>
      </w:pPr>
      <w:r>
        <w:lastRenderedPageBreak/>
        <w:t>Add PV...  (</w:t>
      </w:r>
      <w:proofErr w:type="gramStart"/>
      <w:r>
        <w:t>not</w:t>
      </w:r>
      <w:proofErr w:type="gramEnd"/>
      <w:r>
        <w:t xml:space="preserve"> shown in example). This allows a PV to be added to the hierarchy. It is only available if the root node or another group node is selected;</w:t>
      </w:r>
    </w:p>
    <w:p w:rsidR="008B5A33" w:rsidRDefault="008B5A33" w:rsidP="008B5A33">
      <w:pPr>
        <w:pStyle w:val="ListParagraph"/>
      </w:pPr>
    </w:p>
    <w:p w:rsidR="008B5A33" w:rsidRDefault="008B5A33" w:rsidP="00252663">
      <w:pPr>
        <w:pStyle w:val="ListParagraph"/>
        <w:numPr>
          <w:ilvl w:val="0"/>
          <w:numId w:val="3"/>
        </w:numPr>
        <w:jc w:val="both"/>
      </w:pPr>
      <w:r>
        <w:t>Edit PV Name... This allows the PV name to be modified. It is only available if a PV node is selected;</w:t>
      </w:r>
      <w:r>
        <w:br/>
      </w:r>
    </w:p>
    <w:p w:rsidR="008B5A33" w:rsidRDefault="00550620" w:rsidP="00252663">
      <w:pPr>
        <w:pStyle w:val="ListParagraph"/>
        <w:numPr>
          <w:ilvl w:val="0"/>
          <w:numId w:val="3"/>
        </w:numPr>
        <w:jc w:val="both"/>
      </w:pPr>
      <w:r>
        <w:t xml:space="preserve">Edit PV Value....  This </w:t>
      </w:r>
      <w:r w:rsidR="008B5A33">
        <w:t>allows the user to edit</w:t>
      </w:r>
      <w:r>
        <w:t xml:space="preserve"> the value(s) of the selected PV -</w:t>
      </w:r>
      <w:r w:rsidR="008B5A33">
        <w:t xml:space="preserve"> is essentially the same as using the edit button as described above.</w:t>
      </w:r>
    </w:p>
    <w:p w:rsidR="008B5A33" w:rsidRDefault="008B5A33" w:rsidP="008B5A33">
      <w:pPr>
        <w:pStyle w:val="ListParagraph"/>
        <w:jc w:val="both"/>
      </w:pPr>
    </w:p>
    <w:p w:rsidR="008B5A33" w:rsidRDefault="008B5A33" w:rsidP="008B5A33">
      <w:pPr>
        <w:pStyle w:val="Heading3"/>
      </w:pPr>
      <w:bookmarkStart w:id="15" w:name="_Toc46494753"/>
      <w:bookmarkStart w:id="16" w:name="_Toc56779027"/>
      <w:r>
        <w:t>Drop</w:t>
      </w:r>
      <w:bookmarkEnd w:id="15"/>
      <w:bookmarkEnd w:id="16"/>
    </w:p>
    <w:p w:rsidR="008B5A33" w:rsidRDefault="008B5A33" w:rsidP="008B5A33">
      <w:pPr>
        <w:jc w:val="both"/>
      </w:pPr>
      <w:r>
        <w:t xml:space="preserve">The PV name from another framework widget may be </w:t>
      </w:r>
      <w:r w:rsidR="00260779">
        <w:t xml:space="preserve">dragged and </w:t>
      </w:r>
      <w:r>
        <w:t>dropped onto any group node on the hierarchy. If the dropped onto node is a group node, the new PV name is ad</w:t>
      </w:r>
      <w:r w:rsidR="00550620">
        <w:t xml:space="preserve">ded to the end of the group. If the </w:t>
      </w:r>
      <w:r>
        <w:t>dropped on</w:t>
      </w:r>
      <w:r w:rsidR="00550620">
        <w:t>to</w:t>
      </w:r>
      <w:r>
        <w:t xml:space="preserve"> node is a PV node, the new PV name becomes a sibling of that node, i.e. this is as if it had been dropped on the PV node’s parent group node.</w:t>
      </w:r>
    </w:p>
    <w:p w:rsidR="008B5A33" w:rsidRDefault="008B5A33" w:rsidP="008B5A33">
      <w:pPr>
        <w:jc w:val="both"/>
      </w:pPr>
      <w:r>
        <w:t xml:space="preserve">Note: currently one cannot drag from or between the hierarchy trees. </w:t>
      </w:r>
    </w:p>
    <w:p w:rsidR="008B5A33" w:rsidRDefault="008B5A33" w:rsidP="008B5A33">
      <w:pPr>
        <w:pStyle w:val="Heading3"/>
      </w:pPr>
      <w:bookmarkStart w:id="17" w:name="_Ref45716009"/>
      <w:bookmarkStart w:id="18" w:name="_Ref45716023"/>
      <w:bookmarkStart w:id="19" w:name="_Toc46494754"/>
      <w:bookmarkStart w:id="20" w:name="_Toc56779028"/>
      <w:r>
        <w:t>XML File Format</w:t>
      </w:r>
      <w:bookmarkEnd w:id="17"/>
      <w:bookmarkEnd w:id="18"/>
      <w:bookmarkEnd w:id="19"/>
      <w:bookmarkEnd w:id="20"/>
    </w:p>
    <w:p w:rsidR="008B5A33" w:rsidRDefault="008B5A33" w:rsidP="008B5A33">
      <w:r>
        <w:t xml:space="preserve">The format of the xml file used to store the hierarchy in a file is illustrated by example in </w:t>
      </w:r>
      <w:r>
        <w:fldChar w:fldCharType="begin"/>
      </w:r>
      <w:r>
        <w:instrText xml:space="preserve"> REF _Ref370137489 \h </w:instrText>
      </w:r>
      <w:r>
        <w:fldChar w:fldCharType="separate"/>
      </w:r>
      <w:r w:rsidR="00F044C2">
        <w:t xml:space="preserve">Figure </w:t>
      </w:r>
      <w:r w:rsidR="00F044C2">
        <w:rPr>
          <w:noProof/>
        </w:rPr>
        <w:t>3</w:t>
      </w:r>
      <w:r>
        <w:fldChar w:fldCharType="end"/>
      </w:r>
      <w:r w:rsidR="00A16D52">
        <w:t xml:space="preserve"> </w:t>
      </w:r>
      <w:r>
        <w:fldChar w:fldCharType="begin"/>
      </w:r>
      <w:r>
        <w:instrText xml:space="preserve"> REF _Ref370137480 \p \h </w:instrText>
      </w:r>
      <w:r>
        <w:fldChar w:fldCharType="separate"/>
      </w:r>
      <w:r w:rsidR="00F044C2">
        <w:t>below</w:t>
      </w:r>
      <w:r>
        <w:fldChar w:fldCharType="end"/>
      </w:r>
      <w:r>
        <w:t>.</w:t>
      </w:r>
    </w:p>
    <w:p w:rsidR="009B1AB0" w:rsidRDefault="009B1AB0" w:rsidP="008B5A33"/>
    <w:p w:rsidR="009B1AB0" w:rsidRDefault="009B1AB0" w:rsidP="008B5A33">
      <w:r w:rsidRPr="009B1AB0">
        <w:rPr>
          <w:i/>
        </w:rPr>
        <w:t>QEPvLoadSave</w:t>
      </w:r>
      <w:r>
        <w:t>: This tag defines the file type and the format version number.</w:t>
      </w:r>
    </w:p>
    <w:p w:rsidR="00260779" w:rsidRDefault="009B1AB0" w:rsidP="008B5A33">
      <w:r w:rsidRPr="009B1AB0">
        <w:rPr>
          <w:i/>
        </w:rPr>
        <w:t>Group</w:t>
      </w:r>
      <w:r>
        <w:t xml:space="preserve">: The group tag defines the </w:t>
      </w:r>
      <w:proofErr w:type="gramStart"/>
      <w:r>
        <w:t>hierarchy,</w:t>
      </w:r>
      <w:proofErr w:type="gramEnd"/>
      <w:r>
        <w:t xml:space="preserve"> it can be nested to any arbitrary depth. The “Name” attribute defines the group name.</w:t>
      </w:r>
    </w:p>
    <w:p w:rsidR="009B1AB0" w:rsidRDefault="009B1AB0" w:rsidP="008B5A33">
      <w:r w:rsidRPr="009B1AB0">
        <w:rPr>
          <w:i/>
        </w:rPr>
        <w:t>PV</w:t>
      </w:r>
      <w:r>
        <w:t>: This tag specifies a scalar PV. There are one obligatory attributes, namely “Name” which defines the PV name. Other attributes are “Value” which defines the value, “</w:t>
      </w:r>
      <w:proofErr w:type="spellStart"/>
      <w:r>
        <w:t>ReadPV</w:t>
      </w:r>
      <w:proofErr w:type="spellEnd"/>
      <w:r>
        <w:t xml:space="preserve">” which specifies the PV to read from if different from “Name” which is </w:t>
      </w:r>
      <w:proofErr w:type="gramStart"/>
      <w:r>
        <w:t xml:space="preserve">the </w:t>
      </w:r>
      <w:r w:rsidR="00D158E9">
        <w:t>which</w:t>
      </w:r>
      <w:proofErr w:type="gramEnd"/>
      <w:r w:rsidR="00D158E9">
        <w:t xml:space="preserve"> </w:t>
      </w:r>
      <w:r>
        <w:t>PV written to.  The attribute “</w:t>
      </w:r>
      <w:proofErr w:type="spellStart"/>
      <w:r>
        <w:t>ArchPV</w:t>
      </w:r>
      <w:proofErr w:type="spellEnd"/>
      <w:r>
        <w:t>” defines the value read from the archiver</w:t>
      </w:r>
      <w:r w:rsidR="00D158E9">
        <w:t xml:space="preserve"> if different from “Name”.</w:t>
      </w:r>
    </w:p>
    <w:p w:rsidR="00D158E9" w:rsidRDefault="00D158E9" w:rsidP="008B5A33">
      <w:r w:rsidRPr="00D158E9">
        <w:rPr>
          <w:i/>
        </w:rPr>
        <w:t>Array</w:t>
      </w:r>
      <w:r>
        <w:t>: This tag specifies an array PV. The “Name”, “</w:t>
      </w:r>
      <w:proofErr w:type="spellStart"/>
      <w:r>
        <w:t>ReadPV</w:t>
      </w:r>
      <w:proofErr w:type="spellEnd"/>
      <w:r>
        <w:t>” and “</w:t>
      </w:r>
      <w:proofErr w:type="spellStart"/>
      <w:r>
        <w:t>ArchPV</w:t>
      </w:r>
      <w:proofErr w:type="spellEnd"/>
      <w:r>
        <w:t xml:space="preserve">” attributes are similar to those of the </w:t>
      </w:r>
      <w:r w:rsidRPr="00D158E9">
        <w:rPr>
          <w:i/>
        </w:rPr>
        <w:t>PV</w:t>
      </w:r>
      <w:r>
        <w:t xml:space="preserve"> tag. This “Number” attribute specified the number of element values.</w:t>
      </w:r>
    </w:p>
    <w:p w:rsidR="00D158E9" w:rsidRDefault="00D158E9" w:rsidP="008B5A33">
      <w:r w:rsidRPr="00D158E9">
        <w:rPr>
          <w:i/>
        </w:rPr>
        <w:t>Element</w:t>
      </w:r>
      <w:r>
        <w:t xml:space="preserve">: This tag specifies an array </w:t>
      </w:r>
      <w:r w:rsidR="00B92126">
        <w:t>element. There are two attributes, namely “Value” which defines the array element value and “Index” is specifies the elements position, counting from zero, in the array.</w:t>
      </w:r>
    </w:p>
    <w:p w:rsidR="00B92126" w:rsidRDefault="00B92126" w:rsidP="008B5A33">
      <w:r>
        <w:t>Note: The “Number” and “Index” attributes are probably overkill and may be dropped in version 2 of the xml file format.</w:t>
      </w:r>
    </w:p>
    <w:p w:rsidR="00B92126" w:rsidRDefault="00B92126" w:rsidP="008B5A33"/>
    <w:p w:rsidR="00D158E9" w:rsidRDefault="00D158E9" w:rsidP="008B5A33"/>
    <w:p w:rsidR="009B1AB0" w:rsidRDefault="009B1AB0" w:rsidP="008B5A33"/>
    <w:p w:rsidR="009B1AB0" w:rsidRDefault="009B1AB0" w:rsidP="008B5A33"/>
    <w:p w:rsidR="009B1AB0" w:rsidRPr="008416D4" w:rsidRDefault="009B1AB0" w:rsidP="008B5A33"/>
    <w:p w:rsidR="008B5A33" w:rsidRDefault="008B5A33" w:rsidP="008B5A33">
      <w:pPr>
        <w:jc w:val="center"/>
      </w:pPr>
      <w:r>
        <w:rPr>
          <w:noProof/>
          <w:lang w:val="en-GB" w:eastAsia="en-GB"/>
        </w:rPr>
        <w:drawing>
          <wp:inline distT="0" distB="0" distL="0" distR="0" wp14:anchorId="6462848C" wp14:editId="3283D463">
            <wp:extent cx="4966942" cy="4394579"/>
            <wp:effectExtent l="19050" t="19050" r="5715" b="6350"/>
            <wp:docPr id="9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PvLoadSave-4.png"/>
                    <pic:cNvPicPr/>
                  </pic:nvPicPr>
                  <pic:blipFill>
                    <a:blip r:embed="rId23">
                      <a:extLst>
                        <a:ext uri="{28A0092B-C50C-407E-A947-70E740481C1C}">
                          <a14:useLocalDpi xmlns:a14="http://schemas.microsoft.com/office/drawing/2010/main" val="0"/>
                        </a:ext>
                      </a:extLst>
                    </a:blip>
                    <a:stretch>
                      <a:fillRect/>
                    </a:stretch>
                  </pic:blipFill>
                  <pic:spPr>
                    <a:xfrm>
                      <a:off x="0" y="0"/>
                      <a:ext cx="4974564" cy="4401323"/>
                    </a:xfrm>
                    <a:prstGeom prst="rect">
                      <a:avLst/>
                    </a:prstGeom>
                    <a:ln>
                      <a:solidFill>
                        <a:schemeClr val="accent1"/>
                      </a:solidFill>
                    </a:ln>
                  </pic:spPr>
                </pic:pic>
              </a:graphicData>
            </a:graphic>
          </wp:inline>
        </w:drawing>
      </w:r>
    </w:p>
    <w:p w:rsidR="008B5A33" w:rsidRDefault="008B5A33" w:rsidP="008B5A33">
      <w:pPr>
        <w:pStyle w:val="Caption"/>
        <w:jc w:val="center"/>
      </w:pPr>
      <w:bookmarkStart w:id="21" w:name="_Ref370137489"/>
      <w:bookmarkStart w:id="22" w:name="_Ref370137480"/>
      <w:r>
        <w:t xml:space="preserve">Figure </w:t>
      </w:r>
      <w:fldSimple w:instr=" SEQ Figure \* ARABIC ">
        <w:r w:rsidR="00F044C2">
          <w:rPr>
            <w:noProof/>
          </w:rPr>
          <w:t>3</w:t>
        </w:r>
      </w:fldSimple>
      <w:bookmarkEnd w:id="21"/>
      <w:r>
        <w:t xml:space="preserve"> QEPvLoadSave – xml file example.</w:t>
      </w:r>
      <w:bookmarkEnd w:id="22"/>
    </w:p>
    <w:p w:rsidR="008B5A33" w:rsidRPr="00AA3F15" w:rsidRDefault="008B5A33" w:rsidP="008B5A33"/>
    <w:p w:rsidR="00B92126" w:rsidRDefault="00B92126" w:rsidP="008B5A33">
      <w:pPr>
        <w:pStyle w:val="Heading3"/>
      </w:pPr>
      <w:bookmarkStart w:id="23" w:name="_Toc46494755"/>
      <w:bookmarkStart w:id="24" w:name="_Toc56779029"/>
      <w:r>
        <w:t>Merged Node Names</w:t>
      </w:r>
      <w:bookmarkEnd w:id="24"/>
    </w:p>
    <w:bookmarkEnd w:id="23"/>
    <w:p w:rsidR="00B92126" w:rsidRDefault="00B92126" w:rsidP="00A16D52">
      <w:pPr>
        <w:jc w:val="both"/>
      </w:pPr>
      <w:r>
        <w:t>If/when a different PV name is used for writing, reading or extracting archive data node name on display is based on all three PVs names. This consists of:</w:t>
      </w:r>
    </w:p>
    <w:p w:rsidR="00B92126" w:rsidRPr="00B2334F" w:rsidRDefault="00B92126" w:rsidP="00A16D52">
      <w:pPr>
        <w:jc w:val="both"/>
        <w:rPr>
          <w:rFonts w:ascii="Courier New" w:hAnsi="Courier New" w:cs="Courier New"/>
          <w:b/>
          <w:color w:val="002060"/>
        </w:rPr>
      </w:pPr>
      <w:r>
        <w:t xml:space="preserve"> </w:t>
      </w:r>
      <w:r w:rsidR="00B2334F">
        <w:t xml:space="preserve"> </w:t>
      </w:r>
      <w:r>
        <w:t xml:space="preserve">  </w:t>
      </w:r>
      <w:r w:rsidRPr="00B2334F">
        <w:rPr>
          <w:rFonts w:ascii="Courier New" w:hAnsi="Courier New" w:cs="Courier New"/>
          <w:b/>
          <w:color w:val="002060"/>
        </w:rPr>
        <w:t>&lt;</w:t>
      </w:r>
      <w:proofErr w:type="spellStart"/>
      <w:r w:rsidRPr="00B2334F">
        <w:rPr>
          <w:rFonts w:ascii="Courier New" w:hAnsi="Courier New" w:cs="Courier New"/>
          <w:b/>
          <w:color w:val="002060"/>
        </w:rPr>
        <w:t>common_part</w:t>
      </w:r>
      <w:proofErr w:type="spellEnd"/>
      <w:proofErr w:type="gramStart"/>
      <w:r w:rsidRPr="00B2334F">
        <w:rPr>
          <w:rFonts w:ascii="Courier New" w:hAnsi="Courier New" w:cs="Courier New"/>
          <w:b/>
          <w:color w:val="002060"/>
        </w:rPr>
        <w:t>&gt;</w:t>
      </w:r>
      <w:r w:rsidR="00B2334F">
        <w:rPr>
          <w:rFonts w:ascii="Courier New" w:hAnsi="Courier New" w:cs="Courier New"/>
          <w:b/>
          <w:color w:val="002060"/>
        </w:rPr>
        <w:t>{</w:t>
      </w:r>
      <w:proofErr w:type="gramEnd"/>
      <w:r w:rsidR="00B2334F">
        <w:rPr>
          <w:rFonts w:ascii="Courier New" w:hAnsi="Courier New" w:cs="Courier New"/>
          <w:b/>
          <w:color w:val="002060"/>
        </w:rPr>
        <w:t>w:&lt;</w:t>
      </w:r>
      <w:proofErr w:type="spellStart"/>
      <w:r w:rsidRPr="00B2334F">
        <w:rPr>
          <w:rFonts w:ascii="Courier New" w:hAnsi="Courier New" w:cs="Courier New"/>
          <w:b/>
          <w:color w:val="002060"/>
        </w:rPr>
        <w:t>write_part</w:t>
      </w:r>
      <w:proofErr w:type="spellEnd"/>
      <w:r w:rsidR="00B2334F">
        <w:rPr>
          <w:rFonts w:ascii="Courier New" w:hAnsi="Courier New" w:cs="Courier New"/>
          <w:b/>
          <w:color w:val="002060"/>
        </w:rPr>
        <w:t>&gt;; r:&lt;</w:t>
      </w:r>
      <w:r w:rsidRPr="00B2334F">
        <w:rPr>
          <w:rFonts w:ascii="Courier New" w:hAnsi="Courier New" w:cs="Courier New"/>
          <w:b/>
          <w:color w:val="002060"/>
        </w:rPr>
        <w:t>read_part</w:t>
      </w:r>
      <w:r w:rsidR="00B2334F">
        <w:rPr>
          <w:rFonts w:ascii="Courier New" w:hAnsi="Courier New" w:cs="Courier New"/>
          <w:b/>
          <w:color w:val="002060"/>
        </w:rPr>
        <w:t>&gt;; a:&lt;</w:t>
      </w:r>
      <w:r w:rsidRPr="00B2334F">
        <w:rPr>
          <w:rFonts w:ascii="Courier New" w:hAnsi="Courier New" w:cs="Courier New"/>
          <w:b/>
          <w:color w:val="002060"/>
        </w:rPr>
        <w:t>arch_part</w:t>
      </w:r>
      <w:r w:rsidR="00B2334F">
        <w:rPr>
          <w:rFonts w:ascii="Courier New" w:hAnsi="Courier New" w:cs="Courier New"/>
          <w:b/>
          <w:color w:val="002060"/>
        </w:rPr>
        <w:t>&gt;</w:t>
      </w:r>
      <w:r w:rsidR="00B2334F" w:rsidRPr="00B2334F">
        <w:rPr>
          <w:rFonts w:ascii="Courier New" w:hAnsi="Courier New" w:cs="Courier New"/>
          <w:b/>
          <w:color w:val="002060"/>
        </w:rPr>
        <w:t>;</w:t>
      </w:r>
      <w:r w:rsidRPr="00B2334F">
        <w:rPr>
          <w:rFonts w:ascii="Courier New" w:hAnsi="Courier New" w:cs="Courier New"/>
          <w:b/>
          <w:color w:val="002060"/>
        </w:rPr>
        <w:t>}</w:t>
      </w:r>
    </w:p>
    <w:p w:rsidR="00B92126" w:rsidRDefault="00B92126" w:rsidP="00A16D52">
      <w:pPr>
        <w:jc w:val="both"/>
      </w:pPr>
      <w:r>
        <w:t xml:space="preserve">For the </w:t>
      </w:r>
      <w:r w:rsidR="00B2334F">
        <w:t>example above, this would be:</w:t>
      </w:r>
    </w:p>
    <w:p w:rsidR="00B2334F" w:rsidRPr="00B2334F" w:rsidRDefault="00B2334F" w:rsidP="00A16D52">
      <w:pPr>
        <w:jc w:val="both"/>
        <w:rPr>
          <w:rFonts w:ascii="Courier New" w:hAnsi="Courier New" w:cs="Courier New"/>
          <w:b/>
          <w:color w:val="002060"/>
        </w:rPr>
      </w:pPr>
      <w:r>
        <w:t xml:space="preserve">    </w:t>
      </w:r>
      <w:r w:rsidRPr="00B2334F">
        <w:rPr>
          <w:rFonts w:ascii="Courier New" w:hAnsi="Courier New" w:cs="Courier New"/>
          <w:b/>
          <w:color w:val="002060"/>
        </w:rPr>
        <w:t>SR11SCR01:UPPER_</w:t>
      </w:r>
      <w:proofErr w:type="gramStart"/>
      <w:r w:rsidRPr="00B2334F">
        <w:rPr>
          <w:rFonts w:ascii="Courier New" w:hAnsi="Courier New" w:cs="Courier New"/>
          <w:b/>
          <w:color w:val="002060"/>
        </w:rPr>
        <w:t>MOTOR{</w:t>
      </w:r>
      <w:proofErr w:type="gramEnd"/>
      <w:r w:rsidRPr="00B2334F">
        <w:rPr>
          <w:rFonts w:ascii="Courier New" w:hAnsi="Courier New" w:cs="Courier New"/>
          <w:b/>
          <w:color w:val="002060"/>
        </w:rPr>
        <w:t>w:.</w:t>
      </w:r>
      <w:proofErr w:type="spellStart"/>
      <w:r w:rsidRPr="00B2334F">
        <w:rPr>
          <w:rFonts w:ascii="Courier New" w:hAnsi="Courier New" w:cs="Courier New"/>
          <w:b/>
          <w:color w:val="002060"/>
        </w:rPr>
        <w:t>VAL;r</w:t>
      </w:r>
      <w:proofErr w:type="spellEnd"/>
      <w:r w:rsidRPr="00B2334F">
        <w:rPr>
          <w:rFonts w:ascii="Courier New" w:hAnsi="Courier New" w:cs="Courier New"/>
          <w:b/>
          <w:color w:val="002060"/>
        </w:rPr>
        <w:t>:.RBV}</w:t>
      </w:r>
    </w:p>
    <w:p w:rsidR="00B2334F" w:rsidRDefault="00B2334F" w:rsidP="00A16D52">
      <w:pPr>
        <w:jc w:val="both"/>
      </w:pPr>
      <w:r>
        <w:t xml:space="preserve">When editing the PV name, the ‘w’, ‘r’ and </w:t>
      </w:r>
      <w:proofErr w:type="gramStart"/>
      <w:r>
        <w:t xml:space="preserve">‘a’  </w:t>
      </w:r>
      <w:r w:rsidR="00CE7A6A">
        <w:t>parts</w:t>
      </w:r>
      <w:proofErr w:type="gramEnd"/>
      <w:r w:rsidR="00CE7A6A">
        <w:t xml:space="preserve"> may be specified </w:t>
      </w:r>
      <w:r>
        <w:t>in any order, and if two “parts” are the same, then can be entere</w:t>
      </w:r>
      <w:r w:rsidR="00CE7A6A">
        <w:t>d and will be displayed together</w:t>
      </w:r>
      <w:r>
        <w:t>, for example:</w:t>
      </w:r>
    </w:p>
    <w:p w:rsidR="00B92126" w:rsidRDefault="00B2334F" w:rsidP="00A16D52">
      <w:pPr>
        <w:jc w:val="both"/>
      </w:pPr>
      <w:r>
        <w:t xml:space="preserve">     </w:t>
      </w:r>
      <w:r>
        <w:rPr>
          <w:rFonts w:ascii="Courier New" w:hAnsi="Courier New" w:cs="Courier New"/>
          <w:b/>
          <w:color w:val="002060"/>
        </w:rPr>
        <w:t>&lt;</w:t>
      </w:r>
      <w:proofErr w:type="spellStart"/>
      <w:r>
        <w:rPr>
          <w:rFonts w:ascii="Courier New" w:hAnsi="Courier New" w:cs="Courier New"/>
          <w:b/>
          <w:color w:val="002060"/>
        </w:rPr>
        <w:t>common_part</w:t>
      </w:r>
      <w:proofErr w:type="spellEnd"/>
      <w:proofErr w:type="gramStart"/>
      <w:r>
        <w:rPr>
          <w:rFonts w:ascii="Courier New" w:hAnsi="Courier New" w:cs="Courier New"/>
          <w:b/>
          <w:color w:val="002060"/>
        </w:rPr>
        <w:t>&gt;</w:t>
      </w:r>
      <w:r w:rsidRPr="00B2334F">
        <w:rPr>
          <w:rFonts w:ascii="Courier New" w:hAnsi="Courier New" w:cs="Courier New"/>
          <w:b/>
          <w:color w:val="002060"/>
        </w:rPr>
        <w:t>{</w:t>
      </w:r>
      <w:proofErr w:type="spellStart"/>
      <w:proofErr w:type="gramEnd"/>
      <w:r w:rsidRPr="00B2334F">
        <w:rPr>
          <w:rFonts w:ascii="Courier New" w:hAnsi="Courier New" w:cs="Courier New"/>
          <w:b/>
          <w:color w:val="002060"/>
        </w:rPr>
        <w:t>wa</w:t>
      </w:r>
      <w:proofErr w:type="spellEnd"/>
      <w:r w:rsidRPr="00B2334F">
        <w:rPr>
          <w:rFonts w:ascii="Courier New" w:hAnsi="Courier New" w:cs="Courier New"/>
          <w:b/>
          <w:color w:val="002060"/>
        </w:rPr>
        <w:t>:&lt;</w:t>
      </w:r>
      <w:proofErr w:type="spellStart"/>
      <w:r w:rsidRPr="00B2334F">
        <w:rPr>
          <w:rFonts w:ascii="Courier New" w:hAnsi="Courier New" w:cs="Courier New"/>
          <w:b/>
          <w:color w:val="002060"/>
        </w:rPr>
        <w:t>combined_part</w:t>
      </w:r>
      <w:proofErr w:type="spellEnd"/>
      <w:r w:rsidRPr="00B2334F">
        <w:rPr>
          <w:rFonts w:ascii="Courier New" w:hAnsi="Courier New" w:cs="Courier New"/>
          <w:b/>
          <w:color w:val="002060"/>
        </w:rPr>
        <w:t>&gt;</w:t>
      </w:r>
      <w:r>
        <w:rPr>
          <w:rFonts w:ascii="Courier New" w:hAnsi="Courier New" w:cs="Courier New"/>
          <w:b/>
          <w:color w:val="002060"/>
        </w:rPr>
        <w:t>; ... }</w:t>
      </w:r>
    </w:p>
    <w:p w:rsidR="00034932" w:rsidRDefault="00034932" w:rsidP="00034932">
      <w:pPr>
        <w:pStyle w:val="Heading2"/>
      </w:pPr>
      <w:bookmarkStart w:id="25" w:name="__RefHeading___Toc479_2825637425"/>
      <w:bookmarkStart w:id="26" w:name="_Toc56779030"/>
      <w:bookmarkEnd w:id="25"/>
      <w:r>
        <w:lastRenderedPageBreak/>
        <w:t>Properties</w:t>
      </w:r>
      <w:bookmarkEnd w:id="26"/>
    </w:p>
    <w:p w:rsidR="004C1387" w:rsidRPr="004C1387" w:rsidRDefault="004C1387" w:rsidP="004C1387">
      <w:r>
        <w:t>The QEPvLoadSave</w:t>
      </w:r>
      <w:r w:rsidR="007F3FED">
        <w:t xml:space="preserve"> widget inherits directly from QEFrame which provides many of the properties common to many EPICS Qt framework widgets.</w:t>
      </w:r>
    </w:p>
    <w:p w:rsidR="00034932" w:rsidRDefault="002573C1" w:rsidP="00034932">
      <w:pPr>
        <w:pStyle w:val="Heading3"/>
      </w:pPr>
      <w:bookmarkStart w:id="27" w:name="__RefHeading___Toc897_1117627534"/>
      <w:bookmarkStart w:id="28" w:name="_Toc56779031"/>
      <w:bookmarkEnd w:id="27"/>
      <w:proofErr w:type="spellStart"/>
      <w:proofErr w:type="gramStart"/>
      <w:r>
        <w:t>configurationFileLeft</w:t>
      </w:r>
      <w:proofErr w:type="spellEnd"/>
      <w:r w:rsidR="00034932">
        <w:t xml:space="preserve"> :</w:t>
      </w:r>
      <w:proofErr w:type="gramEnd"/>
      <w:r w:rsidR="00034932">
        <w:t xml:space="preserve"> QString</w:t>
      </w:r>
      <w:bookmarkEnd w:id="28"/>
    </w:p>
    <w:p w:rsidR="002573C1" w:rsidRPr="002573C1" w:rsidRDefault="002573C1" w:rsidP="002573C1">
      <w:proofErr w:type="gramStart"/>
      <w:r w:rsidRPr="002573C1">
        <w:rPr>
          <w:i/>
        </w:rPr>
        <w:t>default</w:t>
      </w:r>
      <w:proofErr w:type="gramEnd"/>
      <w:r>
        <w:t>: empty string</w:t>
      </w:r>
    </w:p>
    <w:p w:rsidR="00034932" w:rsidRDefault="00034932" w:rsidP="00034932">
      <w:r>
        <w:t xml:space="preserve">This defines the </w:t>
      </w:r>
      <w:r w:rsidR="002573C1">
        <w:t xml:space="preserve">name of the xml configuration file to be loaded into the left hand side hierarchy. Like process variable names, substitutions are allowed here and the usual designer 1 second delay after editing before action delay applies. </w:t>
      </w:r>
    </w:p>
    <w:p w:rsidR="002573C1" w:rsidRDefault="002573C1" w:rsidP="002573C1">
      <w:pPr>
        <w:pStyle w:val="Heading3"/>
      </w:pPr>
      <w:bookmarkStart w:id="29" w:name="_Toc56779032"/>
      <w:proofErr w:type="spellStart"/>
      <w:proofErr w:type="gramStart"/>
      <w:r>
        <w:t>configurationFileRight</w:t>
      </w:r>
      <w:proofErr w:type="spellEnd"/>
      <w:r>
        <w:t xml:space="preserve"> :</w:t>
      </w:r>
      <w:proofErr w:type="gramEnd"/>
      <w:r>
        <w:t xml:space="preserve"> QString</w:t>
      </w:r>
      <w:bookmarkEnd w:id="29"/>
    </w:p>
    <w:p w:rsidR="002573C1" w:rsidRPr="002573C1" w:rsidRDefault="002573C1" w:rsidP="002573C1">
      <w:proofErr w:type="gramStart"/>
      <w:r w:rsidRPr="002573C1">
        <w:rPr>
          <w:i/>
        </w:rPr>
        <w:t>default</w:t>
      </w:r>
      <w:proofErr w:type="gramEnd"/>
      <w:r>
        <w:t>: empty string</w:t>
      </w:r>
    </w:p>
    <w:p w:rsidR="002573C1" w:rsidRDefault="002573C1" w:rsidP="002573C1">
      <w:r>
        <w:t xml:space="preserve">This defines the name of the xml configuration file to be loaded into the right hand side hierarchy. </w:t>
      </w:r>
    </w:p>
    <w:p w:rsidR="00E05239" w:rsidRDefault="00E05239" w:rsidP="00E05239">
      <w:pPr>
        <w:pStyle w:val="Heading3"/>
      </w:pPr>
      <w:bookmarkStart w:id="30" w:name="_Toc56779033"/>
      <w:proofErr w:type="spellStart"/>
      <w:proofErr w:type="gramStart"/>
      <w:r>
        <w:t>defaultSubstitutions</w:t>
      </w:r>
      <w:proofErr w:type="spellEnd"/>
      <w:r>
        <w:t xml:space="preserve"> :</w:t>
      </w:r>
      <w:proofErr w:type="gramEnd"/>
      <w:r>
        <w:t xml:space="preserve"> QString</w:t>
      </w:r>
      <w:bookmarkEnd w:id="30"/>
    </w:p>
    <w:p w:rsidR="00E05239" w:rsidRPr="002573C1" w:rsidRDefault="00E05239" w:rsidP="00E05239">
      <w:proofErr w:type="gramStart"/>
      <w:r w:rsidRPr="002573C1">
        <w:rPr>
          <w:i/>
        </w:rPr>
        <w:t>default</w:t>
      </w:r>
      <w:proofErr w:type="gramEnd"/>
      <w:r>
        <w:t>: empty string</w:t>
      </w:r>
    </w:p>
    <w:p w:rsidR="00E05239" w:rsidRDefault="00E05239" w:rsidP="00E05239">
      <w:r>
        <w:t xml:space="preserve">This defines the default substitutions valued used by the widget. This are the lowest priority substitutions and will typically be </w:t>
      </w:r>
      <w:proofErr w:type="spellStart"/>
      <w:r>
        <w:t>overrided</w:t>
      </w:r>
      <w:proofErr w:type="spellEnd"/>
      <w:r>
        <w:t xml:space="preserve"> are run time.</w:t>
      </w:r>
    </w:p>
    <w:p w:rsidR="00E05239" w:rsidRDefault="00E05239" w:rsidP="00E05239">
      <w:pPr>
        <w:pStyle w:val="Heading3"/>
      </w:pPr>
      <w:bookmarkStart w:id="31" w:name="_Toc56779034"/>
      <w:proofErr w:type="spellStart"/>
      <w:proofErr w:type="gramStart"/>
      <w:r>
        <w:t>defaultDir</w:t>
      </w:r>
      <w:proofErr w:type="spellEnd"/>
      <w:r>
        <w:t xml:space="preserve"> :</w:t>
      </w:r>
      <w:proofErr w:type="gramEnd"/>
      <w:r>
        <w:t xml:space="preserve"> QString</w:t>
      </w:r>
      <w:bookmarkEnd w:id="31"/>
    </w:p>
    <w:p w:rsidR="00E05239" w:rsidRPr="002573C1" w:rsidRDefault="00E05239" w:rsidP="00E05239">
      <w:proofErr w:type="gramStart"/>
      <w:r w:rsidRPr="002573C1">
        <w:rPr>
          <w:i/>
        </w:rPr>
        <w:t>default</w:t>
      </w:r>
      <w:proofErr w:type="gramEnd"/>
      <w:r>
        <w:t>: empty string</w:t>
      </w:r>
    </w:p>
    <w:p w:rsidR="002573C1" w:rsidRDefault="00E05239" w:rsidP="00E05239">
      <w:r>
        <w:t>This defines the default file system directory used to load file from and save files to.</w:t>
      </w:r>
    </w:p>
    <w:p w:rsidR="00E05239" w:rsidRDefault="00E05239" w:rsidP="00E05239">
      <w:pPr>
        <w:pStyle w:val="Heading3"/>
      </w:pPr>
      <w:bookmarkStart w:id="32" w:name="_Toc56779035"/>
      <w:proofErr w:type="spellStart"/>
      <w:proofErr w:type="gramStart"/>
      <w:r>
        <w:t>confirmAction</w:t>
      </w:r>
      <w:proofErr w:type="spellEnd"/>
      <w:r>
        <w:t xml:space="preserve"> :</w:t>
      </w:r>
      <w:proofErr w:type="gramEnd"/>
      <w:r>
        <w:t xml:space="preserve"> bool</w:t>
      </w:r>
      <w:bookmarkEnd w:id="32"/>
    </w:p>
    <w:p w:rsidR="00E05239" w:rsidRPr="002573C1" w:rsidRDefault="00E05239" w:rsidP="00E05239">
      <w:proofErr w:type="gramStart"/>
      <w:r w:rsidRPr="002573C1">
        <w:rPr>
          <w:i/>
        </w:rPr>
        <w:t>default</w:t>
      </w:r>
      <w:proofErr w:type="gramEnd"/>
      <w:r>
        <w:t>: true</w:t>
      </w:r>
    </w:p>
    <w:p w:rsidR="00E05239" w:rsidRDefault="00E05239" w:rsidP="00E05239">
      <w:r>
        <w:t xml:space="preserve">This controls whether a confirmation dialog is presented to the user when he/she attempts to write values to any PVs. </w:t>
      </w:r>
    </w:p>
    <w:p w:rsidR="007F3FED" w:rsidRDefault="007F3FED">
      <w:pPr>
        <w:rPr>
          <w:rFonts w:asciiTheme="majorHAnsi" w:eastAsiaTheme="majorEastAsia" w:hAnsiTheme="majorHAnsi" w:cstheme="majorBidi"/>
          <w:b/>
          <w:bCs/>
          <w:color w:val="365F91" w:themeColor="accent1" w:themeShade="BF"/>
          <w:sz w:val="28"/>
          <w:szCs w:val="28"/>
        </w:rPr>
      </w:pPr>
      <w:bookmarkStart w:id="33" w:name="__RefHeading___Toc899_1117627534"/>
      <w:bookmarkStart w:id="34" w:name="__RefHeading___Toc481_2825637425"/>
      <w:bookmarkEnd w:id="33"/>
      <w:bookmarkEnd w:id="34"/>
      <w:r>
        <w:br w:type="page"/>
      </w:r>
    </w:p>
    <w:p w:rsidR="00034932" w:rsidRDefault="00034932" w:rsidP="00034932">
      <w:pPr>
        <w:pStyle w:val="Heading1"/>
      </w:pPr>
      <w:bookmarkStart w:id="35" w:name="_Toc56779036"/>
      <w:r>
        <w:lastRenderedPageBreak/>
        <w:t>QE</w:t>
      </w:r>
      <w:r w:rsidR="00E77B52">
        <w:t>PvLoadSaveButton</w:t>
      </w:r>
      <w:bookmarkEnd w:id="35"/>
    </w:p>
    <w:p w:rsidR="00034932" w:rsidRDefault="00034932" w:rsidP="00034932">
      <w:pPr>
        <w:pStyle w:val="Heading2"/>
      </w:pPr>
      <w:bookmarkStart w:id="36" w:name="__RefHeading___Toc502_2825637425"/>
      <w:bookmarkStart w:id="37" w:name="_Toc56779037"/>
      <w:bookmarkEnd w:id="36"/>
      <w:r>
        <w:t>Description</w:t>
      </w:r>
      <w:bookmarkEnd w:id="37"/>
    </w:p>
    <w:p w:rsidR="00252663" w:rsidRDefault="00252663" w:rsidP="00252663">
      <w:r>
        <w:t>The QEPvLoadSaveButton widget has the same basic functionality as the QEPvLoadSave widget but is an express version of it. Users can define an XML file, which has to have the same structure as the one used with QEPvLoadSave (see</w:t>
      </w:r>
      <w:r w:rsidR="004E1B6D" w:rsidRPr="004E1B6D">
        <w:t xml:space="preserve"> </w:t>
      </w:r>
      <w:r w:rsidR="004E1B6D">
        <w:t xml:space="preserve">example in </w:t>
      </w:r>
      <w:r w:rsidR="004E1B6D">
        <w:fldChar w:fldCharType="begin"/>
      </w:r>
      <w:r w:rsidR="004E1B6D">
        <w:instrText xml:space="preserve"> REF _Ref370137489 \h </w:instrText>
      </w:r>
      <w:r w:rsidR="004E1B6D">
        <w:fldChar w:fldCharType="separate"/>
      </w:r>
      <w:r w:rsidR="00F044C2">
        <w:t xml:space="preserve">Figure </w:t>
      </w:r>
      <w:r w:rsidR="00F044C2">
        <w:rPr>
          <w:noProof/>
        </w:rPr>
        <w:t>3</w:t>
      </w:r>
      <w:r w:rsidR="004E1B6D">
        <w:fldChar w:fldCharType="end"/>
      </w:r>
      <w:r w:rsidR="004E1B6D">
        <w:t xml:space="preserve"> </w:t>
      </w:r>
      <w:r w:rsidR="004E1B6D">
        <w:fldChar w:fldCharType="begin"/>
      </w:r>
      <w:r w:rsidR="004E1B6D">
        <w:instrText xml:space="preserve"> REF _Ref370137480 \p \h </w:instrText>
      </w:r>
      <w:r w:rsidR="004E1B6D">
        <w:fldChar w:fldCharType="separate"/>
      </w:r>
      <w:r w:rsidR="00F044C2">
        <w:t>above</w:t>
      </w:r>
      <w:r w:rsidR="004E1B6D">
        <w:fldChar w:fldCharType="end"/>
      </w:r>
      <w:r>
        <w:t>), and the action they want the button to perform (Load PV values form file to the system, or read PVs from system to the file) and then load or save PVs using a single click.</w:t>
      </w:r>
    </w:p>
    <w:p w:rsidR="004E1B6D" w:rsidRDefault="004E1B6D" w:rsidP="004E1B6D">
      <w:pPr>
        <w:pStyle w:val="Heading2"/>
      </w:pPr>
      <w:bookmarkStart w:id="38" w:name="_Toc56779038"/>
      <w:r>
        <w:t>Properties</w:t>
      </w:r>
      <w:bookmarkEnd w:id="38"/>
    </w:p>
    <w:p w:rsidR="00523C55" w:rsidRDefault="00252663" w:rsidP="00523C55">
      <w:r>
        <w:t>The QEPvLoadSaveButt</w:t>
      </w:r>
      <w:r w:rsidR="00617382">
        <w:t>on has the following custom properties</w:t>
      </w:r>
      <w:bookmarkStart w:id="39" w:name="__RefHeading___Toc483_2825637425"/>
      <w:bookmarkStart w:id="40" w:name="__RefHeading___Toc939_1117627534"/>
      <w:bookmarkStart w:id="41" w:name="__RefHeading___Toc947_1117627534"/>
      <w:bookmarkEnd w:id="39"/>
      <w:bookmarkEnd w:id="40"/>
      <w:bookmarkEnd w:id="41"/>
    </w:p>
    <w:p w:rsidR="007F3FED" w:rsidRDefault="007F3FED" w:rsidP="007F3FED">
      <w:pPr>
        <w:pStyle w:val="Heading3"/>
      </w:pPr>
      <w:bookmarkStart w:id="42" w:name="_Toc56779039"/>
      <w:proofErr w:type="gramStart"/>
      <w:r>
        <w:t>configurationFile :</w:t>
      </w:r>
      <w:proofErr w:type="gramEnd"/>
      <w:r>
        <w:t xml:space="preserve"> QString</w:t>
      </w:r>
      <w:bookmarkEnd w:id="42"/>
    </w:p>
    <w:p w:rsidR="007F3FED" w:rsidRPr="002573C1" w:rsidRDefault="007F3FED" w:rsidP="007F3FED">
      <w:proofErr w:type="gramStart"/>
      <w:r w:rsidRPr="002573C1">
        <w:rPr>
          <w:i/>
        </w:rPr>
        <w:t>default</w:t>
      </w:r>
      <w:proofErr w:type="gramEnd"/>
      <w:r>
        <w:t>: empty string</w:t>
      </w:r>
    </w:p>
    <w:p w:rsidR="007F3FED" w:rsidRDefault="007F3FED" w:rsidP="007F3FED">
      <w:r>
        <w:t xml:space="preserve">This defines the absolute pathname to the load/save XML configuration file. This file should follow the format described in the </w:t>
      </w:r>
      <w:r w:rsidR="00617382">
        <w:t xml:space="preserve">by example in </w:t>
      </w:r>
      <w:r w:rsidR="00617382">
        <w:fldChar w:fldCharType="begin"/>
      </w:r>
      <w:r w:rsidR="00617382">
        <w:instrText xml:space="preserve"> REF _Ref370137489 \h </w:instrText>
      </w:r>
      <w:r w:rsidR="00617382">
        <w:fldChar w:fldCharType="separate"/>
      </w:r>
      <w:r w:rsidR="00F044C2">
        <w:t xml:space="preserve">Figure </w:t>
      </w:r>
      <w:r w:rsidR="00F044C2">
        <w:rPr>
          <w:noProof/>
        </w:rPr>
        <w:t>3</w:t>
      </w:r>
      <w:r w:rsidR="00617382">
        <w:fldChar w:fldCharType="end"/>
      </w:r>
      <w:r w:rsidR="00617382">
        <w:t xml:space="preserve"> </w:t>
      </w:r>
      <w:r w:rsidR="00617382">
        <w:fldChar w:fldCharType="begin"/>
      </w:r>
      <w:r w:rsidR="00617382">
        <w:instrText xml:space="preserve"> REF _Ref370137480 \p \h </w:instrText>
      </w:r>
      <w:r w:rsidR="00617382">
        <w:fldChar w:fldCharType="separate"/>
      </w:r>
      <w:r w:rsidR="00F044C2">
        <w:t>above</w:t>
      </w:r>
      <w:r w:rsidR="00617382">
        <w:fldChar w:fldCharType="end"/>
      </w:r>
      <w:r w:rsidR="00617382">
        <w:t>.</w:t>
      </w:r>
      <w:r>
        <w:t xml:space="preserve"> </w:t>
      </w:r>
      <w:proofErr w:type="gramStart"/>
      <w:r>
        <w:t>configurationFile</w:t>
      </w:r>
      <w:proofErr w:type="gramEnd"/>
      <w:r>
        <w:t xml:space="preserve"> property supports macros. </w:t>
      </w:r>
    </w:p>
    <w:p w:rsidR="007F3FED" w:rsidRDefault="007F3FED" w:rsidP="007F3FED">
      <w:pPr>
        <w:pStyle w:val="Heading3"/>
      </w:pPr>
      <w:bookmarkStart w:id="43" w:name="_Toc56779040"/>
      <w:proofErr w:type="spellStart"/>
      <w:proofErr w:type="gramStart"/>
      <w:r>
        <w:t>defaultSubstitutions</w:t>
      </w:r>
      <w:proofErr w:type="spellEnd"/>
      <w:r>
        <w:t xml:space="preserve"> :</w:t>
      </w:r>
      <w:proofErr w:type="gramEnd"/>
      <w:r>
        <w:t xml:space="preserve"> QString</w:t>
      </w:r>
      <w:bookmarkEnd w:id="43"/>
    </w:p>
    <w:p w:rsidR="007F3FED" w:rsidRPr="002573C1" w:rsidRDefault="007F3FED" w:rsidP="007F3FED">
      <w:proofErr w:type="gramStart"/>
      <w:r w:rsidRPr="002573C1">
        <w:rPr>
          <w:i/>
        </w:rPr>
        <w:t>default</w:t>
      </w:r>
      <w:proofErr w:type="gramEnd"/>
      <w:r>
        <w:t>: empty string</w:t>
      </w:r>
    </w:p>
    <w:p w:rsidR="007F3FED" w:rsidRDefault="007F3FED" w:rsidP="007F3FED">
      <w:r>
        <w:t>This defines the default substitutions</w:t>
      </w:r>
      <w:r w:rsidR="00617382">
        <w:t xml:space="preserve"> for the macro defined in configurationFile</w:t>
      </w:r>
      <w:r>
        <w:t>.</w:t>
      </w:r>
    </w:p>
    <w:p w:rsidR="007F3FED" w:rsidRDefault="00617382" w:rsidP="007F3FED">
      <w:pPr>
        <w:pStyle w:val="Heading3"/>
      </w:pPr>
      <w:bookmarkStart w:id="44" w:name="_Toc56779041"/>
      <w:proofErr w:type="gramStart"/>
      <w:r>
        <w:t>action</w:t>
      </w:r>
      <w:r w:rsidR="007F3FED">
        <w:t xml:space="preserve"> :</w:t>
      </w:r>
      <w:proofErr w:type="gramEnd"/>
      <w:r w:rsidR="007F3FED">
        <w:t xml:space="preserve"> </w:t>
      </w:r>
      <w:r>
        <w:t>enumeration</w:t>
      </w:r>
      <w:bookmarkEnd w:id="44"/>
    </w:p>
    <w:p w:rsidR="007F3FED" w:rsidRPr="002573C1" w:rsidRDefault="00617382" w:rsidP="007F3FED">
      <w:proofErr w:type="gramStart"/>
      <w:r>
        <w:rPr>
          <w:i/>
        </w:rPr>
        <w:t>allowed</w:t>
      </w:r>
      <w:proofErr w:type="gramEnd"/>
      <w:r>
        <w:rPr>
          <w:i/>
        </w:rPr>
        <w:t xml:space="preserve"> values</w:t>
      </w:r>
      <w:r w:rsidRPr="00617382">
        <w:t xml:space="preserve">: </w:t>
      </w:r>
      <w:proofErr w:type="spellStart"/>
      <w:r w:rsidRPr="00617382">
        <w:t>LoadToPVs</w:t>
      </w:r>
      <w:proofErr w:type="spellEnd"/>
      <w:r w:rsidRPr="00617382">
        <w:t xml:space="preserve">, </w:t>
      </w:r>
      <w:proofErr w:type="spellStart"/>
      <w:r w:rsidRPr="00617382">
        <w:t>SaveToFile</w:t>
      </w:r>
      <w:proofErr w:type="spellEnd"/>
      <w:r>
        <w:rPr>
          <w:i/>
        </w:rPr>
        <w:br/>
      </w:r>
      <w:r w:rsidR="007F3FED" w:rsidRPr="002573C1">
        <w:rPr>
          <w:i/>
        </w:rPr>
        <w:t>default</w:t>
      </w:r>
      <w:r>
        <w:t xml:space="preserve">: </w:t>
      </w:r>
      <w:proofErr w:type="spellStart"/>
      <w:r w:rsidRPr="00617382">
        <w:t>LoadToPVs</w:t>
      </w:r>
      <w:proofErr w:type="spellEnd"/>
    </w:p>
    <w:p w:rsidR="007F3FED" w:rsidRDefault="00617382" w:rsidP="007F3FED">
      <w:r>
        <w:t>This selects one of the two behaviours this button can have</w:t>
      </w:r>
      <w:r w:rsidR="007F3FED">
        <w:t>.</w:t>
      </w:r>
    </w:p>
    <w:p w:rsidR="007F3FED" w:rsidRDefault="007F3FED" w:rsidP="007F3FED">
      <w:pPr>
        <w:pStyle w:val="Heading3"/>
      </w:pPr>
      <w:bookmarkStart w:id="45" w:name="_Toc56779042"/>
      <w:proofErr w:type="spellStart"/>
      <w:proofErr w:type="gramStart"/>
      <w:r>
        <w:t>confirmAction</w:t>
      </w:r>
      <w:proofErr w:type="spellEnd"/>
      <w:r>
        <w:t xml:space="preserve"> :</w:t>
      </w:r>
      <w:proofErr w:type="gramEnd"/>
      <w:r>
        <w:t xml:space="preserve"> bool</w:t>
      </w:r>
      <w:bookmarkEnd w:id="45"/>
    </w:p>
    <w:p w:rsidR="007F3FED" w:rsidRPr="002573C1" w:rsidRDefault="007F3FED" w:rsidP="007F3FED">
      <w:proofErr w:type="gramStart"/>
      <w:r w:rsidRPr="002573C1">
        <w:rPr>
          <w:i/>
        </w:rPr>
        <w:t>default</w:t>
      </w:r>
      <w:proofErr w:type="gramEnd"/>
      <w:r>
        <w:t xml:space="preserve">: </w:t>
      </w:r>
      <w:r w:rsidR="00617382">
        <w:t>false</w:t>
      </w:r>
    </w:p>
    <w:p w:rsidR="007F3FED" w:rsidRDefault="007F3FED" w:rsidP="007F3FED">
      <w:r>
        <w:t xml:space="preserve">This controls whether a confirmation dialog is presented to the user when he/she attempts to write values to any PVs. </w:t>
      </w:r>
    </w:p>
    <w:p w:rsidR="00617382" w:rsidRDefault="00617382" w:rsidP="00617382">
      <w:pPr>
        <w:pStyle w:val="Heading3"/>
      </w:pPr>
      <w:bookmarkStart w:id="46" w:name="_Toc56779043"/>
      <w:proofErr w:type="spellStart"/>
      <w:proofErr w:type="gramStart"/>
      <w:r>
        <w:t>confirmText</w:t>
      </w:r>
      <w:proofErr w:type="spellEnd"/>
      <w:r>
        <w:t xml:space="preserve"> :</w:t>
      </w:r>
      <w:proofErr w:type="gramEnd"/>
      <w:r>
        <w:t xml:space="preserve"> QString</w:t>
      </w:r>
      <w:bookmarkEnd w:id="46"/>
    </w:p>
    <w:p w:rsidR="00617382" w:rsidRPr="002573C1" w:rsidRDefault="00617382" w:rsidP="00617382">
      <w:proofErr w:type="gramStart"/>
      <w:r w:rsidRPr="002573C1">
        <w:rPr>
          <w:i/>
        </w:rPr>
        <w:t>default</w:t>
      </w:r>
      <w:proofErr w:type="gramEnd"/>
      <w:r>
        <w:t>: “Do you want to perform this action?”</w:t>
      </w:r>
    </w:p>
    <w:p w:rsidR="008B5A33" w:rsidRDefault="00617382" w:rsidP="00523C55">
      <w:r>
        <w:t>This defines the question asked in the confirmation dialog.</w:t>
      </w:r>
    </w:p>
    <w:p w:rsidR="00617382" w:rsidRDefault="00617382" w:rsidP="00617382">
      <w:pPr>
        <w:pStyle w:val="Heading3"/>
      </w:pPr>
      <w:bookmarkStart w:id="47" w:name="_Toc56779044"/>
      <w:proofErr w:type="spellStart"/>
      <w:proofErr w:type="gramStart"/>
      <w:r>
        <w:t>showProgressBar</w:t>
      </w:r>
      <w:proofErr w:type="spellEnd"/>
      <w:r>
        <w:t xml:space="preserve"> :</w:t>
      </w:r>
      <w:proofErr w:type="gramEnd"/>
      <w:r>
        <w:t xml:space="preserve"> bool</w:t>
      </w:r>
      <w:bookmarkEnd w:id="47"/>
    </w:p>
    <w:p w:rsidR="00617382" w:rsidRPr="002573C1" w:rsidRDefault="00617382" w:rsidP="00617382">
      <w:proofErr w:type="gramStart"/>
      <w:r w:rsidRPr="002573C1">
        <w:rPr>
          <w:i/>
        </w:rPr>
        <w:t>default</w:t>
      </w:r>
      <w:proofErr w:type="gramEnd"/>
      <w:r>
        <w:t>: true</w:t>
      </w:r>
    </w:p>
    <w:p w:rsidR="00617382" w:rsidRDefault="00617382" w:rsidP="00617382">
      <w:r>
        <w:t xml:space="preserve">This controls the display a progress modal dialog while the action is being executed. </w:t>
      </w:r>
    </w:p>
    <w:bookmarkEnd w:id="0"/>
    <w:p w:rsidR="008B5A33" w:rsidRDefault="008B5A33" w:rsidP="00523C55"/>
    <w:sectPr w:rsidR="008B5A33" w:rsidSect="0052491A">
      <w:headerReference w:type="default" r:id="rId24"/>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2AF" w:rsidRDefault="000D32AF" w:rsidP="001C3141">
      <w:pPr>
        <w:spacing w:after="0" w:line="240" w:lineRule="auto"/>
      </w:pPr>
      <w:r>
        <w:separator/>
      </w:r>
    </w:p>
  </w:endnote>
  <w:endnote w:type="continuationSeparator" w:id="0">
    <w:p w:rsidR="000D32AF" w:rsidRDefault="000D32AF"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AF" w:rsidRDefault="000D32AF"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0D32AF" w:rsidRPr="00FA1D46" w:rsidTr="00906165">
      <w:tc>
        <w:tcPr>
          <w:tcW w:w="643" w:type="pct"/>
        </w:tcPr>
        <w:p w:rsidR="000D32AF" w:rsidRPr="00FA1D46" w:rsidRDefault="000D32AF" w:rsidP="00906165">
          <w:pPr>
            <w:pStyle w:val="FileInfo"/>
            <w:rPr>
              <w:color w:val="747476"/>
              <w:sz w:val="18"/>
            </w:rPr>
          </w:pPr>
        </w:p>
      </w:tc>
      <w:tc>
        <w:tcPr>
          <w:tcW w:w="574" w:type="pct"/>
        </w:tcPr>
        <w:p w:rsidR="000D32AF" w:rsidRPr="00FA1D46" w:rsidRDefault="000D32AF" w:rsidP="00906165">
          <w:pPr>
            <w:pStyle w:val="FileInfo"/>
            <w:rPr>
              <w:rFonts w:cs="Arial"/>
              <w:color w:val="747476"/>
              <w:sz w:val="18"/>
              <w:szCs w:val="20"/>
            </w:rPr>
          </w:pPr>
        </w:p>
      </w:tc>
      <w:tc>
        <w:tcPr>
          <w:tcW w:w="568" w:type="pct"/>
        </w:tcPr>
        <w:p w:rsidR="000D32AF" w:rsidRPr="00FA1D46" w:rsidRDefault="000D32AF" w:rsidP="00906165">
          <w:pPr>
            <w:pStyle w:val="FileInfo"/>
            <w:ind w:right="-142"/>
            <w:rPr>
              <w:color w:val="747476"/>
              <w:sz w:val="18"/>
            </w:rPr>
          </w:pPr>
        </w:p>
      </w:tc>
      <w:tc>
        <w:tcPr>
          <w:tcW w:w="503" w:type="pct"/>
        </w:tcPr>
        <w:p w:rsidR="000D32AF" w:rsidRPr="00FA1D46" w:rsidRDefault="000D32AF" w:rsidP="00906165">
          <w:pPr>
            <w:pStyle w:val="FileInfo"/>
            <w:ind w:right="-142"/>
            <w:rPr>
              <w:color w:val="747476"/>
              <w:sz w:val="18"/>
            </w:rPr>
          </w:pPr>
        </w:p>
      </w:tc>
      <w:tc>
        <w:tcPr>
          <w:tcW w:w="284" w:type="pct"/>
        </w:tcPr>
        <w:p w:rsidR="000D32AF" w:rsidRPr="00FA1D46" w:rsidRDefault="000D32AF" w:rsidP="00906165">
          <w:pPr>
            <w:pStyle w:val="FileInfo"/>
            <w:rPr>
              <w:color w:val="747476"/>
              <w:sz w:val="18"/>
            </w:rPr>
          </w:pPr>
        </w:p>
      </w:tc>
      <w:tc>
        <w:tcPr>
          <w:tcW w:w="1001" w:type="pct"/>
        </w:tcPr>
        <w:p w:rsidR="000D32AF" w:rsidRPr="00FA1D46" w:rsidRDefault="000D32AF" w:rsidP="00906165">
          <w:pPr>
            <w:pStyle w:val="FileInfo"/>
            <w:rPr>
              <w:color w:val="747476"/>
              <w:sz w:val="18"/>
            </w:rPr>
          </w:pPr>
        </w:p>
      </w:tc>
      <w:tc>
        <w:tcPr>
          <w:tcW w:w="1428" w:type="pct"/>
        </w:tcPr>
        <w:p w:rsidR="000D32AF" w:rsidRPr="00FA1D46" w:rsidRDefault="000D32AF"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F044C2">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F044C2">
            <w:rPr>
              <w:noProof/>
              <w:color w:val="747476"/>
              <w:sz w:val="18"/>
            </w:rPr>
            <w:t>10</w:t>
          </w:r>
          <w:r w:rsidRPr="00FA1D46">
            <w:rPr>
              <w:color w:val="747476"/>
              <w:sz w:val="18"/>
            </w:rPr>
            <w:fldChar w:fldCharType="end"/>
          </w:r>
        </w:p>
      </w:tc>
    </w:tr>
  </w:tbl>
  <w:p w:rsidR="000D32AF" w:rsidRDefault="000D32AF" w:rsidP="008C148D">
    <w:pPr>
      <w:pStyle w:val="Footer"/>
    </w:pPr>
  </w:p>
  <w:p w:rsidR="000D32AF" w:rsidRDefault="000D3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2AF" w:rsidRDefault="000D32AF" w:rsidP="001C3141">
      <w:pPr>
        <w:spacing w:after="0" w:line="240" w:lineRule="auto"/>
      </w:pPr>
      <w:r>
        <w:separator/>
      </w:r>
    </w:p>
  </w:footnote>
  <w:footnote w:type="continuationSeparator" w:id="0">
    <w:p w:rsidR="000D32AF" w:rsidRDefault="000D32AF" w:rsidP="001C3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2" w:type="pct"/>
      <w:tblLook w:val="00A0" w:firstRow="1" w:lastRow="0" w:firstColumn="1" w:lastColumn="0" w:noHBand="0" w:noVBand="0"/>
    </w:tblPr>
    <w:tblGrid>
      <w:gridCol w:w="5976"/>
      <w:gridCol w:w="3500"/>
    </w:tblGrid>
    <w:tr w:rsidR="000D32AF" w:rsidTr="00906165">
      <w:tc>
        <w:tcPr>
          <w:tcW w:w="3153" w:type="pct"/>
          <w:vAlign w:val="bottom"/>
        </w:tcPr>
        <w:p w:rsidR="000D32AF" w:rsidRPr="0043764B" w:rsidRDefault="000D32AF" w:rsidP="00DF5B38">
          <w:pPr>
            <w:pStyle w:val="Header"/>
            <w:spacing w:after="60"/>
            <w:rPr>
              <w:b/>
              <w:sz w:val="28"/>
              <w:szCs w:val="28"/>
            </w:rPr>
          </w:pPr>
          <w:r>
            <w:rPr>
              <w:b/>
              <w:sz w:val="32"/>
              <w:szCs w:val="28"/>
            </w:rPr>
            <w:t>QE</w:t>
          </w:r>
          <w:r w:rsidR="00DF5B38">
            <w:rPr>
              <w:b/>
              <w:sz w:val="32"/>
              <w:szCs w:val="28"/>
            </w:rPr>
            <w:t xml:space="preserve">PvLoadSave </w:t>
          </w:r>
          <w:r>
            <w:rPr>
              <w:b/>
              <w:sz w:val="32"/>
              <w:szCs w:val="28"/>
            </w:rPr>
            <w:t>Specification</w:t>
          </w:r>
        </w:p>
      </w:tc>
      <w:tc>
        <w:tcPr>
          <w:tcW w:w="1847" w:type="pct"/>
        </w:tcPr>
        <w:p w:rsidR="000D32AF" w:rsidRDefault="000D32AF" w:rsidP="00906165">
          <w:pPr>
            <w:pStyle w:val="Header"/>
            <w:jc w:val="right"/>
          </w:pPr>
          <w:r>
            <w:rPr>
              <w:noProof/>
              <w:lang w:val="en-GB" w:eastAsia="en-GB"/>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0D32AF" w:rsidRDefault="000D32AF">
    <w:pPr>
      <w:pStyle w:val="Header"/>
    </w:pPr>
    <w:r>
      <w:rPr>
        <w:noProof/>
        <w:lang w:val="en-GB" w:eastAsia="en-GB"/>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83543"/>
    <w:multiLevelType w:val="hybridMultilevel"/>
    <w:tmpl w:val="9CB0A3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E8953C7"/>
    <w:multiLevelType w:val="hybridMultilevel"/>
    <w:tmpl w:val="0B749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0361059"/>
    <w:multiLevelType w:val="hybridMultilevel"/>
    <w:tmpl w:val="AEB271D0"/>
    <w:lvl w:ilvl="0" w:tplc="C4C68E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8CB6594"/>
    <w:multiLevelType w:val="hybridMultilevel"/>
    <w:tmpl w:val="5DDC1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932"/>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32AF"/>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A49"/>
    <w:rsid w:val="001A3D40"/>
    <w:rsid w:val="001A4757"/>
    <w:rsid w:val="001A5810"/>
    <w:rsid w:val="001A62D9"/>
    <w:rsid w:val="001B0CE3"/>
    <w:rsid w:val="001B11A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5EA"/>
    <w:rsid w:val="00222617"/>
    <w:rsid w:val="002241A7"/>
    <w:rsid w:val="002242A9"/>
    <w:rsid w:val="0022549D"/>
    <w:rsid w:val="00232946"/>
    <w:rsid w:val="00234568"/>
    <w:rsid w:val="002348A1"/>
    <w:rsid w:val="002359C3"/>
    <w:rsid w:val="002369E9"/>
    <w:rsid w:val="00236B6B"/>
    <w:rsid w:val="00237EF3"/>
    <w:rsid w:val="00240C07"/>
    <w:rsid w:val="00241442"/>
    <w:rsid w:val="002421F8"/>
    <w:rsid w:val="0024245C"/>
    <w:rsid w:val="0024287D"/>
    <w:rsid w:val="00242F47"/>
    <w:rsid w:val="00245842"/>
    <w:rsid w:val="00245B1C"/>
    <w:rsid w:val="00246041"/>
    <w:rsid w:val="00247E11"/>
    <w:rsid w:val="00252663"/>
    <w:rsid w:val="00255217"/>
    <w:rsid w:val="002553F8"/>
    <w:rsid w:val="00255E0F"/>
    <w:rsid w:val="002565A9"/>
    <w:rsid w:val="00256A6B"/>
    <w:rsid w:val="00257238"/>
    <w:rsid w:val="002573C1"/>
    <w:rsid w:val="00260511"/>
    <w:rsid w:val="002605BC"/>
    <w:rsid w:val="00260779"/>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0039"/>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360D3"/>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2BDF"/>
    <w:rsid w:val="004939B2"/>
    <w:rsid w:val="004947D2"/>
    <w:rsid w:val="004964C7"/>
    <w:rsid w:val="00497149"/>
    <w:rsid w:val="004979DE"/>
    <w:rsid w:val="004A067C"/>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387"/>
    <w:rsid w:val="004C1D0E"/>
    <w:rsid w:val="004C26AE"/>
    <w:rsid w:val="004C3313"/>
    <w:rsid w:val="004C603F"/>
    <w:rsid w:val="004C72B6"/>
    <w:rsid w:val="004D0573"/>
    <w:rsid w:val="004D1014"/>
    <w:rsid w:val="004D30B4"/>
    <w:rsid w:val="004D3717"/>
    <w:rsid w:val="004E08D5"/>
    <w:rsid w:val="004E0E92"/>
    <w:rsid w:val="004E159E"/>
    <w:rsid w:val="004E1B6D"/>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620"/>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17382"/>
    <w:rsid w:val="00622A89"/>
    <w:rsid w:val="00624A39"/>
    <w:rsid w:val="006253A8"/>
    <w:rsid w:val="00626FFF"/>
    <w:rsid w:val="0062787D"/>
    <w:rsid w:val="00630DD9"/>
    <w:rsid w:val="00631888"/>
    <w:rsid w:val="00634B86"/>
    <w:rsid w:val="00634E8B"/>
    <w:rsid w:val="006359DB"/>
    <w:rsid w:val="00635BA2"/>
    <w:rsid w:val="006376FF"/>
    <w:rsid w:val="00637FA6"/>
    <w:rsid w:val="0064395E"/>
    <w:rsid w:val="00644C52"/>
    <w:rsid w:val="00644CA6"/>
    <w:rsid w:val="006453EC"/>
    <w:rsid w:val="00645CB2"/>
    <w:rsid w:val="0065058C"/>
    <w:rsid w:val="006535A3"/>
    <w:rsid w:val="00656757"/>
    <w:rsid w:val="0065794E"/>
    <w:rsid w:val="00657A67"/>
    <w:rsid w:val="006600D2"/>
    <w:rsid w:val="00660C82"/>
    <w:rsid w:val="00660CB7"/>
    <w:rsid w:val="00661F61"/>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18E1"/>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3FED"/>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165E"/>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5A33"/>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1AB0"/>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00D5"/>
    <w:rsid w:val="00A12A64"/>
    <w:rsid w:val="00A137CD"/>
    <w:rsid w:val="00A13C14"/>
    <w:rsid w:val="00A14B0D"/>
    <w:rsid w:val="00A16D52"/>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110B"/>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34F"/>
    <w:rsid w:val="00B23A44"/>
    <w:rsid w:val="00B24DC4"/>
    <w:rsid w:val="00B254B6"/>
    <w:rsid w:val="00B2762D"/>
    <w:rsid w:val="00B30970"/>
    <w:rsid w:val="00B30F80"/>
    <w:rsid w:val="00B3134B"/>
    <w:rsid w:val="00B33D2E"/>
    <w:rsid w:val="00B3462C"/>
    <w:rsid w:val="00B34F35"/>
    <w:rsid w:val="00B35B47"/>
    <w:rsid w:val="00B360B9"/>
    <w:rsid w:val="00B3631C"/>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489B"/>
    <w:rsid w:val="00B7684A"/>
    <w:rsid w:val="00B77283"/>
    <w:rsid w:val="00B776C3"/>
    <w:rsid w:val="00B810A7"/>
    <w:rsid w:val="00B8211D"/>
    <w:rsid w:val="00B8274C"/>
    <w:rsid w:val="00B8298A"/>
    <w:rsid w:val="00B82D94"/>
    <w:rsid w:val="00B83E45"/>
    <w:rsid w:val="00B846BF"/>
    <w:rsid w:val="00B853F3"/>
    <w:rsid w:val="00B856FB"/>
    <w:rsid w:val="00B90E3F"/>
    <w:rsid w:val="00B92126"/>
    <w:rsid w:val="00B92D96"/>
    <w:rsid w:val="00BA0C3E"/>
    <w:rsid w:val="00BA1836"/>
    <w:rsid w:val="00BA1F67"/>
    <w:rsid w:val="00BA61F7"/>
    <w:rsid w:val="00BA6568"/>
    <w:rsid w:val="00BA743D"/>
    <w:rsid w:val="00BA74B3"/>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E7A6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58E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35FE"/>
    <w:rsid w:val="00DA559D"/>
    <w:rsid w:val="00DA7625"/>
    <w:rsid w:val="00DB1376"/>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5B38"/>
    <w:rsid w:val="00DF7066"/>
    <w:rsid w:val="00E03D06"/>
    <w:rsid w:val="00E0461F"/>
    <w:rsid w:val="00E04C28"/>
    <w:rsid w:val="00E05239"/>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329C"/>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77B52"/>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44C2"/>
    <w:rsid w:val="00F06F46"/>
    <w:rsid w:val="00F105DE"/>
    <w:rsid w:val="00F1185C"/>
    <w:rsid w:val="00F12837"/>
    <w:rsid w:val="00F1394C"/>
    <w:rsid w:val="00F14AFE"/>
    <w:rsid w:val="00F15CBE"/>
    <w:rsid w:val="00F21888"/>
    <w:rsid w:val="00F21EF2"/>
    <w:rsid w:val="00F22683"/>
    <w:rsid w:val="00F231C5"/>
    <w:rsid w:val="00F247C6"/>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licenses/lgpl-3.0-standalon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00253-9C89-4EA1-A5BA-FD7A06A4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10</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Rhyder</dc:creator>
  <cp:lastModifiedBy>Andrew Starritt</cp:lastModifiedBy>
  <cp:revision>210</cp:revision>
  <cp:lastPrinted>2018-12-12T00:31:00Z</cp:lastPrinted>
  <dcterms:created xsi:type="dcterms:W3CDTF">2016-06-07T02:25:00Z</dcterms:created>
  <dcterms:modified xsi:type="dcterms:W3CDTF">2020-11-20T04:36:00Z</dcterms:modified>
</cp:coreProperties>
</file>