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8B0CE" w14:textId="77777777" w:rsidR="008C148D" w:rsidRPr="008C148D" w:rsidRDefault="008C148D" w:rsidP="00170859">
      <w:pPr>
        <w:jc w:val="center"/>
      </w:pPr>
      <w:r w:rsidRPr="008C148D">
        <w:rPr>
          <w:noProof/>
        </w:rPr>
        <w:drawing>
          <wp:inline distT="0" distB="0" distL="0" distR="0" wp14:anchorId="1261396B" wp14:editId="36E46BE1">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14:paraId="4A43A7A0" w14:textId="02E652E3" w:rsidR="00170859" w:rsidRPr="00AE384C" w:rsidRDefault="00C5704E" w:rsidP="00170859">
      <w:pPr>
        <w:jc w:val="center"/>
        <w:rPr>
          <w:sz w:val="48"/>
          <w:szCs w:val="48"/>
        </w:rPr>
      </w:pPr>
      <w:r>
        <w:rPr>
          <w:sz w:val="48"/>
          <w:szCs w:val="48"/>
        </w:rPr>
        <w:t>QE</w:t>
      </w:r>
      <w:r w:rsidR="00D34572">
        <w:rPr>
          <w:sz w:val="48"/>
          <w:szCs w:val="48"/>
        </w:rPr>
        <w:t>SimpleShape</w:t>
      </w:r>
      <w:r>
        <w:rPr>
          <w:sz w:val="48"/>
          <w:szCs w:val="48"/>
        </w:rPr>
        <w:t xml:space="preserve"> </w:t>
      </w:r>
      <w:r w:rsidR="0043443F">
        <w:rPr>
          <w:sz w:val="48"/>
          <w:szCs w:val="48"/>
        </w:rPr>
        <w:t>Widget</w:t>
      </w:r>
    </w:p>
    <w:p w14:paraId="20828855" w14:textId="77777777" w:rsidR="00FB4AD2" w:rsidRDefault="00FB4AD2" w:rsidP="00170859">
      <w:pPr>
        <w:jc w:val="center"/>
      </w:pPr>
      <w:r>
        <w:t>Andrew Starritt</w:t>
      </w:r>
    </w:p>
    <w:p w14:paraId="4AB4EB3C" w14:textId="7A068A1E" w:rsidR="00170859" w:rsidRDefault="006D0B51" w:rsidP="00170859">
      <w:pPr>
        <w:jc w:val="center"/>
      </w:pPr>
      <w:r>
        <w:t>1</w:t>
      </w:r>
      <w:r w:rsidR="00FE2E0C">
        <w:t>5</w:t>
      </w:r>
      <w:r w:rsidR="009A2A07">
        <w:rPr>
          <w:vertAlign w:val="superscript"/>
        </w:rPr>
        <w:t xml:space="preserve">th </w:t>
      </w:r>
      <w:proofErr w:type="gramStart"/>
      <w:r w:rsidR="00300163">
        <w:t xml:space="preserve">November </w:t>
      </w:r>
      <w:r w:rsidR="006B260E">
        <w:t xml:space="preserve"> </w:t>
      </w:r>
      <w:r w:rsidR="00FC334A">
        <w:t>20</w:t>
      </w:r>
      <w:r w:rsidR="003255D4">
        <w:t>2</w:t>
      </w:r>
      <w:r w:rsidR="00D34572">
        <w:t>3</w:t>
      </w:r>
      <w:proofErr w:type="gramEnd"/>
    </w:p>
    <w:p w14:paraId="19B14C25" w14:textId="77777777" w:rsidR="00916341" w:rsidRDefault="00916341" w:rsidP="00916341"/>
    <w:p w14:paraId="41C2D7C5" w14:textId="04BD50E6" w:rsidR="00916341" w:rsidRPr="002D3166" w:rsidRDefault="00355C1F"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Pr>
          <w:rFonts w:ascii="Calibri" w:eastAsia="Times New Roman" w:hAnsi="Calibri" w:cs="Courier New"/>
        </w:rPr>
        <w:t>Copyright (c</w:t>
      </w:r>
      <w:r w:rsidR="00916341" w:rsidRPr="00916341">
        <w:rPr>
          <w:rFonts w:ascii="Calibri" w:eastAsia="Times New Roman" w:hAnsi="Calibri" w:cs="Courier New"/>
        </w:rPr>
        <w:t xml:space="preserve">) </w:t>
      </w:r>
      <w:r w:rsidR="00FC334A">
        <w:rPr>
          <w:rFonts w:ascii="Calibri" w:eastAsia="Times New Roman" w:hAnsi="Calibri" w:cs="Courier New"/>
        </w:rPr>
        <w:t>20</w:t>
      </w:r>
      <w:r w:rsidR="003255D4">
        <w:rPr>
          <w:rFonts w:ascii="Calibri" w:eastAsia="Times New Roman" w:hAnsi="Calibri" w:cs="Courier New"/>
        </w:rPr>
        <w:t>2</w:t>
      </w:r>
      <w:r w:rsidR="00974051">
        <w:rPr>
          <w:rFonts w:ascii="Calibri" w:eastAsia="Times New Roman" w:hAnsi="Calibri" w:cs="Courier New"/>
        </w:rPr>
        <w:t>3</w:t>
      </w:r>
      <w:r w:rsidR="00660C82">
        <w:rPr>
          <w:rFonts w:ascii="Calibri" w:eastAsia="Times New Roman" w:hAnsi="Calibri" w:cs="Courier New"/>
        </w:rPr>
        <w:t xml:space="preserve"> </w:t>
      </w:r>
      <w:r w:rsidR="0084300E" w:rsidRPr="0084300E">
        <w:rPr>
          <w:rFonts w:ascii="Calibri" w:eastAsia="Times New Roman" w:hAnsi="Calibri" w:cs="Courier New"/>
        </w:rPr>
        <w:t>Australian Synchrotron</w:t>
      </w:r>
      <w:r w:rsidR="002D3166">
        <w:rPr>
          <w:rFonts w:ascii="Calibri" w:eastAsia="Times New Roman" w:hAnsi="Calibri" w:cs="Courier New"/>
        </w:rPr>
        <w:br/>
      </w:r>
    </w:p>
    <w:p w14:paraId="6ADC8079" w14:textId="77777777" w:rsidR="00916341" w:rsidRDefault="00916341" w:rsidP="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w:t>
      </w:r>
      <w:r w:rsidR="00683114">
        <w:rPr>
          <w:rFonts w:ascii="Calibri" w:eastAsia="Times New Roman" w:hAnsi="Calibri" w:cs="Courier New"/>
        </w:rPr>
        <w:t xml:space="preserve"> </w:t>
      </w:r>
      <w:r w:rsidRPr="00916341">
        <w:rPr>
          <w:rFonts w:ascii="Calibri" w:eastAsia="Times New Roman" w:hAnsi="Calibri" w:cs="Courier New"/>
        </w:rPr>
        <w:t>version published by the Free Software Foundation;</w:t>
      </w:r>
      <w:r w:rsidR="00683114">
        <w:rPr>
          <w:rFonts w:ascii="Calibri" w:eastAsia="Times New Roman" w:hAnsi="Calibri" w:cs="Courier New"/>
        </w:rPr>
        <w:t xml:space="preserve"> </w:t>
      </w:r>
      <w:r w:rsidRPr="00916341">
        <w:rPr>
          <w:rFonts w:ascii="Calibri" w:eastAsia="Times New Roman" w:hAnsi="Calibri" w:cs="Courier New"/>
        </w:rPr>
        <w:t>with no Invariant</w:t>
      </w:r>
      <w:r w:rsidR="00683114">
        <w:rPr>
          <w:rFonts w:ascii="Calibri" w:eastAsia="Times New Roman" w:hAnsi="Calibri" w:cs="Courier New"/>
        </w:rPr>
        <w:t xml:space="preserve"> </w:t>
      </w:r>
      <w:r w:rsidRPr="00916341">
        <w:rPr>
          <w:rFonts w:ascii="Calibri" w:eastAsia="Times New Roman" w:hAnsi="Calibri" w:cs="Courier New"/>
        </w:rPr>
        <w: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section entitled </w:t>
      </w:r>
      <w:r w:rsidR="007D468F">
        <w:rPr>
          <w:rFonts w:ascii="Calibri" w:eastAsia="Times New Roman" w:hAnsi="Calibri" w:cs="Courier New"/>
        </w:rPr>
        <w:t>"</w:t>
      </w:r>
      <w:r w:rsidRPr="00916341">
        <w:rPr>
          <w:rFonts w:ascii="Calibri" w:eastAsia="Times New Roman" w:hAnsi="Calibri" w:cs="Courier New"/>
        </w:rPr>
        <w:t>GNU Free Documentation License</w:t>
      </w:r>
      <w:r w:rsidR="007D468F">
        <w:rPr>
          <w:rFonts w:ascii="Calibri" w:eastAsia="Times New Roman" w:hAnsi="Calibri" w:cs="Courier New"/>
        </w:rPr>
        <w:t>"</w:t>
      </w:r>
      <w:r w:rsidR="00E14A07">
        <w:rPr>
          <w:rFonts w:ascii="Calibri" w:eastAsia="Times New Roman" w:hAnsi="Calibri" w:cs="Courier New"/>
        </w:rPr>
        <w:t xml:space="preserve"> within the </w:t>
      </w:r>
      <w:proofErr w:type="spellStart"/>
      <w:r w:rsidR="00E14A07" w:rsidRPr="00E14A07">
        <w:rPr>
          <w:rFonts w:ascii="Calibri" w:eastAsia="Times New Roman" w:hAnsi="Calibri" w:cs="Courier New"/>
        </w:rPr>
        <w:t>QE_QEGuiAndUserInterfaceDesign</w:t>
      </w:r>
      <w:proofErr w:type="spellEnd"/>
      <w:r w:rsidR="00E14A07">
        <w:rPr>
          <w:rFonts w:ascii="Calibri" w:eastAsia="Times New Roman" w:hAnsi="Calibri" w:cs="Courier New"/>
        </w:rPr>
        <w:t xml:space="preserve"> document</w:t>
      </w:r>
      <w:r w:rsidRPr="00916341">
        <w:rPr>
          <w:rFonts w:ascii="Calibri" w:eastAsia="Times New Roman" w:hAnsi="Calibri" w:cs="Courier New"/>
        </w:rPr>
        <w:t>.</w:t>
      </w:r>
    </w:p>
    <w:p w14:paraId="28398EFB" w14:textId="77777777" w:rsidR="00944BC6" w:rsidRDefault="00944BC6">
      <w:pPr>
        <w:rPr>
          <w:rFonts w:ascii="Calibri" w:eastAsia="Times New Roman" w:hAnsi="Calibri" w:cs="Courier New"/>
        </w:rPr>
      </w:pPr>
      <w:r>
        <w:rPr>
          <w:rFonts w:ascii="Calibri" w:eastAsia="Times New Roman" w:hAnsi="Calibri" w:cs="Courier New"/>
        </w:rPr>
        <w:br w:type="page"/>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14:paraId="432EF1C0" w14:textId="77777777" w:rsidR="001C3141" w:rsidRDefault="001C3141">
          <w:pPr>
            <w:pStyle w:val="TOCHeading"/>
          </w:pPr>
          <w:r>
            <w:t>Contents</w:t>
          </w:r>
        </w:p>
        <w:p w14:paraId="6C0D3210" w14:textId="0D1074AC" w:rsidR="005E7B3E" w:rsidRDefault="00FD7585">
          <w:pPr>
            <w:pStyle w:val="TOC1"/>
            <w:tabs>
              <w:tab w:val="right" w:leader="dot" w:pos="9016"/>
            </w:tabs>
            <w:rPr>
              <w:noProof/>
            </w:rPr>
          </w:pPr>
          <w:r>
            <w:fldChar w:fldCharType="begin"/>
          </w:r>
          <w:r w:rsidR="001C3141">
            <w:instrText xml:space="preserve"> TOC \o "1-3" \h \z \u </w:instrText>
          </w:r>
          <w:r>
            <w:fldChar w:fldCharType="separate"/>
          </w:r>
          <w:hyperlink w:anchor="_Toc150955909" w:history="1">
            <w:r w:rsidR="005E7B3E" w:rsidRPr="0055417A">
              <w:rPr>
                <w:rStyle w:val="Hyperlink"/>
                <w:noProof/>
              </w:rPr>
              <w:t>Introduction</w:t>
            </w:r>
            <w:r w:rsidR="005E7B3E">
              <w:rPr>
                <w:noProof/>
                <w:webHidden/>
              </w:rPr>
              <w:tab/>
            </w:r>
            <w:r w:rsidR="005E7B3E">
              <w:rPr>
                <w:noProof/>
                <w:webHidden/>
              </w:rPr>
              <w:fldChar w:fldCharType="begin"/>
            </w:r>
            <w:r w:rsidR="005E7B3E">
              <w:rPr>
                <w:noProof/>
                <w:webHidden/>
              </w:rPr>
              <w:instrText xml:space="preserve"> PAGEREF _Toc150955909 \h </w:instrText>
            </w:r>
            <w:r w:rsidR="005E7B3E">
              <w:rPr>
                <w:noProof/>
                <w:webHidden/>
              </w:rPr>
            </w:r>
            <w:r w:rsidR="005E7B3E">
              <w:rPr>
                <w:noProof/>
                <w:webHidden/>
              </w:rPr>
              <w:fldChar w:fldCharType="separate"/>
            </w:r>
            <w:r w:rsidR="005E7B3E">
              <w:rPr>
                <w:noProof/>
                <w:webHidden/>
              </w:rPr>
              <w:t>3</w:t>
            </w:r>
            <w:r w:rsidR="005E7B3E">
              <w:rPr>
                <w:noProof/>
                <w:webHidden/>
              </w:rPr>
              <w:fldChar w:fldCharType="end"/>
            </w:r>
          </w:hyperlink>
        </w:p>
        <w:p w14:paraId="51468453" w14:textId="4571261B" w:rsidR="005E7B3E" w:rsidRDefault="005E7B3E">
          <w:pPr>
            <w:pStyle w:val="TOC1"/>
            <w:tabs>
              <w:tab w:val="right" w:leader="dot" w:pos="9016"/>
            </w:tabs>
            <w:rPr>
              <w:noProof/>
            </w:rPr>
          </w:pPr>
          <w:hyperlink w:anchor="_Toc150955910" w:history="1">
            <w:r w:rsidRPr="0055417A">
              <w:rPr>
                <w:rStyle w:val="Hyperlink"/>
                <w:noProof/>
              </w:rPr>
              <w:t>QSimpleShape</w:t>
            </w:r>
            <w:r>
              <w:rPr>
                <w:noProof/>
                <w:webHidden/>
              </w:rPr>
              <w:tab/>
            </w:r>
            <w:r>
              <w:rPr>
                <w:noProof/>
                <w:webHidden/>
              </w:rPr>
              <w:fldChar w:fldCharType="begin"/>
            </w:r>
            <w:r>
              <w:rPr>
                <w:noProof/>
                <w:webHidden/>
              </w:rPr>
              <w:instrText xml:space="preserve"> PAGEREF _Toc150955910 \h </w:instrText>
            </w:r>
            <w:r>
              <w:rPr>
                <w:noProof/>
                <w:webHidden/>
              </w:rPr>
            </w:r>
            <w:r>
              <w:rPr>
                <w:noProof/>
                <w:webHidden/>
              </w:rPr>
              <w:fldChar w:fldCharType="separate"/>
            </w:r>
            <w:r>
              <w:rPr>
                <w:noProof/>
                <w:webHidden/>
              </w:rPr>
              <w:t>3</w:t>
            </w:r>
            <w:r>
              <w:rPr>
                <w:noProof/>
                <w:webHidden/>
              </w:rPr>
              <w:fldChar w:fldCharType="end"/>
            </w:r>
          </w:hyperlink>
        </w:p>
        <w:p w14:paraId="194F4F61" w14:textId="6FF1F016" w:rsidR="005E7B3E" w:rsidRDefault="005E7B3E">
          <w:pPr>
            <w:pStyle w:val="TOC2"/>
            <w:tabs>
              <w:tab w:val="right" w:leader="dot" w:pos="9016"/>
            </w:tabs>
            <w:rPr>
              <w:noProof/>
            </w:rPr>
          </w:pPr>
          <w:hyperlink w:anchor="_Toc150955911" w:history="1">
            <w:r w:rsidRPr="0055417A">
              <w:rPr>
                <w:rStyle w:val="Hyperlink"/>
                <w:noProof/>
              </w:rPr>
              <w:t>Description</w:t>
            </w:r>
            <w:r>
              <w:rPr>
                <w:noProof/>
                <w:webHidden/>
              </w:rPr>
              <w:tab/>
            </w:r>
            <w:r>
              <w:rPr>
                <w:noProof/>
                <w:webHidden/>
              </w:rPr>
              <w:fldChar w:fldCharType="begin"/>
            </w:r>
            <w:r>
              <w:rPr>
                <w:noProof/>
                <w:webHidden/>
              </w:rPr>
              <w:instrText xml:space="preserve"> PAGEREF _Toc150955911 \h </w:instrText>
            </w:r>
            <w:r>
              <w:rPr>
                <w:noProof/>
                <w:webHidden/>
              </w:rPr>
            </w:r>
            <w:r>
              <w:rPr>
                <w:noProof/>
                <w:webHidden/>
              </w:rPr>
              <w:fldChar w:fldCharType="separate"/>
            </w:r>
            <w:r>
              <w:rPr>
                <w:noProof/>
                <w:webHidden/>
              </w:rPr>
              <w:t>3</w:t>
            </w:r>
            <w:r>
              <w:rPr>
                <w:noProof/>
                <w:webHidden/>
              </w:rPr>
              <w:fldChar w:fldCharType="end"/>
            </w:r>
          </w:hyperlink>
        </w:p>
        <w:p w14:paraId="12A4ECF2" w14:textId="7A0D455F" w:rsidR="005E7B3E" w:rsidRDefault="005E7B3E">
          <w:pPr>
            <w:pStyle w:val="TOC2"/>
            <w:tabs>
              <w:tab w:val="right" w:leader="dot" w:pos="9016"/>
            </w:tabs>
            <w:rPr>
              <w:noProof/>
            </w:rPr>
          </w:pPr>
          <w:hyperlink w:anchor="_Toc150955912" w:history="1">
            <w:r w:rsidRPr="0055417A">
              <w:rPr>
                <w:rStyle w:val="Hyperlink"/>
                <w:noProof/>
              </w:rPr>
              <w:t>Examples</w:t>
            </w:r>
            <w:r>
              <w:rPr>
                <w:noProof/>
                <w:webHidden/>
              </w:rPr>
              <w:tab/>
            </w:r>
            <w:r>
              <w:rPr>
                <w:noProof/>
                <w:webHidden/>
              </w:rPr>
              <w:fldChar w:fldCharType="begin"/>
            </w:r>
            <w:r>
              <w:rPr>
                <w:noProof/>
                <w:webHidden/>
              </w:rPr>
              <w:instrText xml:space="preserve"> PAGEREF _Toc150955912 \h </w:instrText>
            </w:r>
            <w:r>
              <w:rPr>
                <w:noProof/>
                <w:webHidden/>
              </w:rPr>
            </w:r>
            <w:r>
              <w:rPr>
                <w:noProof/>
                <w:webHidden/>
              </w:rPr>
              <w:fldChar w:fldCharType="separate"/>
            </w:r>
            <w:r>
              <w:rPr>
                <w:noProof/>
                <w:webHidden/>
              </w:rPr>
              <w:t>4</w:t>
            </w:r>
            <w:r>
              <w:rPr>
                <w:noProof/>
                <w:webHidden/>
              </w:rPr>
              <w:fldChar w:fldCharType="end"/>
            </w:r>
          </w:hyperlink>
        </w:p>
        <w:p w14:paraId="5C22B5F0" w14:textId="05C2F7D9" w:rsidR="005E7B3E" w:rsidRDefault="005E7B3E">
          <w:pPr>
            <w:pStyle w:val="TOC2"/>
            <w:tabs>
              <w:tab w:val="right" w:leader="dot" w:pos="9016"/>
            </w:tabs>
            <w:rPr>
              <w:noProof/>
            </w:rPr>
          </w:pPr>
          <w:hyperlink w:anchor="_Toc150955913" w:history="1">
            <w:r w:rsidRPr="0055417A">
              <w:rPr>
                <w:rStyle w:val="Hyperlink"/>
                <w:noProof/>
              </w:rPr>
              <w:t>Properties</w:t>
            </w:r>
            <w:r>
              <w:rPr>
                <w:noProof/>
                <w:webHidden/>
              </w:rPr>
              <w:tab/>
            </w:r>
            <w:r>
              <w:rPr>
                <w:noProof/>
                <w:webHidden/>
              </w:rPr>
              <w:fldChar w:fldCharType="begin"/>
            </w:r>
            <w:r>
              <w:rPr>
                <w:noProof/>
                <w:webHidden/>
              </w:rPr>
              <w:instrText xml:space="preserve"> PAGEREF _Toc150955913 \h </w:instrText>
            </w:r>
            <w:r>
              <w:rPr>
                <w:noProof/>
                <w:webHidden/>
              </w:rPr>
            </w:r>
            <w:r>
              <w:rPr>
                <w:noProof/>
                <w:webHidden/>
              </w:rPr>
              <w:fldChar w:fldCharType="separate"/>
            </w:r>
            <w:r>
              <w:rPr>
                <w:noProof/>
                <w:webHidden/>
              </w:rPr>
              <w:t>4</w:t>
            </w:r>
            <w:r>
              <w:rPr>
                <w:noProof/>
                <w:webHidden/>
              </w:rPr>
              <w:fldChar w:fldCharType="end"/>
            </w:r>
          </w:hyperlink>
        </w:p>
        <w:p w14:paraId="3AAA909B" w14:textId="3A34F4CD" w:rsidR="005E7B3E" w:rsidRDefault="005E7B3E">
          <w:pPr>
            <w:pStyle w:val="TOC1"/>
            <w:tabs>
              <w:tab w:val="right" w:leader="dot" w:pos="9016"/>
            </w:tabs>
            <w:rPr>
              <w:noProof/>
            </w:rPr>
          </w:pPr>
          <w:hyperlink w:anchor="_Toc150955914" w:history="1">
            <w:r w:rsidRPr="0055417A">
              <w:rPr>
                <w:rStyle w:val="Hyperlink"/>
                <w:noProof/>
              </w:rPr>
              <w:t>QESimpleShape</w:t>
            </w:r>
            <w:r>
              <w:rPr>
                <w:noProof/>
                <w:webHidden/>
              </w:rPr>
              <w:tab/>
            </w:r>
            <w:r>
              <w:rPr>
                <w:noProof/>
                <w:webHidden/>
              </w:rPr>
              <w:fldChar w:fldCharType="begin"/>
            </w:r>
            <w:r>
              <w:rPr>
                <w:noProof/>
                <w:webHidden/>
              </w:rPr>
              <w:instrText xml:space="preserve"> PAGEREF _Toc150955914 \h </w:instrText>
            </w:r>
            <w:r>
              <w:rPr>
                <w:noProof/>
                <w:webHidden/>
              </w:rPr>
            </w:r>
            <w:r>
              <w:rPr>
                <w:noProof/>
                <w:webHidden/>
              </w:rPr>
              <w:fldChar w:fldCharType="separate"/>
            </w:r>
            <w:r>
              <w:rPr>
                <w:noProof/>
                <w:webHidden/>
              </w:rPr>
              <w:t>5</w:t>
            </w:r>
            <w:r>
              <w:rPr>
                <w:noProof/>
                <w:webHidden/>
              </w:rPr>
              <w:fldChar w:fldCharType="end"/>
            </w:r>
          </w:hyperlink>
        </w:p>
        <w:p w14:paraId="3C7A4AAC" w14:textId="33E02A07" w:rsidR="005E7B3E" w:rsidRDefault="005E7B3E">
          <w:pPr>
            <w:pStyle w:val="TOC2"/>
            <w:tabs>
              <w:tab w:val="right" w:leader="dot" w:pos="9016"/>
            </w:tabs>
            <w:rPr>
              <w:noProof/>
            </w:rPr>
          </w:pPr>
          <w:hyperlink w:anchor="_Toc150955915" w:history="1">
            <w:r w:rsidRPr="0055417A">
              <w:rPr>
                <w:rStyle w:val="Hyperlink"/>
                <w:noProof/>
              </w:rPr>
              <w:t>Description</w:t>
            </w:r>
            <w:r>
              <w:rPr>
                <w:noProof/>
                <w:webHidden/>
              </w:rPr>
              <w:tab/>
            </w:r>
            <w:r>
              <w:rPr>
                <w:noProof/>
                <w:webHidden/>
              </w:rPr>
              <w:fldChar w:fldCharType="begin"/>
            </w:r>
            <w:r>
              <w:rPr>
                <w:noProof/>
                <w:webHidden/>
              </w:rPr>
              <w:instrText xml:space="preserve"> PAGEREF _Toc150955915 \h </w:instrText>
            </w:r>
            <w:r>
              <w:rPr>
                <w:noProof/>
                <w:webHidden/>
              </w:rPr>
            </w:r>
            <w:r>
              <w:rPr>
                <w:noProof/>
                <w:webHidden/>
              </w:rPr>
              <w:fldChar w:fldCharType="separate"/>
            </w:r>
            <w:r>
              <w:rPr>
                <w:noProof/>
                <w:webHidden/>
              </w:rPr>
              <w:t>5</w:t>
            </w:r>
            <w:r>
              <w:rPr>
                <w:noProof/>
                <w:webHidden/>
              </w:rPr>
              <w:fldChar w:fldCharType="end"/>
            </w:r>
          </w:hyperlink>
        </w:p>
        <w:p w14:paraId="3A8F8373" w14:textId="198BFA01" w:rsidR="005E7B3E" w:rsidRDefault="005E7B3E">
          <w:pPr>
            <w:pStyle w:val="TOC2"/>
            <w:tabs>
              <w:tab w:val="right" w:leader="dot" w:pos="9016"/>
            </w:tabs>
            <w:rPr>
              <w:noProof/>
            </w:rPr>
          </w:pPr>
          <w:hyperlink w:anchor="_Toc150955916" w:history="1">
            <w:r w:rsidRPr="0055417A">
              <w:rPr>
                <w:rStyle w:val="Hyperlink"/>
                <w:noProof/>
              </w:rPr>
              <w:t>Properties</w:t>
            </w:r>
            <w:r>
              <w:rPr>
                <w:noProof/>
                <w:webHidden/>
              </w:rPr>
              <w:tab/>
            </w:r>
            <w:r>
              <w:rPr>
                <w:noProof/>
                <w:webHidden/>
              </w:rPr>
              <w:fldChar w:fldCharType="begin"/>
            </w:r>
            <w:r>
              <w:rPr>
                <w:noProof/>
                <w:webHidden/>
              </w:rPr>
              <w:instrText xml:space="preserve"> PAGEREF _Toc150955916 \h </w:instrText>
            </w:r>
            <w:r>
              <w:rPr>
                <w:noProof/>
                <w:webHidden/>
              </w:rPr>
            </w:r>
            <w:r>
              <w:rPr>
                <w:noProof/>
                <w:webHidden/>
              </w:rPr>
              <w:fldChar w:fldCharType="separate"/>
            </w:r>
            <w:r>
              <w:rPr>
                <w:noProof/>
                <w:webHidden/>
              </w:rPr>
              <w:t>6</w:t>
            </w:r>
            <w:r>
              <w:rPr>
                <w:noProof/>
                <w:webHidden/>
              </w:rPr>
              <w:fldChar w:fldCharType="end"/>
            </w:r>
          </w:hyperlink>
        </w:p>
        <w:p w14:paraId="470A4970" w14:textId="2EB299E3" w:rsidR="001C3141" w:rsidRDefault="00FD7585">
          <w:r>
            <w:fldChar w:fldCharType="end"/>
          </w:r>
        </w:p>
      </w:sdtContent>
    </w:sdt>
    <w:p w14:paraId="70B0177D" w14:textId="77777777" w:rsidR="008C148D" w:rsidRDefault="008C148D">
      <w:pPr>
        <w:sectPr w:rsidR="008C148D" w:rsidSect="00300163">
          <w:footerReference w:type="default" r:id="rId9"/>
          <w:pgSz w:w="11906" w:h="16838"/>
          <w:pgMar w:top="1440" w:right="1440" w:bottom="1440" w:left="1440" w:header="708" w:footer="708" w:gutter="0"/>
          <w:cols w:space="708"/>
          <w:docGrid w:linePitch="360"/>
        </w:sectPr>
      </w:pPr>
    </w:p>
    <w:p w14:paraId="2E821364" w14:textId="77777777" w:rsidR="00170859" w:rsidRDefault="00170859" w:rsidP="00170859">
      <w:pPr>
        <w:pStyle w:val="Heading1"/>
      </w:pPr>
      <w:bookmarkStart w:id="0" w:name="_Ref342384189"/>
      <w:bookmarkStart w:id="1" w:name="_Toc150955909"/>
      <w:r>
        <w:lastRenderedPageBreak/>
        <w:t>Introduction</w:t>
      </w:r>
      <w:bookmarkEnd w:id="0"/>
      <w:bookmarkEnd w:id="1"/>
    </w:p>
    <w:p w14:paraId="4F2EBC44" w14:textId="1DEF31A7" w:rsidR="0043443F" w:rsidRDefault="007164A7" w:rsidP="007164A7">
      <w:r>
        <w:t xml:space="preserve">This document </w:t>
      </w:r>
      <w:r w:rsidR="00906165">
        <w:t xml:space="preserve">describes </w:t>
      </w:r>
      <w:r w:rsidR="0043443F">
        <w:t xml:space="preserve">in detail the </w:t>
      </w:r>
      <w:r w:rsidR="003255D4">
        <w:t>Q</w:t>
      </w:r>
      <w:r w:rsidR="00D34572">
        <w:t>SimpleShape</w:t>
      </w:r>
      <w:r w:rsidR="003255D4">
        <w:t xml:space="preserve"> and QE</w:t>
      </w:r>
      <w:r w:rsidR="00D34572">
        <w:t>SimpleShape</w:t>
      </w:r>
      <w:r w:rsidR="003255D4">
        <w:t xml:space="preserve"> </w:t>
      </w:r>
      <w:r w:rsidR="003905FF">
        <w:t>widget</w:t>
      </w:r>
      <w:r w:rsidR="003255D4">
        <w:t>s</w:t>
      </w:r>
      <w:r w:rsidR="00862D96">
        <w:t xml:space="preserve"> provided by </w:t>
      </w:r>
      <w:r w:rsidR="00842B4F">
        <w:t xml:space="preserve">the </w:t>
      </w:r>
      <w:r w:rsidR="00862D96">
        <w:t>EPICS Qt, aka QE, Framework.</w:t>
      </w:r>
    </w:p>
    <w:p w14:paraId="4EF96DD8" w14:textId="77777777" w:rsidR="00906165" w:rsidRDefault="0043443F" w:rsidP="007164A7">
      <w:r>
        <w:t xml:space="preserve">This document was created </w:t>
      </w:r>
      <w:r w:rsidR="003905FF">
        <w:t xml:space="preserve">as a separate </w:t>
      </w:r>
      <w:r w:rsidR="00862D96">
        <w:t xml:space="preserve">widget specification document. The main reason for this is </w:t>
      </w:r>
      <w:r>
        <w:t>ease of maintenance</w:t>
      </w:r>
      <w:r w:rsidR="003905FF">
        <w:t xml:space="preserve"> and avoiding editing </w:t>
      </w:r>
      <w:r w:rsidR="00862D96">
        <w:t xml:space="preserve">large </w:t>
      </w:r>
      <w:r w:rsidR="00B8274C">
        <w:t xml:space="preserve">and unwieldly </w:t>
      </w:r>
      <w:r w:rsidR="00862D96">
        <w:t>word documents</w:t>
      </w:r>
      <w:r>
        <w:t>.</w:t>
      </w:r>
    </w:p>
    <w:p w14:paraId="2CBDC302" w14:textId="2A02AF96" w:rsidR="00180BBF" w:rsidRPr="00952054" w:rsidRDefault="00503EAD" w:rsidP="00180BBF">
      <w:r>
        <w:t xml:space="preserve">The QE Framework </w:t>
      </w:r>
      <w:r w:rsidRPr="00503EAD">
        <w:t xml:space="preserve">is distributed under the GNU </w:t>
      </w:r>
      <w:r w:rsidR="00F15CBE">
        <w:t xml:space="preserve">Lesser </w:t>
      </w:r>
      <w:r w:rsidRPr="00503EAD">
        <w:t>General Public</w:t>
      </w:r>
      <w:r>
        <w:t xml:space="preserve"> License version 3, distributed with the framework in the file </w:t>
      </w:r>
      <w:r w:rsidR="00842B4F" w:rsidRPr="00842B4F">
        <w:t>LICENSE</w:t>
      </w:r>
      <w:r>
        <w:t xml:space="preserve">. It may also be obtained from here: </w:t>
      </w:r>
      <w:hyperlink r:id="rId10" w:history="1">
        <w:r w:rsidR="00F15CBE">
          <w:rPr>
            <w:rStyle w:val="Hyperlink"/>
          </w:rPr>
          <w:t>http://www.gnu.org/licenses/lgpl-3.0-standalone.html</w:t>
        </w:r>
      </w:hyperlink>
    </w:p>
    <w:p w14:paraId="06EEF361" w14:textId="43DC15C7" w:rsidR="00180BBF" w:rsidRDefault="00180BBF" w:rsidP="00457E5C">
      <w:pPr>
        <w:pStyle w:val="Heading1"/>
      </w:pPr>
      <w:bookmarkStart w:id="2" w:name="_Toc26970979"/>
      <w:bookmarkStart w:id="3" w:name="_Toc150955910"/>
      <w:r>
        <w:t>Q</w:t>
      </w:r>
      <w:r w:rsidR="00D34572">
        <w:t>SimpleShape</w:t>
      </w:r>
      <w:bookmarkEnd w:id="2"/>
      <w:bookmarkEnd w:id="3"/>
    </w:p>
    <w:p w14:paraId="17FB86F0" w14:textId="77777777" w:rsidR="00457E5C" w:rsidRPr="00457E5C" w:rsidRDefault="00457E5C" w:rsidP="00457E5C">
      <w:pPr>
        <w:pStyle w:val="Heading2"/>
      </w:pPr>
      <w:bookmarkStart w:id="4" w:name="_Toc150955911"/>
      <w:r>
        <w:t>Description</w:t>
      </w:r>
      <w:bookmarkEnd w:id="4"/>
    </w:p>
    <w:p w14:paraId="444EC6A9" w14:textId="0625B4FF" w:rsidR="000D7C1E" w:rsidRDefault="001B1D24" w:rsidP="00180BBF">
      <w:r>
        <w:t xml:space="preserve">The </w:t>
      </w:r>
      <w:r w:rsidR="00180BBF">
        <w:t>Q</w:t>
      </w:r>
      <w:r w:rsidR="00D34572">
        <w:t>SimpleShape</w:t>
      </w:r>
      <w:r w:rsidR="00180BBF">
        <w:t xml:space="preserve"> </w:t>
      </w:r>
      <w:r>
        <w:t xml:space="preserve">is essentially a non-EPICS aware widget that can display different shapes in </w:t>
      </w:r>
      <w:r w:rsidR="00F33CB7">
        <w:t xml:space="preserve">various </w:t>
      </w:r>
      <w:r>
        <w:t xml:space="preserve">colours and with text. The colour may be one of 16 </w:t>
      </w:r>
      <w:r w:rsidR="00F33CB7">
        <w:t xml:space="preserve">property specified colours </w:t>
      </w:r>
      <w:r>
        <w:t xml:space="preserve">and the text may be fixed, or one of 16 </w:t>
      </w:r>
      <w:r w:rsidR="00F33CB7">
        <w:t xml:space="preserve">property specified </w:t>
      </w:r>
      <w:r>
        <w:t>stat</w:t>
      </w:r>
      <w:r w:rsidR="00F33CB7">
        <w:t>e</w:t>
      </w:r>
      <w:r>
        <w:t xml:space="preserve"> values. It also has two text selection modes to allow the QESimpleShape class to provide the text. </w:t>
      </w:r>
    </w:p>
    <w:p w14:paraId="71ED309E" w14:textId="18571C78" w:rsidR="00D34572" w:rsidRDefault="000D7C1E" w:rsidP="00180BBF">
      <w:r>
        <w:t xml:space="preserve">The decision to provide up to 16 colours was some-what arbitrary; and while a user can only readily identify a limited number of colours (as opposed to distinguishing between subtle shade differences presented side by side) 16 was chosen as a nod to QESimpleShape class so that a colour could be associated with each value of an </w:t>
      </w:r>
      <w:proofErr w:type="spellStart"/>
      <w:r>
        <w:t>mbbi</w:t>
      </w:r>
      <w:proofErr w:type="spellEnd"/>
      <w:r>
        <w:t>/</w:t>
      </w:r>
      <w:proofErr w:type="spellStart"/>
      <w:r>
        <w:t>mbbo</w:t>
      </w:r>
      <w:proofErr w:type="spellEnd"/>
      <w:r>
        <w:t xml:space="preserve"> record.</w:t>
      </w:r>
    </w:p>
    <w:p w14:paraId="0E29C8ED" w14:textId="07F6CA50" w:rsidR="001B1D24" w:rsidRDefault="001B1D24" w:rsidP="00180BBF">
      <w:r>
        <w:t xml:space="preserve">The shape itself is determined by the widget’s shape property, and may be one of: </w:t>
      </w:r>
      <w:r w:rsidR="001A4C2A">
        <w:br/>
      </w:r>
      <w:proofErr w:type="spellStart"/>
      <w:r w:rsidR="00520B04" w:rsidRPr="00520B04">
        <w:t>noShape</w:t>
      </w:r>
      <w:proofErr w:type="spellEnd"/>
      <w:r w:rsidR="00520B04" w:rsidRPr="00520B04">
        <w:t>, circle, ellipse, rectangle</w:t>
      </w:r>
      <w:r w:rsidR="00DC666E">
        <w:t xml:space="preserve"> (default)</w:t>
      </w:r>
      <w:r w:rsidR="00520B04" w:rsidRPr="00520B04">
        <w:t xml:space="preserve">, </w:t>
      </w:r>
      <w:proofErr w:type="spellStart"/>
      <w:r w:rsidR="00520B04" w:rsidRPr="00520B04">
        <w:t>roundRectangle</w:t>
      </w:r>
      <w:proofErr w:type="spellEnd"/>
      <w:r w:rsidR="00520B04" w:rsidRPr="00520B04">
        <w:t xml:space="preserve">, </w:t>
      </w:r>
      <w:proofErr w:type="spellStart"/>
      <w:r w:rsidR="00520B04" w:rsidRPr="00520B04">
        <w:t>roundSquare</w:t>
      </w:r>
      <w:proofErr w:type="spellEnd"/>
      <w:r w:rsidR="00520B04" w:rsidRPr="00520B04">
        <w:t xml:space="preserve">, square, </w:t>
      </w:r>
      <w:proofErr w:type="spellStart"/>
      <w:r w:rsidR="00520B04" w:rsidRPr="00520B04">
        <w:t>triangleUp</w:t>
      </w:r>
      <w:proofErr w:type="spellEnd"/>
      <w:r w:rsidR="00520B04" w:rsidRPr="00520B04">
        <w:t xml:space="preserve">, </w:t>
      </w:r>
      <w:proofErr w:type="spellStart"/>
      <w:r w:rsidR="00520B04" w:rsidRPr="00520B04">
        <w:t>triangleDown</w:t>
      </w:r>
      <w:proofErr w:type="spellEnd"/>
      <w:r w:rsidR="00520B04" w:rsidRPr="00520B04">
        <w:t xml:space="preserve">, </w:t>
      </w:r>
      <w:proofErr w:type="spellStart"/>
      <w:r w:rsidR="00520B04" w:rsidRPr="00520B04">
        <w:t>triangleLeft</w:t>
      </w:r>
      <w:proofErr w:type="spellEnd"/>
      <w:r w:rsidR="00520B04" w:rsidRPr="00520B04">
        <w:t xml:space="preserve">, </w:t>
      </w:r>
      <w:proofErr w:type="spellStart"/>
      <w:r w:rsidR="00520B04" w:rsidRPr="00520B04">
        <w:t>triangleRight</w:t>
      </w:r>
      <w:proofErr w:type="spellEnd"/>
      <w:r w:rsidR="00520B04" w:rsidRPr="00520B04">
        <w:t xml:space="preserve">, </w:t>
      </w:r>
      <w:proofErr w:type="spellStart"/>
      <w:r w:rsidR="00520B04" w:rsidRPr="00520B04">
        <w:t>triangleTopRight</w:t>
      </w:r>
      <w:proofErr w:type="spellEnd"/>
      <w:r w:rsidR="00520B04" w:rsidRPr="00520B04">
        <w:t xml:space="preserve">, </w:t>
      </w:r>
      <w:proofErr w:type="spellStart"/>
      <w:r w:rsidR="00520B04" w:rsidRPr="00520B04">
        <w:t>triangleBottomRight</w:t>
      </w:r>
      <w:proofErr w:type="spellEnd"/>
      <w:r w:rsidR="00520B04" w:rsidRPr="00520B04">
        <w:t xml:space="preserve">, </w:t>
      </w:r>
      <w:proofErr w:type="spellStart"/>
      <w:r w:rsidR="00520B04" w:rsidRPr="00520B04">
        <w:t>triangleBottomLeft</w:t>
      </w:r>
      <w:proofErr w:type="spellEnd"/>
      <w:r w:rsidR="00520B04" w:rsidRPr="00520B04">
        <w:t xml:space="preserve">, </w:t>
      </w:r>
      <w:proofErr w:type="spellStart"/>
      <w:r w:rsidR="00520B04" w:rsidRPr="00520B04">
        <w:t>triangleTopLeft</w:t>
      </w:r>
      <w:proofErr w:type="spellEnd"/>
      <w:r w:rsidR="00520B04" w:rsidRPr="00520B04">
        <w:t xml:space="preserve">, diamond, </w:t>
      </w:r>
      <w:proofErr w:type="spellStart"/>
      <w:r w:rsidR="00520B04" w:rsidRPr="00520B04">
        <w:t>equalDiamond</w:t>
      </w:r>
      <w:proofErr w:type="spellEnd"/>
      <w:r w:rsidR="00520B04" w:rsidRPr="00520B04">
        <w:t xml:space="preserve">, </w:t>
      </w:r>
      <w:proofErr w:type="spellStart"/>
      <w:r w:rsidR="00520B04" w:rsidRPr="00520B04">
        <w:t>arrowUp</w:t>
      </w:r>
      <w:proofErr w:type="spellEnd"/>
      <w:r w:rsidR="00520B04" w:rsidRPr="00520B04">
        <w:t xml:space="preserve">, </w:t>
      </w:r>
      <w:proofErr w:type="spellStart"/>
      <w:r w:rsidR="00520B04" w:rsidRPr="00520B04">
        <w:t>arrowDown</w:t>
      </w:r>
      <w:proofErr w:type="spellEnd"/>
      <w:r w:rsidR="00520B04" w:rsidRPr="00520B04">
        <w:t xml:space="preserve">, </w:t>
      </w:r>
      <w:proofErr w:type="spellStart"/>
      <w:r w:rsidR="00520B04" w:rsidRPr="00520B04">
        <w:t>arrowLeft</w:t>
      </w:r>
      <w:proofErr w:type="spellEnd"/>
      <w:r w:rsidR="00520B04" w:rsidRPr="00520B04">
        <w:t xml:space="preserve">, </w:t>
      </w:r>
      <w:proofErr w:type="spellStart"/>
      <w:r w:rsidR="00520B04" w:rsidRPr="00520B04">
        <w:t>arrowRight</w:t>
      </w:r>
      <w:proofErr w:type="spellEnd"/>
      <w:r w:rsidR="00520B04" w:rsidRPr="00520B04">
        <w:t xml:space="preserve">, </w:t>
      </w:r>
      <w:proofErr w:type="spellStart"/>
      <w:r w:rsidR="00520B04" w:rsidRPr="00520B04">
        <w:t>crossHorizontal</w:t>
      </w:r>
      <w:proofErr w:type="spellEnd"/>
      <w:r w:rsidR="00520B04" w:rsidRPr="00520B04">
        <w:t xml:space="preserve">, </w:t>
      </w:r>
      <w:proofErr w:type="spellStart"/>
      <w:r w:rsidR="00520B04" w:rsidRPr="00520B04">
        <w:t>crossVertical</w:t>
      </w:r>
      <w:proofErr w:type="spellEnd"/>
      <w:r w:rsidR="00520B04" w:rsidRPr="00520B04">
        <w:t xml:space="preserve">, hexagon, </w:t>
      </w:r>
      <w:proofErr w:type="spellStart"/>
      <w:r w:rsidR="00520B04" w:rsidRPr="00520B04">
        <w:t>octogon</w:t>
      </w:r>
      <w:proofErr w:type="spellEnd"/>
      <w:r w:rsidR="00520B04" w:rsidRPr="00520B04">
        <w:t xml:space="preserve">, snakeHorizontal, snakeVertical, pentagon, star, plus, tick, cross, </w:t>
      </w:r>
      <w:proofErr w:type="spellStart"/>
      <w:r w:rsidR="00520B04" w:rsidRPr="00520B04">
        <w:t>roundpie</w:t>
      </w:r>
      <w:proofErr w:type="spellEnd"/>
      <w:r w:rsidR="00520B04" w:rsidRPr="00520B04">
        <w:t>, pie, heart.</w:t>
      </w:r>
    </w:p>
    <w:p w14:paraId="26D4A68C" w14:textId="4BCBD61E" w:rsidR="00180BBF" w:rsidRDefault="001A4C2A" w:rsidP="00180BBF">
      <w:r>
        <w:t xml:space="preserve">The size of the shape is maximised to just fit within the geometry of the widget. For circle, square, </w:t>
      </w:r>
      <w:proofErr w:type="spellStart"/>
      <w:r>
        <w:t>roundSquare</w:t>
      </w:r>
      <w:proofErr w:type="spellEnd"/>
      <w:r>
        <w:t xml:space="preserve">, </w:t>
      </w:r>
      <w:proofErr w:type="spellStart"/>
      <w:r>
        <w:t>equalDiamond</w:t>
      </w:r>
      <w:proofErr w:type="spellEnd"/>
      <w:r>
        <w:t xml:space="preserve"> and </w:t>
      </w:r>
      <w:proofErr w:type="spellStart"/>
      <w:r>
        <w:t>roundpie</w:t>
      </w:r>
      <w:proofErr w:type="spellEnd"/>
      <w:r>
        <w:t xml:space="preserve"> the size is determined by the lesser of the widget’s width and height.</w:t>
      </w:r>
    </w:p>
    <w:p w14:paraId="1508B0D3" w14:textId="3500E316" w:rsidR="001A4C2A" w:rsidRDefault="000D7C1E" w:rsidP="00180BBF">
      <w:r>
        <w:t>The QESimpleShape also has a</w:t>
      </w:r>
      <w:r w:rsidR="001C74AE">
        <w:t>n</w:t>
      </w:r>
      <w:r>
        <w:t xml:space="preserve"> edge, the width and colour of which are specified by widget properties.</w:t>
      </w:r>
    </w:p>
    <w:p w14:paraId="4E0DE728" w14:textId="77777777" w:rsidR="001A4C2A" w:rsidRDefault="001A4C2A" w:rsidP="00180BBF"/>
    <w:p w14:paraId="06B78CCD" w14:textId="61F3CC2E" w:rsidR="00B910A3" w:rsidRDefault="00B910A3" w:rsidP="001C74AE">
      <w:pPr>
        <w:pStyle w:val="Heading2"/>
      </w:pPr>
      <w:bookmarkStart w:id="5" w:name="_Toc150955912"/>
      <w:r>
        <w:lastRenderedPageBreak/>
        <w:t>Examples</w:t>
      </w:r>
      <w:bookmarkEnd w:id="5"/>
    </w:p>
    <w:p w14:paraId="60ECE8B6" w14:textId="77777777" w:rsidR="001C74AE" w:rsidRPr="001C74AE" w:rsidRDefault="001C74AE" w:rsidP="001C74AE"/>
    <w:p w14:paraId="3142C2D1" w14:textId="5379CEAD" w:rsidR="00C208AD" w:rsidRDefault="008B2994" w:rsidP="00C208AD">
      <w:r>
        <w:rPr>
          <w:noProof/>
        </w:rPr>
        <w:drawing>
          <wp:inline distT="0" distB="0" distL="0" distR="0" wp14:anchorId="2049AEE3" wp14:editId="0500A4E3">
            <wp:extent cx="5926455" cy="293751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26455" cy="2937510"/>
                    </a:xfrm>
                    <a:prstGeom prst="rect">
                      <a:avLst/>
                    </a:prstGeom>
                  </pic:spPr>
                </pic:pic>
              </a:graphicData>
            </a:graphic>
          </wp:inline>
        </w:drawing>
      </w:r>
    </w:p>
    <w:p w14:paraId="69389C3F" w14:textId="59702AAC" w:rsidR="00C208AD" w:rsidRDefault="00C208AD" w:rsidP="00C208AD">
      <w:pPr>
        <w:pStyle w:val="Caption"/>
        <w:jc w:val="center"/>
      </w:pPr>
      <w:bookmarkStart w:id="6" w:name="_Ref350245543"/>
      <w:bookmarkStart w:id="7" w:name="_Ref350245547"/>
      <w:r>
        <w:t xml:space="preserve">Figure </w:t>
      </w:r>
      <w:r>
        <w:fldChar w:fldCharType="begin"/>
      </w:r>
      <w:r>
        <w:instrText xml:space="preserve"> SEQ Figure \* ARABIC </w:instrText>
      </w:r>
      <w:r>
        <w:fldChar w:fldCharType="separate"/>
      </w:r>
      <w:r w:rsidR="005E7B3E">
        <w:rPr>
          <w:noProof/>
        </w:rPr>
        <w:t>1</w:t>
      </w:r>
      <w:r>
        <w:rPr>
          <w:noProof/>
        </w:rPr>
        <w:fldChar w:fldCharType="end"/>
      </w:r>
      <w:bookmarkEnd w:id="6"/>
      <w:r>
        <w:t xml:space="preserve"> QSimpleShape examples</w:t>
      </w:r>
      <w:bookmarkEnd w:id="7"/>
    </w:p>
    <w:p w14:paraId="116D9502" w14:textId="47F7ECC1" w:rsidR="008B2994" w:rsidRDefault="008B2994" w:rsidP="00B910A3">
      <w:r>
        <w:t>The above figure show example of the shapes</w:t>
      </w:r>
      <w:r w:rsidR="00C208AD">
        <w:t xml:space="preserve"> in various colours, and a few with text.</w:t>
      </w:r>
    </w:p>
    <w:p w14:paraId="307C5B65" w14:textId="77777777" w:rsidR="008277B5" w:rsidRPr="00B910A3" w:rsidRDefault="008277B5" w:rsidP="00B910A3"/>
    <w:p w14:paraId="47060507" w14:textId="56014AFF" w:rsidR="00D440EC" w:rsidRDefault="00D440EC" w:rsidP="00D440EC">
      <w:pPr>
        <w:pStyle w:val="Heading2"/>
      </w:pPr>
      <w:bookmarkStart w:id="8" w:name="_Toc150955913"/>
      <w:r>
        <w:t>Properties</w:t>
      </w:r>
      <w:bookmarkEnd w:id="8"/>
    </w:p>
    <w:p w14:paraId="2DB2D51B" w14:textId="40A64363" w:rsidR="008B2994" w:rsidRDefault="00180BBF" w:rsidP="00180BBF">
      <w:r>
        <w:t xml:space="preserve">The </w:t>
      </w:r>
      <w:r w:rsidR="00D440EC">
        <w:t>Q</w:t>
      </w:r>
      <w:r w:rsidR="00D34572">
        <w:t>SimpleShape</w:t>
      </w:r>
      <w:r w:rsidR="00D440EC">
        <w:t xml:space="preserve"> </w:t>
      </w:r>
      <w:r w:rsidR="00F33CB7">
        <w:t>has the following properties.</w:t>
      </w:r>
    </w:p>
    <w:tbl>
      <w:tblPr>
        <w:tblStyle w:val="TableGrid"/>
        <w:tblW w:w="0" w:type="auto"/>
        <w:tblLook w:val="04A0" w:firstRow="1" w:lastRow="0" w:firstColumn="1" w:lastColumn="0" w:noHBand="0" w:noVBand="1"/>
      </w:tblPr>
      <w:tblGrid>
        <w:gridCol w:w="1513"/>
        <w:gridCol w:w="821"/>
        <w:gridCol w:w="1458"/>
        <w:gridCol w:w="5531"/>
      </w:tblGrid>
      <w:tr w:rsidR="00F33CB7" w14:paraId="3BBB217C" w14:textId="77777777" w:rsidTr="0015403D">
        <w:tc>
          <w:tcPr>
            <w:tcW w:w="1301" w:type="dxa"/>
          </w:tcPr>
          <w:p w14:paraId="601E12EE" w14:textId="635FD5A4" w:rsidR="00F33CB7" w:rsidRPr="00F322A4" w:rsidRDefault="00F33CB7" w:rsidP="00180BBF">
            <w:pPr>
              <w:rPr>
                <w:b/>
                <w:bCs/>
              </w:rPr>
            </w:pPr>
            <w:r w:rsidRPr="00F322A4">
              <w:rPr>
                <w:b/>
                <w:bCs/>
              </w:rPr>
              <w:t>name</w:t>
            </w:r>
          </w:p>
        </w:tc>
        <w:tc>
          <w:tcPr>
            <w:tcW w:w="821" w:type="dxa"/>
          </w:tcPr>
          <w:p w14:paraId="7CC92E37" w14:textId="059B7477" w:rsidR="00F33CB7" w:rsidRPr="00F322A4" w:rsidRDefault="00F322A4" w:rsidP="00180BBF">
            <w:pPr>
              <w:rPr>
                <w:b/>
                <w:bCs/>
              </w:rPr>
            </w:pPr>
            <w:r w:rsidRPr="00F322A4">
              <w:rPr>
                <w:b/>
                <w:bCs/>
              </w:rPr>
              <w:t>type</w:t>
            </w:r>
          </w:p>
        </w:tc>
        <w:tc>
          <w:tcPr>
            <w:tcW w:w="1275" w:type="dxa"/>
          </w:tcPr>
          <w:p w14:paraId="4CFEFA8D" w14:textId="1E2AC106" w:rsidR="00F33CB7" w:rsidRPr="00F322A4" w:rsidRDefault="00F322A4" w:rsidP="00180BBF">
            <w:pPr>
              <w:rPr>
                <w:b/>
                <w:bCs/>
              </w:rPr>
            </w:pPr>
            <w:r w:rsidRPr="00F322A4">
              <w:rPr>
                <w:b/>
                <w:bCs/>
              </w:rPr>
              <w:t>default</w:t>
            </w:r>
          </w:p>
        </w:tc>
        <w:tc>
          <w:tcPr>
            <w:tcW w:w="5926" w:type="dxa"/>
          </w:tcPr>
          <w:p w14:paraId="6CDED5C0" w14:textId="21583EB6" w:rsidR="00F33CB7" w:rsidRPr="00F322A4" w:rsidRDefault="00F322A4" w:rsidP="00180BBF">
            <w:pPr>
              <w:rPr>
                <w:b/>
                <w:bCs/>
              </w:rPr>
            </w:pPr>
            <w:r w:rsidRPr="00F322A4">
              <w:rPr>
                <w:b/>
                <w:bCs/>
              </w:rPr>
              <w:t>description</w:t>
            </w:r>
          </w:p>
        </w:tc>
      </w:tr>
      <w:tr w:rsidR="00F33CB7" w14:paraId="702ACF76" w14:textId="77777777" w:rsidTr="0015403D">
        <w:tc>
          <w:tcPr>
            <w:tcW w:w="1301" w:type="dxa"/>
          </w:tcPr>
          <w:p w14:paraId="150059E8" w14:textId="6A20C9A7" w:rsidR="00F33CB7" w:rsidRDefault="00AA1F53" w:rsidP="00180BBF">
            <w:r>
              <w:t>shape</w:t>
            </w:r>
          </w:p>
        </w:tc>
        <w:tc>
          <w:tcPr>
            <w:tcW w:w="821" w:type="dxa"/>
          </w:tcPr>
          <w:p w14:paraId="4985D42D" w14:textId="5A3E4262" w:rsidR="00F33CB7" w:rsidRDefault="00AA1F53" w:rsidP="00180BBF">
            <w:proofErr w:type="spellStart"/>
            <w:r>
              <w:t>enum</w:t>
            </w:r>
            <w:proofErr w:type="spellEnd"/>
          </w:p>
        </w:tc>
        <w:tc>
          <w:tcPr>
            <w:tcW w:w="1275" w:type="dxa"/>
          </w:tcPr>
          <w:p w14:paraId="2E299359" w14:textId="4BF9B6EC" w:rsidR="00F33CB7" w:rsidRDefault="00AA1F53" w:rsidP="00180BBF">
            <w:r>
              <w:t>rectangle</w:t>
            </w:r>
          </w:p>
        </w:tc>
        <w:tc>
          <w:tcPr>
            <w:tcW w:w="5926" w:type="dxa"/>
          </w:tcPr>
          <w:p w14:paraId="0C067E60" w14:textId="05962FB2" w:rsidR="00F33CB7" w:rsidRDefault="00AA1F53" w:rsidP="00180BBF">
            <w:r>
              <w:t xml:space="preserve">Specifies the shape – see list above. </w:t>
            </w:r>
          </w:p>
        </w:tc>
      </w:tr>
      <w:tr w:rsidR="00F33CB7" w14:paraId="2FEBB8D3" w14:textId="77777777" w:rsidTr="0015403D">
        <w:tc>
          <w:tcPr>
            <w:tcW w:w="1301" w:type="dxa"/>
          </w:tcPr>
          <w:p w14:paraId="3565D09D" w14:textId="582D8AFF" w:rsidR="00F33CB7" w:rsidRDefault="00AA1F53" w:rsidP="00180BBF">
            <w:proofErr w:type="spellStart"/>
            <w:r>
              <w:t>edgeWidth</w:t>
            </w:r>
            <w:proofErr w:type="spellEnd"/>
          </w:p>
        </w:tc>
        <w:tc>
          <w:tcPr>
            <w:tcW w:w="821" w:type="dxa"/>
          </w:tcPr>
          <w:p w14:paraId="1E00DC7F" w14:textId="01A14E8E" w:rsidR="00F33CB7" w:rsidRDefault="00AA1F53" w:rsidP="00180BBF">
            <w:r>
              <w:t>int</w:t>
            </w:r>
          </w:p>
        </w:tc>
        <w:tc>
          <w:tcPr>
            <w:tcW w:w="1275" w:type="dxa"/>
          </w:tcPr>
          <w:p w14:paraId="2217B63A" w14:textId="244F4740" w:rsidR="00F33CB7" w:rsidRDefault="00AA1F53" w:rsidP="00180BBF">
            <w:r>
              <w:t>1</w:t>
            </w:r>
          </w:p>
        </w:tc>
        <w:tc>
          <w:tcPr>
            <w:tcW w:w="5926" w:type="dxa"/>
          </w:tcPr>
          <w:p w14:paraId="02B68A7E" w14:textId="2443698C" w:rsidR="00F33CB7" w:rsidRDefault="00AA1F53" w:rsidP="00180BBF">
            <w:r>
              <w:t>With of the boarder – limited 0 to 20.</w:t>
            </w:r>
          </w:p>
        </w:tc>
      </w:tr>
      <w:tr w:rsidR="00F33CB7" w14:paraId="09486BBA" w14:textId="77777777" w:rsidTr="0015403D">
        <w:tc>
          <w:tcPr>
            <w:tcW w:w="1301" w:type="dxa"/>
          </w:tcPr>
          <w:p w14:paraId="011E4136" w14:textId="37D180B9" w:rsidR="00F33CB7" w:rsidRDefault="00AA1F53" w:rsidP="00180BBF">
            <w:proofErr w:type="spellStart"/>
            <w:r>
              <w:t>edgeStyle</w:t>
            </w:r>
            <w:proofErr w:type="spellEnd"/>
          </w:p>
        </w:tc>
        <w:tc>
          <w:tcPr>
            <w:tcW w:w="821" w:type="dxa"/>
          </w:tcPr>
          <w:p w14:paraId="00B874D6" w14:textId="3A74A74D" w:rsidR="00F33CB7" w:rsidRDefault="00AA1F53" w:rsidP="00180BBF">
            <w:proofErr w:type="spellStart"/>
            <w:r>
              <w:t>eum</w:t>
            </w:r>
            <w:proofErr w:type="spellEnd"/>
          </w:p>
        </w:tc>
        <w:tc>
          <w:tcPr>
            <w:tcW w:w="1275" w:type="dxa"/>
          </w:tcPr>
          <w:p w14:paraId="3F66DC68" w14:textId="543B6366" w:rsidR="00F33CB7" w:rsidRDefault="00AA1F53" w:rsidP="00180BBF">
            <w:proofErr w:type="spellStart"/>
            <w:r>
              <w:t>SolidLine</w:t>
            </w:r>
            <w:proofErr w:type="spellEnd"/>
          </w:p>
        </w:tc>
        <w:tc>
          <w:tcPr>
            <w:tcW w:w="5926" w:type="dxa"/>
          </w:tcPr>
          <w:p w14:paraId="68225CA1" w14:textId="71286D96" w:rsidR="00F33CB7" w:rsidRDefault="00AA1F53" w:rsidP="00180BBF">
            <w:r>
              <w:t>Pen style used to draw the boarder.</w:t>
            </w:r>
          </w:p>
        </w:tc>
      </w:tr>
      <w:tr w:rsidR="00F33CB7" w14:paraId="5E633208" w14:textId="77777777" w:rsidTr="0015403D">
        <w:tc>
          <w:tcPr>
            <w:tcW w:w="1301" w:type="dxa"/>
          </w:tcPr>
          <w:p w14:paraId="3A596CE0" w14:textId="2DE8BF65" w:rsidR="00F33CB7" w:rsidRDefault="00B910A3" w:rsidP="00180BBF">
            <w:proofErr w:type="spellStart"/>
            <w:r>
              <w:t>semiCycles</w:t>
            </w:r>
            <w:proofErr w:type="spellEnd"/>
          </w:p>
        </w:tc>
        <w:tc>
          <w:tcPr>
            <w:tcW w:w="821" w:type="dxa"/>
          </w:tcPr>
          <w:p w14:paraId="13B2B0F5" w14:textId="77D8653A" w:rsidR="00F33CB7" w:rsidRDefault="00B910A3" w:rsidP="00180BBF">
            <w:r>
              <w:t>int</w:t>
            </w:r>
          </w:p>
        </w:tc>
        <w:tc>
          <w:tcPr>
            <w:tcW w:w="1275" w:type="dxa"/>
          </w:tcPr>
          <w:p w14:paraId="493B69D7" w14:textId="43B05217" w:rsidR="00F33CB7" w:rsidRDefault="00B910A3" w:rsidP="00180BBF">
            <w:r>
              <w:t>8</w:t>
            </w:r>
          </w:p>
        </w:tc>
        <w:tc>
          <w:tcPr>
            <w:tcW w:w="5926" w:type="dxa"/>
          </w:tcPr>
          <w:p w14:paraId="075837D9" w14:textId="7FF59228" w:rsidR="00F33CB7" w:rsidRDefault="00B910A3" w:rsidP="00180BBF">
            <w:r>
              <w:t xml:space="preserve">Applies only to the </w:t>
            </w:r>
            <w:r w:rsidRPr="00520B04">
              <w:t>snakeHorizontal</w:t>
            </w:r>
            <w:r>
              <w:t xml:space="preserve"> and</w:t>
            </w:r>
            <w:r w:rsidRPr="00520B04">
              <w:t xml:space="preserve"> snakeVertical</w:t>
            </w:r>
            <w:r>
              <w:t>. Limited to 1 to 30.</w:t>
            </w:r>
          </w:p>
        </w:tc>
      </w:tr>
      <w:tr w:rsidR="00F33CB7" w14:paraId="38C807E2" w14:textId="77777777" w:rsidTr="0015403D">
        <w:tc>
          <w:tcPr>
            <w:tcW w:w="1301" w:type="dxa"/>
          </w:tcPr>
          <w:p w14:paraId="1E835192" w14:textId="371E8638" w:rsidR="00F33CB7" w:rsidRDefault="00B910A3" w:rsidP="00180BBF">
            <w:proofErr w:type="spellStart"/>
            <w:r>
              <w:t>percentSize</w:t>
            </w:r>
            <w:proofErr w:type="spellEnd"/>
          </w:p>
        </w:tc>
        <w:tc>
          <w:tcPr>
            <w:tcW w:w="821" w:type="dxa"/>
          </w:tcPr>
          <w:p w14:paraId="2EDD20C3" w14:textId="5F37515E" w:rsidR="00F33CB7" w:rsidRDefault="00B910A3" w:rsidP="00180BBF">
            <w:r>
              <w:t>int</w:t>
            </w:r>
          </w:p>
        </w:tc>
        <w:tc>
          <w:tcPr>
            <w:tcW w:w="1275" w:type="dxa"/>
          </w:tcPr>
          <w:p w14:paraId="743EA0B1" w14:textId="7D57B491" w:rsidR="00F33CB7" w:rsidRDefault="00B910A3" w:rsidP="00180BBF">
            <w:r>
              <w:t>10</w:t>
            </w:r>
          </w:p>
        </w:tc>
        <w:tc>
          <w:tcPr>
            <w:tcW w:w="5926" w:type="dxa"/>
          </w:tcPr>
          <w:p w14:paraId="21A7ADEC" w14:textId="54B7AA59" w:rsidR="00F33CB7" w:rsidRDefault="00B910A3" w:rsidP="00180BBF">
            <w:r>
              <w:t xml:space="preserve">Applies only to </w:t>
            </w:r>
            <w:r>
              <w:br/>
              <w:t>Limited to 1 to 50</w:t>
            </w:r>
          </w:p>
        </w:tc>
      </w:tr>
      <w:tr w:rsidR="00F33CB7" w14:paraId="119959D7" w14:textId="77777777" w:rsidTr="0015403D">
        <w:tc>
          <w:tcPr>
            <w:tcW w:w="1301" w:type="dxa"/>
          </w:tcPr>
          <w:p w14:paraId="6CE33813" w14:textId="1CD197FC" w:rsidR="00F33CB7" w:rsidRDefault="00B910A3" w:rsidP="00180BBF">
            <w:proofErr w:type="spellStart"/>
            <w:r>
              <w:t>centreAngle</w:t>
            </w:r>
            <w:proofErr w:type="spellEnd"/>
          </w:p>
        </w:tc>
        <w:tc>
          <w:tcPr>
            <w:tcW w:w="821" w:type="dxa"/>
          </w:tcPr>
          <w:p w14:paraId="63EB1BF9" w14:textId="2ADD41D5" w:rsidR="00F33CB7" w:rsidRDefault="00B910A3" w:rsidP="00180BBF">
            <w:r>
              <w:t>int</w:t>
            </w:r>
          </w:p>
        </w:tc>
        <w:tc>
          <w:tcPr>
            <w:tcW w:w="1275" w:type="dxa"/>
          </w:tcPr>
          <w:p w14:paraId="4D9D0F06" w14:textId="05334826" w:rsidR="00F33CB7" w:rsidRDefault="00B910A3" w:rsidP="00180BBF">
            <w:r>
              <w:t>0</w:t>
            </w:r>
          </w:p>
        </w:tc>
        <w:tc>
          <w:tcPr>
            <w:tcW w:w="5926" w:type="dxa"/>
          </w:tcPr>
          <w:p w14:paraId="1D5644C7" w14:textId="77777777" w:rsidR="00F33CB7" w:rsidRDefault="00F33CB7" w:rsidP="00180BBF"/>
        </w:tc>
      </w:tr>
      <w:tr w:rsidR="00F33CB7" w14:paraId="0280F858" w14:textId="77777777" w:rsidTr="0015403D">
        <w:tc>
          <w:tcPr>
            <w:tcW w:w="1301" w:type="dxa"/>
          </w:tcPr>
          <w:p w14:paraId="431854E3" w14:textId="579D1788" w:rsidR="00F33CB7" w:rsidRDefault="00B910A3" w:rsidP="00180BBF">
            <w:proofErr w:type="spellStart"/>
            <w:r>
              <w:t>spanAngle</w:t>
            </w:r>
            <w:proofErr w:type="spellEnd"/>
          </w:p>
        </w:tc>
        <w:tc>
          <w:tcPr>
            <w:tcW w:w="821" w:type="dxa"/>
          </w:tcPr>
          <w:p w14:paraId="177D62C2" w14:textId="791C0F67" w:rsidR="00F33CB7" w:rsidRDefault="00B910A3" w:rsidP="00180BBF">
            <w:r>
              <w:t>int</w:t>
            </w:r>
          </w:p>
        </w:tc>
        <w:tc>
          <w:tcPr>
            <w:tcW w:w="1275" w:type="dxa"/>
          </w:tcPr>
          <w:p w14:paraId="40425B3B" w14:textId="52C010E4" w:rsidR="00F33CB7" w:rsidRDefault="00B910A3" w:rsidP="00180BBF">
            <w:r>
              <w:t>90</w:t>
            </w:r>
          </w:p>
        </w:tc>
        <w:tc>
          <w:tcPr>
            <w:tcW w:w="5926" w:type="dxa"/>
          </w:tcPr>
          <w:p w14:paraId="4CB2CD76" w14:textId="77777777" w:rsidR="00F33CB7" w:rsidRDefault="00F33CB7" w:rsidP="00180BBF"/>
        </w:tc>
      </w:tr>
      <w:tr w:rsidR="00B910A3" w14:paraId="226F18C1" w14:textId="77777777" w:rsidTr="0015403D">
        <w:tc>
          <w:tcPr>
            <w:tcW w:w="1301" w:type="dxa"/>
          </w:tcPr>
          <w:p w14:paraId="3E3AB550" w14:textId="7F8C0D8B" w:rsidR="00B910A3" w:rsidRDefault="00B910A3" w:rsidP="00180BBF">
            <w:r>
              <w:t>value</w:t>
            </w:r>
          </w:p>
        </w:tc>
        <w:tc>
          <w:tcPr>
            <w:tcW w:w="821" w:type="dxa"/>
          </w:tcPr>
          <w:p w14:paraId="6D4A9713" w14:textId="1DE2782B" w:rsidR="00B910A3" w:rsidRDefault="00B910A3" w:rsidP="00180BBF">
            <w:r>
              <w:t>int</w:t>
            </w:r>
          </w:p>
        </w:tc>
        <w:tc>
          <w:tcPr>
            <w:tcW w:w="1275" w:type="dxa"/>
          </w:tcPr>
          <w:p w14:paraId="6192AC03" w14:textId="55DD3D04" w:rsidR="00B910A3" w:rsidRDefault="00B910A3" w:rsidP="00180BBF">
            <w:r>
              <w:t>0</w:t>
            </w:r>
          </w:p>
        </w:tc>
        <w:tc>
          <w:tcPr>
            <w:tcW w:w="5926" w:type="dxa"/>
          </w:tcPr>
          <w:p w14:paraId="52DDCF86" w14:textId="425D2FD6" w:rsidR="00B910A3" w:rsidRDefault="00B910A3" w:rsidP="00180BBF">
            <w:r>
              <w:t>Controls the statue, i.e. the colour and the text used to draw the QESimpleShape.</w:t>
            </w:r>
            <w:r>
              <w:br/>
              <w:t>The value is limited to 0 to the modulus value.</w:t>
            </w:r>
          </w:p>
        </w:tc>
      </w:tr>
      <w:tr w:rsidR="00B910A3" w14:paraId="29E09BBF" w14:textId="77777777" w:rsidTr="0015403D">
        <w:tc>
          <w:tcPr>
            <w:tcW w:w="1301" w:type="dxa"/>
          </w:tcPr>
          <w:p w14:paraId="5175D446" w14:textId="25D42149" w:rsidR="00B910A3" w:rsidRDefault="00B910A3" w:rsidP="00180BBF">
            <w:r>
              <w:t>modulus</w:t>
            </w:r>
          </w:p>
        </w:tc>
        <w:tc>
          <w:tcPr>
            <w:tcW w:w="821" w:type="dxa"/>
          </w:tcPr>
          <w:p w14:paraId="305D5B32" w14:textId="6BE546E2" w:rsidR="00B910A3" w:rsidRDefault="00B910A3" w:rsidP="00180BBF">
            <w:r>
              <w:t>int</w:t>
            </w:r>
          </w:p>
        </w:tc>
        <w:tc>
          <w:tcPr>
            <w:tcW w:w="1275" w:type="dxa"/>
          </w:tcPr>
          <w:p w14:paraId="088057DF" w14:textId="36038A4B" w:rsidR="00B910A3" w:rsidRDefault="00B910A3" w:rsidP="00180BBF">
            <w:r>
              <w:t>16</w:t>
            </w:r>
          </w:p>
        </w:tc>
        <w:tc>
          <w:tcPr>
            <w:tcW w:w="5926" w:type="dxa"/>
          </w:tcPr>
          <w:p w14:paraId="3EB7BD29" w14:textId="3D71A81F" w:rsidR="00B910A3" w:rsidRDefault="008277B5" w:rsidP="00180BBF">
            <w:r>
              <w:t xml:space="preserve">Defines the modulus value. </w:t>
            </w:r>
            <w:r w:rsidR="00724356">
              <w:t>Limited 2 to 16</w:t>
            </w:r>
          </w:p>
        </w:tc>
      </w:tr>
      <w:tr w:rsidR="00B910A3" w14:paraId="45C7F30E" w14:textId="77777777" w:rsidTr="0015403D">
        <w:tc>
          <w:tcPr>
            <w:tcW w:w="1301" w:type="dxa"/>
          </w:tcPr>
          <w:p w14:paraId="5F5EEF5B" w14:textId="561B0A5A" w:rsidR="00B910A3" w:rsidRDefault="002B368C" w:rsidP="00180BBF">
            <w:r>
              <w:t>format</w:t>
            </w:r>
          </w:p>
        </w:tc>
        <w:tc>
          <w:tcPr>
            <w:tcW w:w="821" w:type="dxa"/>
          </w:tcPr>
          <w:p w14:paraId="58116494" w14:textId="7908AC0B" w:rsidR="00B910A3" w:rsidRDefault="002B368C" w:rsidP="00180BBF">
            <w:proofErr w:type="spellStart"/>
            <w:r>
              <w:t>enum</w:t>
            </w:r>
            <w:proofErr w:type="spellEnd"/>
          </w:p>
        </w:tc>
        <w:tc>
          <w:tcPr>
            <w:tcW w:w="1275" w:type="dxa"/>
          </w:tcPr>
          <w:p w14:paraId="2E4C5889" w14:textId="02CBE0DE" w:rsidR="00B910A3" w:rsidRDefault="002B368C" w:rsidP="00180BBF">
            <w:proofErr w:type="spellStart"/>
            <w:r>
              <w:t>FixedText</w:t>
            </w:r>
            <w:proofErr w:type="spellEnd"/>
          </w:p>
        </w:tc>
        <w:tc>
          <w:tcPr>
            <w:tcW w:w="5926" w:type="dxa"/>
          </w:tcPr>
          <w:p w14:paraId="091718A5" w14:textId="77777777" w:rsidR="008277B5" w:rsidRDefault="008277B5" w:rsidP="00180BBF">
            <w:r>
              <w:t>Allowed values are:</w:t>
            </w:r>
          </w:p>
          <w:p w14:paraId="0A61C3A4" w14:textId="0064CAF6" w:rsidR="00B910A3" w:rsidRDefault="008277B5" w:rsidP="008277B5">
            <w:proofErr w:type="spellStart"/>
            <w:r>
              <w:lastRenderedPageBreak/>
              <w:t>FixedText</w:t>
            </w:r>
            <w:proofErr w:type="spellEnd"/>
            <w:r>
              <w:t xml:space="preserve"> - text provided with the </w:t>
            </w:r>
            <w:proofErr w:type="spellStart"/>
            <w:r w:rsidRPr="008277B5">
              <w:rPr>
                <w:i/>
                <w:iCs/>
              </w:rPr>
              <w:t>fixedText</w:t>
            </w:r>
            <w:proofErr w:type="spellEnd"/>
            <w:r>
              <w:t xml:space="preserve"> property.</w:t>
            </w:r>
            <w:r>
              <w:br/>
            </w:r>
            <w:proofErr w:type="spellStart"/>
            <w:r>
              <w:t>StateSet</w:t>
            </w:r>
            <w:proofErr w:type="spellEnd"/>
            <w:r>
              <w:t xml:space="preserve"> - text selected from the </w:t>
            </w:r>
            <w:proofErr w:type="spellStart"/>
            <w:r w:rsidRPr="008277B5">
              <w:rPr>
                <w:i/>
                <w:iCs/>
              </w:rPr>
              <w:t>stateSet</w:t>
            </w:r>
            <w:proofErr w:type="spellEnd"/>
            <w:r>
              <w:t xml:space="preserve"> property.</w:t>
            </w:r>
            <w:r>
              <w:br/>
            </w:r>
            <w:proofErr w:type="spellStart"/>
            <w:r>
              <w:t>PVText</w:t>
            </w:r>
            <w:proofErr w:type="spellEnd"/>
            <w:r>
              <w:t xml:space="preserve"> - only applies to </w:t>
            </w:r>
            <w:proofErr w:type="spellStart"/>
            <w:r>
              <w:t>QESimpleShate</w:t>
            </w:r>
            <w:proofErr w:type="spellEnd"/>
            <w:r>
              <w:t>.</w:t>
            </w:r>
            <w:r>
              <w:br/>
            </w:r>
            <w:proofErr w:type="spellStart"/>
            <w:r>
              <w:t>LocalEnumeration</w:t>
            </w:r>
            <w:proofErr w:type="spellEnd"/>
            <w:r>
              <w:t xml:space="preserve"> - only applies to </w:t>
            </w:r>
            <w:proofErr w:type="spellStart"/>
            <w:r>
              <w:t>QESimpleShate</w:t>
            </w:r>
            <w:proofErr w:type="spellEnd"/>
            <w:r>
              <w:t>.</w:t>
            </w:r>
          </w:p>
          <w:p w14:paraId="41ED4048" w14:textId="639B1F4F" w:rsidR="008277B5" w:rsidRDefault="008277B5" w:rsidP="00180BBF"/>
        </w:tc>
      </w:tr>
      <w:tr w:rsidR="00B910A3" w14:paraId="484E16DD" w14:textId="77777777" w:rsidTr="0015403D">
        <w:tc>
          <w:tcPr>
            <w:tcW w:w="1301" w:type="dxa"/>
          </w:tcPr>
          <w:p w14:paraId="51851514" w14:textId="40A552EF" w:rsidR="00B910A3" w:rsidRDefault="008277B5" w:rsidP="00180BBF">
            <w:proofErr w:type="spellStart"/>
            <w:r>
              <w:lastRenderedPageBreak/>
              <w:t>fixedText</w:t>
            </w:r>
            <w:proofErr w:type="spellEnd"/>
          </w:p>
        </w:tc>
        <w:tc>
          <w:tcPr>
            <w:tcW w:w="821" w:type="dxa"/>
          </w:tcPr>
          <w:p w14:paraId="79868C29" w14:textId="17F75D72" w:rsidR="00B910A3" w:rsidRDefault="008277B5" w:rsidP="00180BBF">
            <w:r>
              <w:t>string</w:t>
            </w:r>
          </w:p>
        </w:tc>
        <w:tc>
          <w:tcPr>
            <w:tcW w:w="1275" w:type="dxa"/>
          </w:tcPr>
          <w:p w14:paraId="39BBF050" w14:textId="76E826CB" w:rsidR="00B910A3" w:rsidRDefault="00B910A3" w:rsidP="00180BBF"/>
        </w:tc>
        <w:tc>
          <w:tcPr>
            <w:tcW w:w="5926" w:type="dxa"/>
          </w:tcPr>
          <w:p w14:paraId="79FF0ACB" w14:textId="248ED387" w:rsidR="00B910A3" w:rsidRDefault="008277B5" w:rsidP="00180BBF">
            <w:r>
              <w:t>Defines the fixed text</w:t>
            </w:r>
          </w:p>
        </w:tc>
      </w:tr>
      <w:tr w:rsidR="002B368C" w14:paraId="319E8A52" w14:textId="77777777" w:rsidTr="0015403D">
        <w:tc>
          <w:tcPr>
            <w:tcW w:w="1301" w:type="dxa"/>
          </w:tcPr>
          <w:p w14:paraId="06CD6B46" w14:textId="72D45805" w:rsidR="002B368C" w:rsidRDefault="006B0BC4" w:rsidP="00180BBF">
            <w:proofErr w:type="spellStart"/>
            <w:r>
              <w:t>stateSet</w:t>
            </w:r>
            <w:proofErr w:type="spellEnd"/>
          </w:p>
        </w:tc>
        <w:tc>
          <w:tcPr>
            <w:tcW w:w="821" w:type="dxa"/>
          </w:tcPr>
          <w:p w14:paraId="11990F9C" w14:textId="435E9BBE" w:rsidR="002B368C" w:rsidRDefault="006B0BC4" w:rsidP="00180BBF">
            <w:r>
              <w:t>string list</w:t>
            </w:r>
          </w:p>
        </w:tc>
        <w:tc>
          <w:tcPr>
            <w:tcW w:w="1275" w:type="dxa"/>
          </w:tcPr>
          <w:p w14:paraId="37F88979" w14:textId="77777777" w:rsidR="002B368C" w:rsidRDefault="002B368C" w:rsidP="00180BBF"/>
        </w:tc>
        <w:tc>
          <w:tcPr>
            <w:tcW w:w="5926" w:type="dxa"/>
          </w:tcPr>
          <w:p w14:paraId="54BEAA77" w14:textId="4DCEFEE5" w:rsidR="002B368C" w:rsidRDefault="006B0BC4" w:rsidP="00180BBF">
            <w:r>
              <w:t xml:space="preserve">Defines </w:t>
            </w:r>
            <w:proofErr w:type="spellStart"/>
            <w:r>
              <w:t>upto</w:t>
            </w:r>
            <w:proofErr w:type="spellEnd"/>
            <w:r>
              <w:t xml:space="preserve"> 16 state values. Selected text depends on the </w:t>
            </w:r>
            <w:r w:rsidRPr="006B0BC4">
              <w:rPr>
                <w:i/>
                <w:iCs/>
              </w:rPr>
              <w:t>value</w:t>
            </w:r>
            <w:r>
              <w:t xml:space="preserve"> and </w:t>
            </w:r>
            <w:r w:rsidRPr="006B0BC4">
              <w:rPr>
                <w:i/>
                <w:iCs/>
              </w:rPr>
              <w:t>modulus</w:t>
            </w:r>
            <w:r>
              <w:t xml:space="preserve"> properties.</w:t>
            </w:r>
          </w:p>
        </w:tc>
      </w:tr>
      <w:tr w:rsidR="002B368C" w14:paraId="10DDBAA4" w14:textId="77777777" w:rsidTr="0015403D">
        <w:tc>
          <w:tcPr>
            <w:tcW w:w="1301" w:type="dxa"/>
          </w:tcPr>
          <w:p w14:paraId="7371A67A" w14:textId="432B8C7F" w:rsidR="002B368C" w:rsidRDefault="00531C52" w:rsidP="00180BBF">
            <w:r>
              <w:t>alignment</w:t>
            </w:r>
          </w:p>
        </w:tc>
        <w:tc>
          <w:tcPr>
            <w:tcW w:w="821" w:type="dxa"/>
          </w:tcPr>
          <w:p w14:paraId="6A0C88A9" w14:textId="535D731E" w:rsidR="002B368C" w:rsidRDefault="00531C52" w:rsidP="00180BBF">
            <w:proofErr w:type="spellStart"/>
            <w:r>
              <w:t>enums</w:t>
            </w:r>
            <w:proofErr w:type="spellEnd"/>
          </w:p>
        </w:tc>
        <w:tc>
          <w:tcPr>
            <w:tcW w:w="1275" w:type="dxa"/>
          </w:tcPr>
          <w:p w14:paraId="7DE39C6C" w14:textId="4F8EA054" w:rsidR="002B368C" w:rsidRDefault="00531C52" w:rsidP="00180BBF">
            <w:proofErr w:type="spellStart"/>
            <w:r>
              <w:t>AlignHCenter</w:t>
            </w:r>
            <w:proofErr w:type="spellEnd"/>
            <w:r>
              <w:t>,</w:t>
            </w:r>
            <w:r>
              <w:br/>
            </w:r>
            <w:proofErr w:type="spellStart"/>
            <w:r>
              <w:t>AlignVCenter</w:t>
            </w:r>
            <w:proofErr w:type="spellEnd"/>
          </w:p>
        </w:tc>
        <w:tc>
          <w:tcPr>
            <w:tcW w:w="5926" w:type="dxa"/>
          </w:tcPr>
          <w:p w14:paraId="1FF4E40E" w14:textId="3A08AA1F" w:rsidR="002B368C" w:rsidRDefault="00531C52" w:rsidP="00180BBF">
            <w:r>
              <w:t>Controls the text alignment with the widget.</w:t>
            </w:r>
          </w:p>
        </w:tc>
      </w:tr>
      <w:tr w:rsidR="002B368C" w14:paraId="0FF8ACB8" w14:textId="77777777" w:rsidTr="0015403D">
        <w:tc>
          <w:tcPr>
            <w:tcW w:w="1301" w:type="dxa"/>
          </w:tcPr>
          <w:p w14:paraId="5E3B761A" w14:textId="7519AF94" w:rsidR="002B368C" w:rsidRDefault="00531C52" w:rsidP="00180BBF">
            <w:r>
              <w:t>indent</w:t>
            </w:r>
          </w:p>
        </w:tc>
        <w:tc>
          <w:tcPr>
            <w:tcW w:w="821" w:type="dxa"/>
          </w:tcPr>
          <w:p w14:paraId="2A2E9FC2" w14:textId="379733D0" w:rsidR="002B368C" w:rsidRDefault="00531C52" w:rsidP="00180BBF">
            <w:r>
              <w:t>int</w:t>
            </w:r>
          </w:p>
        </w:tc>
        <w:tc>
          <w:tcPr>
            <w:tcW w:w="1275" w:type="dxa"/>
          </w:tcPr>
          <w:p w14:paraId="59B3A6EC" w14:textId="3EAB7D31" w:rsidR="002B368C" w:rsidRDefault="00531C52" w:rsidP="00180BBF">
            <w:r>
              <w:t>6</w:t>
            </w:r>
          </w:p>
        </w:tc>
        <w:tc>
          <w:tcPr>
            <w:tcW w:w="5926" w:type="dxa"/>
          </w:tcPr>
          <w:p w14:paraId="5C179695" w14:textId="5B948861" w:rsidR="002B368C" w:rsidRDefault="00531C52" w:rsidP="00180BBF">
            <w:r>
              <w:t xml:space="preserve">Control the text indent (just like </w:t>
            </w:r>
            <w:proofErr w:type="spellStart"/>
            <w:r>
              <w:t>QLabel</w:t>
            </w:r>
            <w:proofErr w:type="spellEnd"/>
            <w:r>
              <w:t>)</w:t>
            </w:r>
          </w:p>
        </w:tc>
      </w:tr>
      <w:tr w:rsidR="002B368C" w14:paraId="0F883FD6" w14:textId="77777777" w:rsidTr="0015403D">
        <w:tc>
          <w:tcPr>
            <w:tcW w:w="1301" w:type="dxa"/>
          </w:tcPr>
          <w:p w14:paraId="5E88B6E1" w14:textId="25365512" w:rsidR="002B368C" w:rsidRDefault="00531C52" w:rsidP="00180BBF">
            <w:proofErr w:type="spellStart"/>
            <w:r>
              <w:t>flashRate</w:t>
            </w:r>
            <w:proofErr w:type="spellEnd"/>
          </w:p>
        </w:tc>
        <w:tc>
          <w:tcPr>
            <w:tcW w:w="821" w:type="dxa"/>
          </w:tcPr>
          <w:p w14:paraId="3DDCC3A9" w14:textId="0464FD27" w:rsidR="002B368C" w:rsidRDefault="00531C52" w:rsidP="00180BBF">
            <w:proofErr w:type="spellStart"/>
            <w:r>
              <w:t>enum</w:t>
            </w:r>
            <w:proofErr w:type="spellEnd"/>
          </w:p>
        </w:tc>
        <w:tc>
          <w:tcPr>
            <w:tcW w:w="1275" w:type="dxa"/>
          </w:tcPr>
          <w:p w14:paraId="594AEFC7" w14:textId="559F7D9D" w:rsidR="002B368C" w:rsidRDefault="00531C52" w:rsidP="00180BBF">
            <w:r>
              <w:t>Medium</w:t>
            </w:r>
          </w:p>
        </w:tc>
        <w:tc>
          <w:tcPr>
            <w:tcW w:w="5926" w:type="dxa"/>
          </w:tcPr>
          <w:p w14:paraId="2ADD86C7" w14:textId="308F1759" w:rsidR="002B368C" w:rsidRDefault="00531C52" w:rsidP="00531C52">
            <w:pPr>
              <w:tabs>
                <w:tab w:val="center" w:pos="2763"/>
              </w:tabs>
            </w:pPr>
            <w:r>
              <w:t xml:space="preserve">Allowed values are Very Slow, Slow, Medium, Fast and </w:t>
            </w:r>
            <w:proofErr w:type="spellStart"/>
            <w:r>
              <w:t>VeryFast</w:t>
            </w:r>
            <w:proofErr w:type="spellEnd"/>
            <w:r>
              <w:t xml:space="preserve">. Controls rate at which the widget alternates between the </w:t>
            </w:r>
            <w:proofErr w:type="spellStart"/>
            <w:r w:rsidRPr="00531C52">
              <w:rPr>
                <w:i/>
                <w:iCs/>
              </w:rPr>
              <w:t>flashOffColour</w:t>
            </w:r>
            <w:proofErr w:type="spellEnd"/>
            <w:r>
              <w:t xml:space="preserve"> and the normal colour.</w:t>
            </w:r>
            <w:r w:rsidR="00C208AD">
              <w:t xml:space="preserve"> </w:t>
            </w:r>
            <w:r w:rsidR="00C208AD">
              <w:t xml:space="preserve">These currently correspond to flashing rates of 0.25Hz, 0.5Hz, 1Hz, 2Hz and </w:t>
            </w:r>
            <w:proofErr w:type="gramStart"/>
            <w:r w:rsidR="00C208AD">
              <w:t>4Hz</w:t>
            </w:r>
            <w:proofErr w:type="gramEnd"/>
            <w:r w:rsidR="00C208AD">
              <w:t xml:space="preserve"> respectively</w:t>
            </w:r>
            <w:r w:rsidR="00C208AD">
              <w:t>.</w:t>
            </w:r>
          </w:p>
        </w:tc>
      </w:tr>
      <w:tr w:rsidR="00531C52" w14:paraId="46DD03CC" w14:textId="77777777" w:rsidTr="0015403D">
        <w:tc>
          <w:tcPr>
            <w:tcW w:w="1301" w:type="dxa"/>
          </w:tcPr>
          <w:p w14:paraId="20AE7410" w14:textId="302EF5CA" w:rsidR="00531C52" w:rsidRDefault="00DC4F26" w:rsidP="00180BBF">
            <w:proofErr w:type="spellStart"/>
            <w:r>
              <w:t>isActive</w:t>
            </w:r>
            <w:proofErr w:type="spellEnd"/>
          </w:p>
        </w:tc>
        <w:tc>
          <w:tcPr>
            <w:tcW w:w="821" w:type="dxa"/>
          </w:tcPr>
          <w:p w14:paraId="5FA75710" w14:textId="6028CF47" w:rsidR="00531C52" w:rsidRDefault="00DC4F26" w:rsidP="00180BBF">
            <w:r>
              <w:t>bool</w:t>
            </w:r>
          </w:p>
        </w:tc>
        <w:tc>
          <w:tcPr>
            <w:tcW w:w="1275" w:type="dxa"/>
          </w:tcPr>
          <w:p w14:paraId="31C3E511" w14:textId="1F4E14BD" w:rsidR="00531C52" w:rsidRDefault="00DC4F26" w:rsidP="00180BBF">
            <w:r>
              <w:t>true</w:t>
            </w:r>
          </w:p>
        </w:tc>
        <w:tc>
          <w:tcPr>
            <w:tcW w:w="5926" w:type="dxa"/>
          </w:tcPr>
          <w:p w14:paraId="4337985D" w14:textId="68367702" w:rsidR="00531C52" w:rsidRDefault="00DC4F26" w:rsidP="00180BBF">
            <w:r>
              <w:t xml:space="preserve">When </w:t>
            </w:r>
            <w:proofErr w:type="spellStart"/>
            <w:proofErr w:type="gramStart"/>
            <w:r w:rsidRPr="00DC4F26">
              <w:rPr>
                <w:i/>
                <w:iCs/>
              </w:rPr>
              <w:t>isActive</w:t>
            </w:r>
            <w:proofErr w:type="spellEnd"/>
            <w:r>
              <w:t xml:space="preserve">  is</w:t>
            </w:r>
            <w:proofErr w:type="gramEnd"/>
            <w:r>
              <w:t xml:space="preserve"> unchecked/set false, all colours are greyed out</w:t>
            </w:r>
          </w:p>
        </w:tc>
      </w:tr>
      <w:tr w:rsidR="00531C52" w14:paraId="775F28F5" w14:textId="77777777" w:rsidTr="0015403D">
        <w:tc>
          <w:tcPr>
            <w:tcW w:w="1301" w:type="dxa"/>
          </w:tcPr>
          <w:p w14:paraId="44516C77" w14:textId="3B3871FF" w:rsidR="00531C52" w:rsidRDefault="00DC4F26" w:rsidP="00180BBF">
            <w:proofErr w:type="spellStart"/>
            <w:r>
              <w:t>edgeColour</w:t>
            </w:r>
            <w:proofErr w:type="spellEnd"/>
          </w:p>
        </w:tc>
        <w:tc>
          <w:tcPr>
            <w:tcW w:w="821" w:type="dxa"/>
          </w:tcPr>
          <w:p w14:paraId="02BAF09E" w14:textId="021EA5A1" w:rsidR="00531C52" w:rsidRDefault="00DC4F26" w:rsidP="00180BBF">
            <w:r>
              <w:t>colour</w:t>
            </w:r>
          </w:p>
        </w:tc>
        <w:tc>
          <w:tcPr>
            <w:tcW w:w="1275" w:type="dxa"/>
          </w:tcPr>
          <w:p w14:paraId="58AD99A4" w14:textId="10718A70" w:rsidR="00531C52" w:rsidRDefault="00DC4F26" w:rsidP="00180BBF">
            <w:r>
              <w:t>black</w:t>
            </w:r>
          </w:p>
        </w:tc>
        <w:tc>
          <w:tcPr>
            <w:tcW w:w="5926" w:type="dxa"/>
          </w:tcPr>
          <w:p w14:paraId="16EC03EC" w14:textId="2E8AE956" w:rsidR="00531C52" w:rsidRDefault="00DC4F26" w:rsidP="00180BBF">
            <w:r>
              <w:t>This defines the colour of the shape’s boundary</w:t>
            </w:r>
          </w:p>
        </w:tc>
      </w:tr>
      <w:tr w:rsidR="00531C52" w14:paraId="62414EB6" w14:textId="77777777" w:rsidTr="0015403D">
        <w:tc>
          <w:tcPr>
            <w:tcW w:w="1301" w:type="dxa"/>
          </w:tcPr>
          <w:p w14:paraId="3F3C8BE0" w14:textId="03C9589A" w:rsidR="00531C52" w:rsidRDefault="00F90A7F" w:rsidP="00180BBF">
            <w:proofErr w:type="spellStart"/>
            <w:r>
              <w:t>flashOffColour</w:t>
            </w:r>
            <w:proofErr w:type="spellEnd"/>
          </w:p>
        </w:tc>
        <w:tc>
          <w:tcPr>
            <w:tcW w:w="821" w:type="dxa"/>
          </w:tcPr>
          <w:p w14:paraId="10CED589" w14:textId="343D7275" w:rsidR="00531C52" w:rsidRDefault="00F90A7F" w:rsidP="00180BBF">
            <w:r>
              <w:t>colour</w:t>
            </w:r>
          </w:p>
        </w:tc>
        <w:tc>
          <w:tcPr>
            <w:tcW w:w="1275" w:type="dxa"/>
          </w:tcPr>
          <w:p w14:paraId="69E2B558" w14:textId="26943CA4" w:rsidR="00531C52" w:rsidRDefault="00F90A7F" w:rsidP="00180BBF">
            <w:r>
              <w:t>grey, alpha=0</w:t>
            </w:r>
          </w:p>
        </w:tc>
        <w:tc>
          <w:tcPr>
            <w:tcW w:w="5926" w:type="dxa"/>
          </w:tcPr>
          <w:p w14:paraId="3953E33C" w14:textId="68D37652" w:rsidR="00531C52" w:rsidRDefault="00F90A7F" w:rsidP="00180BBF">
            <w:r>
              <w:t>Specified the alternative colour when flashing</w:t>
            </w:r>
          </w:p>
        </w:tc>
      </w:tr>
      <w:tr w:rsidR="00F90A7F" w14:paraId="07F48B22" w14:textId="77777777" w:rsidTr="0015403D">
        <w:tc>
          <w:tcPr>
            <w:tcW w:w="1301" w:type="dxa"/>
          </w:tcPr>
          <w:p w14:paraId="76B965F7" w14:textId="6BA55944" w:rsidR="00F90A7F" w:rsidRDefault="00F90A7F" w:rsidP="00180BBF">
            <w:proofErr w:type="spellStart"/>
            <w:r>
              <w:t>colour</w:t>
            </w:r>
            <w:r w:rsidRPr="00F90A7F">
              <w:rPr>
                <w:i/>
                <w:iCs/>
              </w:rPr>
              <w:t>N</w:t>
            </w:r>
            <w:proofErr w:type="spellEnd"/>
          </w:p>
        </w:tc>
        <w:tc>
          <w:tcPr>
            <w:tcW w:w="821" w:type="dxa"/>
          </w:tcPr>
          <w:p w14:paraId="4189A160" w14:textId="7B55ECC5" w:rsidR="00F90A7F" w:rsidRDefault="00F90A7F" w:rsidP="00180BBF">
            <w:r>
              <w:t>colour</w:t>
            </w:r>
          </w:p>
        </w:tc>
        <w:tc>
          <w:tcPr>
            <w:tcW w:w="1275" w:type="dxa"/>
          </w:tcPr>
          <w:p w14:paraId="5800C866" w14:textId="3FEAA5C0" w:rsidR="00F90A7F" w:rsidRDefault="00F90A7F" w:rsidP="00180BBF">
            <w:r>
              <w:t>grey</w:t>
            </w:r>
          </w:p>
        </w:tc>
        <w:tc>
          <w:tcPr>
            <w:tcW w:w="5926" w:type="dxa"/>
          </w:tcPr>
          <w:p w14:paraId="5054E32D" w14:textId="77777777" w:rsidR="00F90A7F" w:rsidRDefault="00F90A7F" w:rsidP="00180BBF">
            <w:r w:rsidRPr="00F90A7F">
              <w:rPr>
                <w:i/>
                <w:iCs/>
              </w:rPr>
              <w:t>N</w:t>
            </w:r>
            <w:r>
              <w:t xml:space="preserve"> is in the range 0 to 15.</w:t>
            </w:r>
          </w:p>
          <w:p w14:paraId="4AF76220" w14:textId="020D391E" w:rsidR="00F90A7F" w:rsidRDefault="00F90A7F" w:rsidP="00180BBF">
            <w:r>
              <w:t>These 16 properties assign the colour used.</w:t>
            </w:r>
          </w:p>
          <w:p w14:paraId="3114D9CE" w14:textId="4A2FEE64" w:rsidR="00F90A7F" w:rsidRDefault="00F90A7F" w:rsidP="00180BBF">
            <w:r>
              <w:t>The s</w:t>
            </w:r>
            <w:r>
              <w:t xml:space="preserve">elected </w:t>
            </w:r>
            <w:r>
              <w:t>colour</w:t>
            </w:r>
            <w:r>
              <w:t xml:space="preserve"> depends on the </w:t>
            </w:r>
            <w:r w:rsidRPr="006B0BC4">
              <w:rPr>
                <w:i/>
                <w:iCs/>
              </w:rPr>
              <w:t>value</w:t>
            </w:r>
            <w:r>
              <w:t xml:space="preserve"> and </w:t>
            </w:r>
            <w:r w:rsidRPr="006B0BC4">
              <w:rPr>
                <w:i/>
                <w:iCs/>
              </w:rPr>
              <w:t>modulus</w:t>
            </w:r>
            <w:r>
              <w:t xml:space="preserve"> properties.</w:t>
            </w:r>
          </w:p>
        </w:tc>
      </w:tr>
      <w:tr w:rsidR="00F90A7F" w14:paraId="0C5FA355" w14:textId="77777777" w:rsidTr="0015403D">
        <w:tc>
          <w:tcPr>
            <w:tcW w:w="1301" w:type="dxa"/>
          </w:tcPr>
          <w:p w14:paraId="57D219DD" w14:textId="15E85921" w:rsidR="00F90A7F" w:rsidRDefault="00F90A7F" w:rsidP="00180BBF">
            <w:proofErr w:type="spellStart"/>
            <w:r>
              <w:t>flash</w:t>
            </w:r>
            <w:r w:rsidRPr="00F90A7F">
              <w:rPr>
                <w:i/>
                <w:iCs/>
              </w:rPr>
              <w:t>N</w:t>
            </w:r>
            <w:proofErr w:type="spellEnd"/>
          </w:p>
        </w:tc>
        <w:tc>
          <w:tcPr>
            <w:tcW w:w="821" w:type="dxa"/>
          </w:tcPr>
          <w:p w14:paraId="3237154B" w14:textId="77F84D6A" w:rsidR="00F90A7F" w:rsidRDefault="00F90A7F" w:rsidP="00180BBF">
            <w:r>
              <w:t>bool</w:t>
            </w:r>
          </w:p>
        </w:tc>
        <w:tc>
          <w:tcPr>
            <w:tcW w:w="1275" w:type="dxa"/>
          </w:tcPr>
          <w:p w14:paraId="0638A834" w14:textId="1B2E280A" w:rsidR="00F90A7F" w:rsidRDefault="00F90A7F" w:rsidP="00180BBF">
            <w:r>
              <w:t>false</w:t>
            </w:r>
          </w:p>
        </w:tc>
        <w:tc>
          <w:tcPr>
            <w:tcW w:w="5926" w:type="dxa"/>
          </w:tcPr>
          <w:p w14:paraId="3B79AD6B" w14:textId="77777777" w:rsidR="00F90A7F" w:rsidRDefault="00F90A7F" w:rsidP="00F90A7F">
            <w:r w:rsidRPr="00F90A7F">
              <w:rPr>
                <w:i/>
                <w:iCs/>
              </w:rPr>
              <w:t>N</w:t>
            </w:r>
            <w:r>
              <w:t xml:space="preserve"> is in the range 0 to 15.</w:t>
            </w:r>
          </w:p>
          <w:p w14:paraId="46999115" w14:textId="59DB3592" w:rsidR="00F90A7F" w:rsidRDefault="00F90A7F" w:rsidP="00180BBF">
            <w:r>
              <w:t>These 16 properties indicate if flashing applied to the selected state.</w:t>
            </w:r>
          </w:p>
        </w:tc>
      </w:tr>
    </w:tbl>
    <w:p w14:paraId="263B2F7B" w14:textId="1D34DF41" w:rsidR="00F33CB7" w:rsidRDefault="00F33CB7" w:rsidP="00180BBF"/>
    <w:p w14:paraId="1065925D" w14:textId="623E09F7" w:rsidR="00F33CB7" w:rsidRDefault="00F33CB7" w:rsidP="00180BBF"/>
    <w:p w14:paraId="0111378E" w14:textId="77777777" w:rsidR="00F33CB7" w:rsidRDefault="00F33CB7" w:rsidP="00180BBF"/>
    <w:p w14:paraId="40996D6F" w14:textId="3B99A1E5" w:rsidR="009128C2" w:rsidRDefault="00180BBF" w:rsidP="009128C2">
      <w:pPr>
        <w:pStyle w:val="Heading1"/>
      </w:pPr>
      <w:bookmarkStart w:id="9" w:name="_Toc26970980"/>
      <w:bookmarkStart w:id="10" w:name="_Toc150955914"/>
      <w:r>
        <w:t>QE</w:t>
      </w:r>
      <w:r w:rsidR="00D34572">
        <w:t>SimpleShape</w:t>
      </w:r>
      <w:bookmarkEnd w:id="9"/>
      <w:bookmarkEnd w:id="10"/>
    </w:p>
    <w:p w14:paraId="59080D98" w14:textId="77777777" w:rsidR="009128C2" w:rsidRPr="009128C2" w:rsidRDefault="009128C2" w:rsidP="009128C2">
      <w:pPr>
        <w:pStyle w:val="Heading2"/>
      </w:pPr>
      <w:bookmarkStart w:id="11" w:name="_Toc150955915"/>
      <w:r>
        <w:t>Description</w:t>
      </w:r>
      <w:bookmarkEnd w:id="11"/>
    </w:p>
    <w:p w14:paraId="4DB3A5F7" w14:textId="3F8B9262" w:rsidR="00C208AD" w:rsidRDefault="001C4500" w:rsidP="00974051">
      <w:r>
        <w:t xml:space="preserve">The </w:t>
      </w:r>
      <w:r w:rsidR="00180BBF">
        <w:t>QE</w:t>
      </w:r>
      <w:r w:rsidR="00D34572">
        <w:t>SimpleShape</w:t>
      </w:r>
      <w:r w:rsidR="00180BBF">
        <w:t xml:space="preserve"> </w:t>
      </w:r>
      <w:r>
        <w:t xml:space="preserve">inherits directly from QSimpleShape. </w:t>
      </w:r>
      <w:r w:rsidR="00974051">
        <w:t xml:space="preserve">The QESimpleShape widget is an EPICS aware widget which uses either the alarm state or the value of a single PV to determine the colour of the shape. It displays alarm state by default. </w:t>
      </w:r>
    </w:p>
    <w:p w14:paraId="6473D82C" w14:textId="77777777" w:rsidR="00974051" w:rsidRDefault="00974051" w:rsidP="00974051">
      <w:r>
        <w:t xml:space="preserve">When the </w:t>
      </w:r>
      <w:proofErr w:type="spellStart"/>
      <w:r w:rsidRPr="00F62DB6">
        <w:rPr>
          <w:i/>
        </w:rPr>
        <w:t>displayAlarmStateOption</w:t>
      </w:r>
      <w:proofErr w:type="spellEnd"/>
      <w:r>
        <w:t xml:space="preserve"> property is set to ‘Always’ (the default) or is set to ‘</w:t>
      </w:r>
      <w:proofErr w:type="spellStart"/>
      <w:r>
        <w:t>WhenInAlarm</w:t>
      </w:r>
      <w:proofErr w:type="spellEnd"/>
      <w:r>
        <w:t xml:space="preserve">’ and the PV is in an alarm state, the colour of the widget is determined by the alarm state of the PV. </w:t>
      </w:r>
      <w:r>
        <w:lastRenderedPageBreak/>
        <w:t>Standard framework alarm colours are used, i.e. green for no alarm, yellow for minor alarm, red for major alarm and white for invalid alarm.</w:t>
      </w:r>
    </w:p>
    <w:p w14:paraId="4B390CBD" w14:textId="77777777" w:rsidR="00974051" w:rsidRDefault="00974051" w:rsidP="00974051">
      <w:r>
        <w:t xml:space="preserve">When the </w:t>
      </w:r>
      <w:proofErr w:type="spellStart"/>
      <w:r w:rsidRPr="00F62DB6">
        <w:rPr>
          <w:i/>
        </w:rPr>
        <w:t>displayAlarmStateOption</w:t>
      </w:r>
      <w:proofErr w:type="spellEnd"/>
      <w:r>
        <w:t xml:space="preserve"> property is set ‘Never’, the value of the PV is used to select a colour from a set of 16 colour properties, i.e. color0, colour1, and so on to colour15. The value of the PV must be capable of being interpreted as an integer. Modulo arithmetic is used to ensure the PV value yields a number in the range. The modulus property (range 2 to 16, default 16) defines the modulo arithmetic behaviour. The widget has an </w:t>
      </w:r>
      <w:proofErr w:type="spellStart"/>
      <w:r>
        <w:t>arrayIndex</w:t>
      </w:r>
      <w:proofErr w:type="spellEnd"/>
      <w:r>
        <w:t xml:space="preserve"> property that can be used to select a single element from an array of data to provide the state value. The default array index value is 0.</w:t>
      </w:r>
    </w:p>
    <w:p w14:paraId="17532BC0" w14:textId="77777777" w:rsidR="00974051" w:rsidRDefault="00974051" w:rsidP="00974051">
      <w:r>
        <w:t xml:space="preserve">All states that are flashing use the same flash rate and the same flash off colour. Even when the </w:t>
      </w:r>
      <w:proofErr w:type="spellStart"/>
      <w:r w:rsidRPr="00F62DB6">
        <w:rPr>
          <w:i/>
        </w:rPr>
        <w:t>displayAlarmStateOption</w:t>
      </w:r>
      <w:proofErr w:type="spellEnd"/>
      <w:r>
        <w:t xml:space="preserve"> property is ‘Always’ or is ‘</w:t>
      </w:r>
      <w:proofErr w:type="spellStart"/>
      <w:r>
        <w:t>WhenInAlarm</w:t>
      </w:r>
      <w:proofErr w:type="spellEnd"/>
      <w:r>
        <w:t xml:space="preserve">’ and the variable is in an alarm state, i.e. the colour being derived from the PV alarm state, the is-flashing state is determined from the PV value. If flashing or not flashing by alarm state is required, one option would be to monitor a record’s SEVR field.  </w:t>
      </w:r>
    </w:p>
    <w:p w14:paraId="25EACEBD" w14:textId="77777777" w:rsidR="00974051" w:rsidRDefault="00974051" w:rsidP="009128C2"/>
    <w:p w14:paraId="4F5B65E5" w14:textId="77777777" w:rsidR="009128C2" w:rsidRPr="00BB0339" w:rsidRDefault="009128C2" w:rsidP="009128C2">
      <w:pPr>
        <w:pStyle w:val="Heading2"/>
      </w:pPr>
      <w:bookmarkStart w:id="12" w:name="_Toc150955916"/>
      <w:r>
        <w:t>Properties</w:t>
      </w:r>
      <w:bookmarkEnd w:id="12"/>
    </w:p>
    <w:p w14:paraId="73BF3EEA" w14:textId="7C8D00C4" w:rsidR="00D34572" w:rsidRDefault="00D34572" w:rsidP="00180BBF"/>
    <w:tbl>
      <w:tblPr>
        <w:tblStyle w:val="TableGrid"/>
        <w:tblW w:w="0" w:type="auto"/>
        <w:tblLook w:val="04A0" w:firstRow="1" w:lastRow="0" w:firstColumn="1" w:lastColumn="0" w:noHBand="0" w:noVBand="1"/>
      </w:tblPr>
      <w:tblGrid>
        <w:gridCol w:w="2456"/>
        <w:gridCol w:w="733"/>
        <w:gridCol w:w="959"/>
        <w:gridCol w:w="5175"/>
      </w:tblGrid>
      <w:tr w:rsidR="003C6CD6" w14:paraId="77C1F781" w14:textId="77777777" w:rsidTr="00EF2BF4">
        <w:tc>
          <w:tcPr>
            <w:tcW w:w="2456" w:type="dxa"/>
          </w:tcPr>
          <w:p w14:paraId="48DDBE84" w14:textId="050EBDB7" w:rsidR="00056344" w:rsidRPr="00056344" w:rsidRDefault="00056344" w:rsidP="00523C55">
            <w:pPr>
              <w:rPr>
                <w:b/>
                <w:bCs/>
              </w:rPr>
            </w:pPr>
            <w:r w:rsidRPr="00056344">
              <w:rPr>
                <w:b/>
                <w:bCs/>
              </w:rPr>
              <w:t>name</w:t>
            </w:r>
          </w:p>
        </w:tc>
        <w:tc>
          <w:tcPr>
            <w:tcW w:w="733" w:type="dxa"/>
          </w:tcPr>
          <w:p w14:paraId="7DE29AE7" w14:textId="04CAC50E" w:rsidR="00056344" w:rsidRPr="00056344" w:rsidRDefault="00056344" w:rsidP="00523C55">
            <w:pPr>
              <w:rPr>
                <w:b/>
                <w:bCs/>
              </w:rPr>
            </w:pPr>
            <w:r w:rsidRPr="00056344">
              <w:rPr>
                <w:b/>
                <w:bCs/>
              </w:rPr>
              <w:t>type</w:t>
            </w:r>
          </w:p>
        </w:tc>
        <w:tc>
          <w:tcPr>
            <w:tcW w:w="959" w:type="dxa"/>
          </w:tcPr>
          <w:p w14:paraId="795D7EA9" w14:textId="25BD4576" w:rsidR="00056344" w:rsidRPr="00056344" w:rsidRDefault="00056344" w:rsidP="00523C55">
            <w:pPr>
              <w:rPr>
                <w:b/>
                <w:bCs/>
              </w:rPr>
            </w:pPr>
            <w:r w:rsidRPr="00056344">
              <w:rPr>
                <w:b/>
                <w:bCs/>
              </w:rPr>
              <w:t>default</w:t>
            </w:r>
          </w:p>
        </w:tc>
        <w:tc>
          <w:tcPr>
            <w:tcW w:w="5175" w:type="dxa"/>
          </w:tcPr>
          <w:p w14:paraId="12D10538" w14:textId="4BC10405" w:rsidR="00056344" w:rsidRPr="00056344" w:rsidRDefault="00056344" w:rsidP="00523C55">
            <w:pPr>
              <w:rPr>
                <w:b/>
                <w:bCs/>
              </w:rPr>
            </w:pPr>
            <w:r w:rsidRPr="00056344">
              <w:rPr>
                <w:b/>
                <w:bCs/>
              </w:rPr>
              <w:t>description</w:t>
            </w:r>
          </w:p>
        </w:tc>
      </w:tr>
      <w:tr w:rsidR="003C6CD6" w14:paraId="287A9190" w14:textId="77777777" w:rsidTr="00EF2BF4">
        <w:tc>
          <w:tcPr>
            <w:tcW w:w="2456" w:type="dxa"/>
          </w:tcPr>
          <w:p w14:paraId="6740F89C" w14:textId="5D80C38E" w:rsidR="00056344" w:rsidRDefault="00056344" w:rsidP="00523C55">
            <w:r>
              <w:t>variable</w:t>
            </w:r>
          </w:p>
        </w:tc>
        <w:tc>
          <w:tcPr>
            <w:tcW w:w="733" w:type="dxa"/>
          </w:tcPr>
          <w:p w14:paraId="428E767A" w14:textId="79D7A8A8" w:rsidR="00056344" w:rsidRDefault="00A3335D" w:rsidP="00523C55">
            <w:r>
              <w:t>string</w:t>
            </w:r>
          </w:p>
        </w:tc>
        <w:tc>
          <w:tcPr>
            <w:tcW w:w="959" w:type="dxa"/>
          </w:tcPr>
          <w:p w14:paraId="6E63FF2F" w14:textId="77777777" w:rsidR="00056344" w:rsidRDefault="00056344" w:rsidP="00523C55"/>
        </w:tc>
        <w:tc>
          <w:tcPr>
            <w:tcW w:w="5175" w:type="dxa"/>
          </w:tcPr>
          <w:p w14:paraId="0D419840" w14:textId="77777777" w:rsidR="00056344" w:rsidRDefault="00056344" w:rsidP="00523C55"/>
        </w:tc>
      </w:tr>
      <w:tr w:rsidR="003C6CD6" w14:paraId="640460DA" w14:textId="77777777" w:rsidTr="00EF2BF4">
        <w:tc>
          <w:tcPr>
            <w:tcW w:w="2456" w:type="dxa"/>
          </w:tcPr>
          <w:p w14:paraId="012F11A4" w14:textId="7EA8EACA" w:rsidR="00056344" w:rsidRDefault="006D6293" w:rsidP="00523C55">
            <w:proofErr w:type="spellStart"/>
            <w:r>
              <w:t>v</w:t>
            </w:r>
            <w:r w:rsidR="00A3335D">
              <w:t>ariableSubstitution</w:t>
            </w:r>
            <w:proofErr w:type="spellEnd"/>
          </w:p>
        </w:tc>
        <w:tc>
          <w:tcPr>
            <w:tcW w:w="733" w:type="dxa"/>
          </w:tcPr>
          <w:p w14:paraId="05C46945" w14:textId="02F5D072" w:rsidR="00056344" w:rsidRDefault="00A3335D" w:rsidP="00523C55">
            <w:r>
              <w:t>string</w:t>
            </w:r>
          </w:p>
        </w:tc>
        <w:tc>
          <w:tcPr>
            <w:tcW w:w="959" w:type="dxa"/>
          </w:tcPr>
          <w:p w14:paraId="5B072161" w14:textId="77777777" w:rsidR="00056344" w:rsidRDefault="00056344" w:rsidP="00523C55"/>
        </w:tc>
        <w:tc>
          <w:tcPr>
            <w:tcW w:w="5175" w:type="dxa"/>
          </w:tcPr>
          <w:p w14:paraId="3B987D1C" w14:textId="6E127FA2" w:rsidR="00056344" w:rsidRDefault="00A3335D" w:rsidP="00523C55">
            <w:r>
              <w:t>Provided lowest-priority default macro substitutions</w:t>
            </w:r>
          </w:p>
        </w:tc>
      </w:tr>
      <w:tr w:rsidR="003C6CD6" w14:paraId="73002EF2" w14:textId="77777777" w:rsidTr="00EF2BF4">
        <w:tc>
          <w:tcPr>
            <w:tcW w:w="2456" w:type="dxa"/>
          </w:tcPr>
          <w:p w14:paraId="1704888E" w14:textId="54D4581C" w:rsidR="00056344" w:rsidRDefault="006D6293" w:rsidP="00523C55">
            <w:proofErr w:type="spellStart"/>
            <w:r>
              <w:t>elementsRequired</w:t>
            </w:r>
            <w:proofErr w:type="spellEnd"/>
          </w:p>
        </w:tc>
        <w:tc>
          <w:tcPr>
            <w:tcW w:w="733" w:type="dxa"/>
          </w:tcPr>
          <w:p w14:paraId="23F75EA5" w14:textId="2C28154D" w:rsidR="00056344" w:rsidRDefault="006D6293" w:rsidP="00523C55">
            <w:r>
              <w:t>int</w:t>
            </w:r>
          </w:p>
        </w:tc>
        <w:tc>
          <w:tcPr>
            <w:tcW w:w="959" w:type="dxa"/>
          </w:tcPr>
          <w:p w14:paraId="63F6961D" w14:textId="4E791691" w:rsidR="006D6293" w:rsidRDefault="006D6293" w:rsidP="00523C55">
            <w:r>
              <w:t>0</w:t>
            </w:r>
          </w:p>
        </w:tc>
        <w:tc>
          <w:tcPr>
            <w:tcW w:w="5175" w:type="dxa"/>
          </w:tcPr>
          <w:p w14:paraId="05E9BCE4" w14:textId="77777777" w:rsidR="00056344" w:rsidRDefault="00056344" w:rsidP="00523C55"/>
        </w:tc>
      </w:tr>
      <w:tr w:rsidR="003C6CD6" w14:paraId="0B5C9B6B" w14:textId="77777777" w:rsidTr="00EF2BF4">
        <w:tc>
          <w:tcPr>
            <w:tcW w:w="2456" w:type="dxa"/>
          </w:tcPr>
          <w:p w14:paraId="6915FBFD" w14:textId="51267E3A" w:rsidR="00056344" w:rsidRDefault="006D6293" w:rsidP="00523C55">
            <w:proofErr w:type="spellStart"/>
            <w:r>
              <w:t>arrayIndex</w:t>
            </w:r>
            <w:proofErr w:type="spellEnd"/>
          </w:p>
        </w:tc>
        <w:tc>
          <w:tcPr>
            <w:tcW w:w="733" w:type="dxa"/>
          </w:tcPr>
          <w:p w14:paraId="0B70FF57" w14:textId="7585C50F" w:rsidR="00056344" w:rsidRDefault="006D6293" w:rsidP="00523C55">
            <w:r>
              <w:t>int</w:t>
            </w:r>
          </w:p>
        </w:tc>
        <w:tc>
          <w:tcPr>
            <w:tcW w:w="959" w:type="dxa"/>
          </w:tcPr>
          <w:p w14:paraId="09006BB3" w14:textId="27E5C171" w:rsidR="00056344" w:rsidRDefault="006D6293" w:rsidP="00523C55">
            <w:r>
              <w:t>0</w:t>
            </w:r>
          </w:p>
        </w:tc>
        <w:tc>
          <w:tcPr>
            <w:tcW w:w="5175" w:type="dxa"/>
          </w:tcPr>
          <w:p w14:paraId="70306341" w14:textId="77777777" w:rsidR="00056344" w:rsidRDefault="00056344" w:rsidP="00523C55"/>
        </w:tc>
      </w:tr>
      <w:tr w:rsidR="003C6CD6" w14:paraId="6B291123" w14:textId="77777777" w:rsidTr="00EF2BF4">
        <w:tc>
          <w:tcPr>
            <w:tcW w:w="2456" w:type="dxa"/>
          </w:tcPr>
          <w:p w14:paraId="7AC31370" w14:textId="72377F7F" w:rsidR="00056344" w:rsidRDefault="006D6293" w:rsidP="00523C55">
            <w:proofErr w:type="spellStart"/>
            <w:r>
              <w:t>edgeVariable</w:t>
            </w:r>
            <w:proofErr w:type="spellEnd"/>
          </w:p>
        </w:tc>
        <w:tc>
          <w:tcPr>
            <w:tcW w:w="733" w:type="dxa"/>
          </w:tcPr>
          <w:p w14:paraId="28CD990A" w14:textId="6E001A1D" w:rsidR="00056344" w:rsidRDefault="006D6293" w:rsidP="00523C55">
            <w:r>
              <w:t>string</w:t>
            </w:r>
          </w:p>
        </w:tc>
        <w:tc>
          <w:tcPr>
            <w:tcW w:w="959" w:type="dxa"/>
          </w:tcPr>
          <w:p w14:paraId="7274D717" w14:textId="77777777" w:rsidR="00056344" w:rsidRDefault="00056344" w:rsidP="00523C55"/>
        </w:tc>
        <w:tc>
          <w:tcPr>
            <w:tcW w:w="5175" w:type="dxa"/>
          </w:tcPr>
          <w:p w14:paraId="076C91FB" w14:textId="77777777" w:rsidR="00056344" w:rsidRDefault="00056344" w:rsidP="00523C55"/>
        </w:tc>
      </w:tr>
      <w:tr w:rsidR="003C6CD6" w14:paraId="0CE97A8C" w14:textId="77777777" w:rsidTr="00EF2BF4">
        <w:tc>
          <w:tcPr>
            <w:tcW w:w="2456" w:type="dxa"/>
          </w:tcPr>
          <w:p w14:paraId="21836C72" w14:textId="794A4E37" w:rsidR="00056344" w:rsidRDefault="006D6293" w:rsidP="00523C55">
            <w:proofErr w:type="spellStart"/>
            <w:r>
              <w:t>edgeElementsRequired</w:t>
            </w:r>
            <w:proofErr w:type="spellEnd"/>
          </w:p>
        </w:tc>
        <w:tc>
          <w:tcPr>
            <w:tcW w:w="733" w:type="dxa"/>
          </w:tcPr>
          <w:p w14:paraId="49E4074A" w14:textId="7240B50E" w:rsidR="00056344" w:rsidRDefault="006D6293" w:rsidP="00523C55">
            <w:r>
              <w:t>int</w:t>
            </w:r>
          </w:p>
        </w:tc>
        <w:tc>
          <w:tcPr>
            <w:tcW w:w="959" w:type="dxa"/>
          </w:tcPr>
          <w:p w14:paraId="4BF86C5C" w14:textId="14F6CC17" w:rsidR="00056344" w:rsidRDefault="006D6293" w:rsidP="00523C55">
            <w:r>
              <w:t>0</w:t>
            </w:r>
          </w:p>
        </w:tc>
        <w:tc>
          <w:tcPr>
            <w:tcW w:w="5175" w:type="dxa"/>
          </w:tcPr>
          <w:p w14:paraId="1461F465" w14:textId="77777777" w:rsidR="00056344" w:rsidRDefault="00056344" w:rsidP="00523C55"/>
        </w:tc>
      </w:tr>
      <w:tr w:rsidR="003C6CD6" w14:paraId="0202A500" w14:textId="77777777" w:rsidTr="00EF2BF4">
        <w:tc>
          <w:tcPr>
            <w:tcW w:w="2456" w:type="dxa"/>
          </w:tcPr>
          <w:p w14:paraId="740EF4A5" w14:textId="608CBC77" w:rsidR="00056344" w:rsidRDefault="006D6293" w:rsidP="00523C55">
            <w:proofErr w:type="spellStart"/>
            <w:r>
              <w:t>edgeArrayindex</w:t>
            </w:r>
            <w:proofErr w:type="spellEnd"/>
          </w:p>
        </w:tc>
        <w:tc>
          <w:tcPr>
            <w:tcW w:w="733" w:type="dxa"/>
          </w:tcPr>
          <w:p w14:paraId="7CCC4916" w14:textId="185D8335" w:rsidR="00056344" w:rsidRDefault="006D6293" w:rsidP="00523C55">
            <w:r>
              <w:t>int</w:t>
            </w:r>
          </w:p>
        </w:tc>
        <w:tc>
          <w:tcPr>
            <w:tcW w:w="959" w:type="dxa"/>
          </w:tcPr>
          <w:p w14:paraId="441CC79B" w14:textId="5B004414" w:rsidR="00056344" w:rsidRDefault="006D6293" w:rsidP="00523C55">
            <w:r>
              <w:t>0</w:t>
            </w:r>
          </w:p>
        </w:tc>
        <w:tc>
          <w:tcPr>
            <w:tcW w:w="5175" w:type="dxa"/>
          </w:tcPr>
          <w:p w14:paraId="1F224D78" w14:textId="77777777" w:rsidR="00056344" w:rsidRDefault="00056344" w:rsidP="00523C55"/>
        </w:tc>
      </w:tr>
      <w:tr w:rsidR="00C9585F" w14:paraId="4A8089B4" w14:textId="77777777" w:rsidTr="00EF2BF4">
        <w:tc>
          <w:tcPr>
            <w:tcW w:w="2456" w:type="dxa"/>
          </w:tcPr>
          <w:p w14:paraId="0BAF5F54" w14:textId="57826935" w:rsidR="00C9585F" w:rsidRDefault="00C9585F" w:rsidP="00523C55">
            <w:proofErr w:type="spellStart"/>
            <w:r>
              <w:t>edgeAlarmStateOption</w:t>
            </w:r>
            <w:proofErr w:type="spellEnd"/>
          </w:p>
        </w:tc>
        <w:tc>
          <w:tcPr>
            <w:tcW w:w="733" w:type="dxa"/>
          </w:tcPr>
          <w:p w14:paraId="61E8C605" w14:textId="7E47B849" w:rsidR="00C9585F" w:rsidRDefault="00C9585F" w:rsidP="00523C55">
            <w:proofErr w:type="spellStart"/>
            <w:r>
              <w:t>enum</w:t>
            </w:r>
            <w:proofErr w:type="spellEnd"/>
          </w:p>
        </w:tc>
        <w:tc>
          <w:tcPr>
            <w:tcW w:w="959" w:type="dxa"/>
          </w:tcPr>
          <w:p w14:paraId="3A01A9F9" w14:textId="440C0997" w:rsidR="00C9585F" w:rsidRDefault="00C9585F" w:rsidP="00523C55">
            <w:r>
              <w:t>Always</w:t>
            </w:r>
          </w:p>
        </w:tc>
        <w:tc>
          <w:tcPr>
            <w:tcW w:w="5175" w:type="dxa"/>
          </w:tcPr>
          <w:p w14:paraId="6CE28E78" w14:textId="3392E4DA" w:rsidR="00C9585F" w:rsidRDefault="00EF2BF4" w:rsidP="00523C55">
            <w:r>
              <w:t xml:space="preserve">This is one Always, </w:t>
            </w:r>
            <w:proofErr w:type="spellStart"/>
            <w:r>
              <w:t>WhenInAlarm</w:t>
            </w:r>
            <w:proofErr w:type="spellEnd"/>
            <w:r>
              <w:t xml:space="preserve">, </w:t>
            </w:r>
            <w:proofErr w:type="spellStart"/>
            <w:r>
              <w:t>WhenInvalid</w:t>
            </w:r>
            <w:proofErr w:type="spellEnd"/>
            <w:r>
              <w:t xml:space="preserve">, </w:t>
            </w:r>
            <w:proofErr w:type="gramStart"/>
            <w:r>
              <w:t>Never</w:t>
            </w:r>
            <w:proofErr w:type="gramEnd"/>
            <w:r>
              <w:t>.</w:t>
            </w:r>
            <w:r>
              <w:br/>
              <w:t xml:space="preserve">Standard property – see </w:t>
            </w:r>
            <w:r w:rsidR="00FE2E0C">
              <w:t>general widget documentation and not below.</w:t>
            </w:r>
          </w:p>
        </w:tc>
      </w:tr>
      <w:tr w:rsidR="00C9585F" w14:paraId="38EB0F86" w14:textId="77777777" w:rsidTr="00EF2BF4">
        <w:tc>
          <w:tcPr>
            <w:tcW w:w="2456" w:type="dxa"/>
          </w:tcPr>
          <w:p w14:paraId="4359D8F5" w14:textId="2B6E0380" w:rsidR="00C9585F" w:rsidRDefault="003C6CD6" w:rsidP="00523C55">
            <w:proofErr w:type="spellStart"/>
            <w:r>
              <w:t>addUnits</w:t>
            </w:r>
            <w:proofErr w:type="spellEnd"/>
          </w:p>
        </w:tc>
        <w:tc>
          <w:tcPr>
            <w:tcW w:w="733" w:type="dxa"/>
          </w:tcPr>
          <w:p w14:paraId="68E50BB0" w14:textId="7AE76A24" w:rsidR="00C9585F" w:rsidRDefault="003C6CD6" w:rsidP="00523C55">
            <w:r>
              <w:t>bool</w:t>
            </w:r>
          </w:p>
        </w:tc>
        <w:tc>
          <w:tcPr>
            <w:tcW w:w="959" w:type="dxa"/>
          </w:tcPr>
          <w:p w14:paraId="35FE533A" w14:textId="2419F639" w:rsidR="00C9585F" w:rsidRDefault="003C6CD6" w:rsidP="00523C55">
            <w:r>
              <w:t>true</w:t>
            </w:r>
          </w:p>
        </w:tc>
        <w:tc>
          <w:tcPr>
            <w:tcW w:w="5175" w:type="dxa"/>
          </w:tcPr>
          <w:p w14:paraId="78CBAE4F" w14:textId="779E0AD5" w:rsidR="00C9585F" w:rsidRDefault="00FE2E0C" w:rsidP="00523C55">
            <w:r>
              <w:t>Controls if engineering units are appended to the PV text (</w:t>
            </w:r>
            <w:proofErr w:type="gramStart"/>
            <w:r>
              <w:t>provided that</w:t>
            </w:r>
            <w:proofErr w:type="gramEnd"/>
            <w:r>
              <w:t xml:space="preserve"> </w:t>
            </w:r>
            <w:r w:rsidRPr="00FE2E0C">
              <w:rPr>
                <w:i/>
                <w:iCs/>
              </w:rPr>
              <w:t>format</w:t>
            </w:r>
            <w:r>
              <w:t xml:space="preserve"> is </w:t>
            </w:r>
            <w:proofErr w:type="spellStart"/>
            <w:r>
              <w:t>PVText</w:t>
            </w:r>
            <w:proofErr w:type="spellEnd"/>
            <w:r>
              <w:t>).</w:t>
            </w:r>
          </w:p>
        </w:tc>
      </w:tr>
      <w:tr w:rsidR="00C9585F" w14:paraId="1DE79D2B" w14:textId="77777777" w:rsidTr="00EF2BF4">
        <w:tc>
          <w:tcPr>
            <w:tcW w:w="2456" w:type="dxa"/>
          </w:tcPr>
          <w:p w14:paraId="16AC1173" w14:textId="49725390" w:rsidR="00C9585F" w:rsidRDefault="003C6CD6" w:rsidP="00523C55">
            <w:proofErr w:type="spellStart"/>
            <w:r>
              <w:t>localEnumeration</w:t>
            </w:r>
            <w:proofErr w:type="spellEnd"/>
          </w:p>
        </w:tc>
        <w:tc>
          <w:tcPr>
            <w:tcW w:w="733" w:type="dxa"/>
          </w:tcPr>
          <w:p w14:paraId="62261AD4" w14:textId="2BD0DAED" w:rsidR="00C9585F" w:rsidRDefault="003C6CD6" w:rsidP="00523C55">
            <w:r>
              <w:t>string</w:t>
            </w:r>
          </w:p>
        </w:tc>
        <w:tc>
          <w:tcPr>
            <w:tcW w:w="959" w:type="dxa"/>
          </w:tcPr>
          <w:p w14:paraId="6AE01DBD" w14:textId="77777777" w:rsidR="00C9585F" w:rsidRDefault="00C9585F" w:rsidP="00523C55"/>
        </w:tc>
        <w:tc>
          <w:tcPr>
            <w:tcW w:w="5175" w:type="dxa"/>
          </w:tcPr>
          <w:p w14:paraId="32E1DCFD" w14:textId="10E94754" w:rsidR="00C9585F" w:rsidRDefault="00FE2E0C" w:rsidP="00523C55">
            <w:r>
              <w:t>Provides the local enumeration values (</w:t>
            </w:r>
            <w:proofErr w:type="gramStart"/>
            <w:r>
              <w:t>provided that</w:t>
            </w:r>
            <w:proofErr w:type="gramEnd"/>
            <w:r>
              <w:t xml:space="preserve"> </w:t>
            </w:r>
            <w:r w:rsidRPr="00FE2E0C">
              <w:rPr>
                <w:i/>
                <w:iCs/>
              </w:rPr>
              <w:t>format</w:t>
            </w:r>
            <w:r>
              <w:t xml:space="preserve"> is </w:t>
            </w:r>
            <w:proofErr w:type="spellStart"/>
            <w:r>
              <w:t>LocalEnumeration</w:t>
            </w:r>
            <w:proofErr w:type="spellEnd"/>
            <w:r>
              <w:t>).</w:t>
            </w:r>
          </w:p>
        </w:tc>
      </w:tr>
      <w:tr w:rsidR="00C9585F" w14:paraId="3531AE63" w14:textId="77777777" w:rsidTr="00EF2BF4">
        <w:tc>
          <w:tcPr>
            <w:tcW w:w="2456" w:type="dxa"/>
          </w:tcPr>
          <w:p w14:paraId="4328673C" w14:textId="4362B2B5" w:rsidR="00C9585F" w:rsidRDefault="003C6CD6" w:rsidP="00523C55">
            <w:proofErr w:type="spellStart"/>
            <w:r>
              <w:t>variableAsToolTip</w:t>
            </w:r>
            <w:proofErr w:type="spellEnd"/>
          </w:p>
        </w:tc>
        <w:tc>
          <w:tcPr>
            <w:tcW w:w="733" w:type="dxa"/>
          </w:tcPr>
          <w:p w14:paraId="000D30E2" w14:textId="5132D865" w:rsidR="00C9585F" w:rsidRDefault="003C6CD6" w:rsidP="00523C55">
            <w:r>
              <w:t>bool</w:t>
            </w:r>
          </w:p>
        </w:tc>
        <w:tc>
          <w:tcPr>
            <w:tcW w:w="959" w:type="dxa"/>
          </w:tcPr>
          <w:p w14:paraId="1518F78A" w14:textId="4D54AC8E" w:rsidR="00C9585F" w:rsidRDefault="00CF0639" w:rsidP="00523C55">
            <w:r>
              <w:t>true</w:t>
            </w:r>
          </w:p>
        </w:tc>
        <w:tc>
          <w:tcPr>
            <w:tcW w:w="5175" w:type="dxa"/>
          </w:tcPr>
          <w:p w14:paraId="79DD2DC4" w14:textId="323C0973" w:rsidR="00C9585F" w:rsidRDefault="00FE2E0C" w:rsidP="00523C55">
            <w:r>
              <w:t>Standard framework property</w:t>
            </w:r>
          </w:p>
        </w:tc>
      </w:tr>
      <w:tr w:rsidR="00C9585F" w14:paraId="5ED43AB2" w14:textId="77777777" w:rsidTr="00EF2BF4">
        <w:tc>
          <w:tcPr>
            <w:tcW w:w="2456" w:type="dxa"/>
          </w:tcPr>
          <w:p w14:paraId="125F7672" w14:textId="7D6EDB2B" w:rsidR="00C9585F" w:rsidRDefault="00CF0639" w:rsidP="00523C55">
            <w:proofErr w:type="spellStart"/>
            <w:r>
              <w:t>allowDrop</w:t>
            </w:r>
            <w:proofErr w:type="spellEnd"/>
          </w:p>
        </w:tc>
        <w:tc>
          <w:tcPr>
            <w:tcW w:w="733" w:type="dxa"/>
          </w:tcPr>
          <w:p w14:paraId="734FAB9C" w14:textId="6E8C1022" w:rsidR="00C9585F" w:rsidRDefault="00CF0639" w:rsidP="00523C55">
            <w:r>
              <w:t>bool</w:t>
            </w:r>
          </w:p>
        </w:tc>
        <w:tc>
          <w:tcPr>
            <w:tcW w:w="959" w:type="dxa"/>
          </w:tcPr>
          <w:p w14:paraId="5277625A" w14:textId="7B61E9B0" w:rsidR="00C9585F" w:rsidRDefault="00CF0639" w:rsidP="00523C55">
            <w:r>
              <w:t>false</w:t>
            </w:r>
          </w:p>
        </w:tc>
        <w:tc>
          <w:tcPr>
            <w:tcW w:w="5175" w:type="dxa"/>
          </w:tcPr>
          <w:p w14:paraId="4904F913" w14:textId="0461DFFC" w:rsidR="00C9585F" w:rsidRDefault="00FE2E0C" w:rsidP="00523C55">
            <w:r>
              <w:t>Standard framework property</w:t>
            </w:r>
          </w:p>
        </w:tc>
      </w:tr>
      <w:tr w:rsidR="00C9585F" w14:paraId="2D97A3A2" w14:textId="77777777" w:rsidTr="00EF2BF4">
        <w:tc>
          <w:tcPr>
            <w:tcW w:w="2456" w:type="dxa"/>
          </w:tcPr>
          <w:p w14:paraId="61584DEC" w14:textId="04CD4F4C" w:rsidR="00C9585F" w:rsidRDefault="00514B69" w:rsidP="00523C55">
            <w:r>
              <w:t>visible</w:t>
            </w:r>
          </w:p>
        </w:tc>
        <w:tc>
          <w:tcPr>
            <w:tcW w:w="733" w:type="dxa"/>
          </w:tcPr>
          <w:p w14:paraId="13B22F87" w14:textId="0E4C6547" w:rsidR="00C9585F" w:rsidRDefault="00514B69" w:rsidP="00523C55">
            <w:r>
              <w:t>bool</w:t>
            </w:r>
          </w:p>
        </w:tc>
        <w:tc>
          <w:tcPr>
            <w:tcW w:w="959" w:type="dxa"/>
          </w:tcPr>
          <w:p w14:paraId="35D60AE3" w14:textId="5A81C5AA" w:rsidR="00C9585F" w:rsidRDefault="00514B69" w:rsidP="00523C55">
            <w:r>
              <w:t>true</w:t>
            </w:r>
          </w:p>
        </w:tc>
        <w:tc>
          <w:tcPr>
            <w:tcW w:w="5175" w:type="dxa"/>
          </w:tcPr>
          <w:p w14:paraId="6F6C6CD2" w14:textId="39DA771A" w:rsidR="00C9585F" w:rsidRDefault="00FE2E0C" w:rsidP="00523C55">
            <w:r>
              <w:t>Standard framework property</w:t>
            </w:r>
          </w:p>
        </w:tc>
      </w:tr>
      <w:tr w:rsidR="00514B69" w14:paraId="0D7C3896" w14:textId="77777777" w:rsidTr="00EF2BF4">
        <w:tc>
          <w:tcPr>
            <w:tcW w:w="2456" w:type="dxa"/>
          </w:tcPr>
          <w:p w14:paraId="08321A45" w14:textId="5FD08C5A" w:rsidR="00514B69" w:rsidRDefault="00514B69" w:rsidP="00523C55">
            <w:proofErr w:type="spellStart"/>
            <w:r>
              <w:t>messageSourceId</w:t>
            </w:r>
            <w:proofErr w:type="spellEnd"/>
          </w:p>
        </w:tc>
        <w:tc>
          <w:tcPr>
            <w:tcW w:w="733" w:type="dxa"/>
          </w:tcPr>
          <w:p w14:paraId="052678F3" w14:textId="2395A526" w:rsidR="00514B69" w:rsidRDefault="00514B69" w:rsidP="00523C55">
            <w:r>
              <w:t>int</w:t>
            </w:r>
          </w:p>
        </w:tc>
        <w:tc>
          <w:tcPr>
            <w:tcW w:w="959" w:type="dxa"/>
          </w:tcPr>
          <w:p w14:paraId="2FFAB860" w14:textId="3EED5D8D" w:rsidR="00514B69" w:rsidRDefault="00514B69" w:rsidP="00523C55">
            <w:r>
              <w:t>0</w:t>
            </w:r>
          </w:p>
        </w:tc>
        <w:tc>
          <w:tcPr>
            <w:tcW w:w="5175" w:type="dxa"/>
          </w:tcPr>
          <w:p w14:paraId="40801A42" w14:textId="0D17EEE6" w:rsidR="00514B69" w:rsidRDefault="00FE2E0C" w:rsidP="00523C55">
            <w:r>
              <w:t>Standard framework property</w:t>
            </w:r>
          </w:p>
        </w:tc>
      </w:tr>
      <w:tr w:rsidR="00514B69" w14:paraId="502AC1AF" w14:textId="77777777" w:rsidTr="00EF2BF4">
        <w:tc>
          <w:tcPr>
            <w:tcW w:w="2456" w:type="dxa"/>
          </w:tcPr>
          <w:p w14:paraId="57BAEC57" w14:textId="5799A0BB" w:rsidR="00514B69" w:rsidRDefault="00514B69" w:rsidP="00523C55">
            <w:proofErr w:type="spellStart"/>
            <w:r>
              <w:t>defaultStyle</w:t>
            </w:r>
            <w:proofErr w:type="spellEnd"/>
          </w:p>
        </w:tc>
        <w:tc>
          <w:tcPr>
            <w:tcW w:w="733" w:type="dxa"/>
          </w:tcPr>
          <w:p w14:paraId="3909B5C7" w14:textId="2492D814" w:rsidR="00514B69" w:rsidRDefault="00514B69" w:rsidP="00523C55">
            <w:r>
              <w:t>string</w:t>
            </w:r>
          </w:p>
        </w:tc>
        <w:tc>
          <w:tcPr>
            <w:tcW w:w="959" w:type="dxa"/>
          </w:tcPr>
          <w:p w14:paraId="448F5A8D" w14:textId="77777777" w:rsidR="00514B69" w:rsidRDefault="00514B69" w:rsidP="00523C55"/>
        </w:tc>
        <w:tc>
          <w:tcPr>
            <w:tcW w:w="5175" w:type="dxa"/>
          </w:tcPr>
          <w:p w14:paraId="4A91A319" w14:textId="1FD93EE8" w:rsidR="00514B69" w:rsidRDefault="00FE2E0C" w:rsidP="00523C55">
            <w:r>
              <w:t>Standard framework property</w:t>
            </w:r>
            <w:r>
              <w:t>. However not applicable.</w:t>
            </w:r>
          </w:p>
        </w:tc>
      </w:tr>
      <w:tr w:rsidR="00514B69" w14:paraId="5EACFD66" w14:textId="77777777" w:rsidTr="00EF2BF4">
        <w:tc>
          <w:tcPr>
            <w:tcW w:w="2456" w:type="dxa"/>
          </w:tcPr>
          <w:p w14:paraId="1FD9DC29" w14:textId="15962EE8" w:rsidR="00514B69" w:rsidRDefault="00514B69" w:rsidP="00523C55">
            <w:proofErr w:type="spellStart"/>
            <w:r>
              <w:t>userLevelUserStyle</w:t>
            </w:r>
            <w:proofErr w:type="spellEnd"/>
          </w:p>
        </w:tc>
        <w:tc>
          <w:tcPr>
            <w:tcW w:w="733" w:type="dxa"/>
          </w:tcPr>
          <w:p w14:paraId="03DFE365" w14:textId="0E0AFBB5" w:rsidR="00514B69" w:rsidRDefault="00FE2E0C" w:rsidP="00523C55">
            <w:r>
              <w:t>string</w:t>
            </w:r>
          </w:p>
        </w:tc>
        <w:tc>
          <w:tcPr>
            <w:tcW w:w="959" w:type="dxa"/>
          </w:tcPr>
          <w:p w14:paraId="3F234CA5" w14:textId="77777777" w:rsidR="00514B69" w:rsidRDefault="00514B69" w:rsidP="00523C55"/>
        </w:tc>
        <w:tc>
          <w:tcPr>
            <w:tcW w:w="5175" w:type="dxa"/>
          </w:tcPr>
          <w:p w14:paraId="48401D33" w14:textId="116D030C" w:rsidR="00514B69" w:rsidRDefault="00FE2E0C" w:rsidP="00523C55">
            <w:r>
              <w:t>Standard framework property. However not applicable.</w:t>
            </w:r>
          </w:p>
        </w:tc>
      </w:tr>
      <w:tr w:rsidR="00514B69" w14:paraId="5CF63819" w14:textId="77777777" w:rsidTr="00EF2BF4">
        <w:tc>
          <w:tcPr>
            <w:tcW w:w="2456" w:type="dxa"/>
          </w:tcPr>
          <w:p w14:paraId="23AE0F39" w14:textId="74D3FB55" w:rsidR="00514B69" w:rsidRDefault="00514B69" w:rsidP="00523C55">
            <w:proofErr w:type="spellStart"/>
            <w:r>
              <w:t>userLevel</w:t>
            </w:r>
            <w:r>
              <w:t>ScientistS</w:t>
            </w:r>
            <w:r>
              <w:t>tyle</w:t>
            </w:r>
            <w:proofErr w:type="spellEnd"/>
          </w:p>
        </w:tc>
        <w:tc>
          <w:tcPr>
            <w:tcW w:w="733" w:type="dxa"/>
          </w:tcPr>
          <w:p w14:paraId="678AB0A8" w14:textId="077EAB3E" w:rsidR="00514B69" w:rsidRDefault="00FE2E0C" w:rsidP="00523C55">
            <w:r>
              <w:t>string</w:t>
            </w:r>
          </w:p>
        </w:tc>
        <w:tc>
          <w:tcPr>
            <w:tcW w:w="959" w:type="dxa"/>
          </w:tcPr>
          <w:p w14:paraId="4EA80AA7" w14:textId="77777777" w:rsidR="00514B69" w:rsidRDefault="00514B69" w:rsidP="00523C55"/>
        </w:tc>
        <w:tc>
          <w:tcPr>
            <w:tcW w:w="5175" w:type="dxa"/>
          </w:tcPr>
          <w:p w14:paraId="1FAD788B" w14:textId="1E1AA2C0" w:rsidR="00514B69" w:rsidRDefault="00FE2E0C" w:rsidP="00523C55">
            <w:r>
              <w:t>Standard framework property. However not applicable.</w:t>
            </w:r>
          </w:p>
        </w:tc>
      </w:tr>
      <w:tr w:rsidR="00514B69" w14:paraId="086A939A" w14:textId="77777777" w:rsidTr="00EF2BF4">
        <w:tc>
          <w:tcPr>
            <w:tcW w:w="2456" w:type="dxa"/>
          </w:tcPr>
          <w:p w14:paraId="2D439E9F" w14:textId="533513B1" w:rsidR="00514B69" w:rsidRDefault="00514B69" w:rsidP="00523C55">
            <w:proofErr w:type="spellStart"/>
            <w:r>
              <w:lastRenderedPageBreak/>
              <w:t>userlevelEngineerStyle</w:t>
            </w:r>
            <w:proofErr w:type="spellEnd"/>
          </w:p>
        </w:tc>
        <w:tc>
          <w:tcPr>
            <w:tcW w:w="733" w:type="dxa"/>
          </w:tcPr>
          <w:p w14:paraId="1628F841" w14:textId="5034F1C8" w:rsidR="00514B69" w:rsidRDefault="00FE2E0C" w:rsidP="00523C55">
            <w:r>
              <w:t>string</w:t>
            </w:r>
          </w:p>
        </w:tc>
        <w:tc>
          <w:tcPr>
            <w:tcW w:w="959" w:type="dxa"/>
          </w:tcPr>
          <w:p w14:paraId="3CC89BD2" w14:textId="77777777" w:rsidR="00514B69" w:rsidRDefault="00514B69" w:rsidP="00523C55"/>
        </w:tc>
        <w:tc>
          <w:tcPr>
            <w:tcW w:w="5175" w:type="dxa"/>
          </w:tcPr>
          <w:p w14:paraId="770EA8B1" w14:textId="217C26E4" w:rsidR="00514B69" w:rsidRDefault="00FE2E0C" w:rsidP="00523C55">
            <w:r>
              <w:t>Standard framework property. However not applicable.</w:t>
            </w:r>
          </w:p>
        </w:tc>
      </w:tr>
      <w:tr w:rsidR="00C9585F" w14:paraId="18789C07" w14:textId="77777777" w:rsidTr="00EF2BF4">
        <w:tc>
          <w:tcPr>
            <w:tcW w:w="2456" w:type="dxa"/>
          </w:tcPr>
          <w:p w14:paraId="4F3DDC64" w14:textId="5CCC2774" w:rsidR="00C9585F" w:rsidRDefault="00514B69" w:rsidP="00523C55">
            <w:proofErr w:type="spellStart"/>
            <w:r>
              <w:t>userLevelVisibility</w:t>
            </w:r>
            <w:proofErr w:type="spellEnd"/>
          </w:p>
        </w:tc>
        <w:tc>
          <w:tcPr>
            <w:tcW w:w="733" w:type="dxa"/>
          </w:tcPr>
          <w:p w14:paraId="133CC731" w14:textId="1A2F1F80" w:rsidR="00C9585F" w:rsidRDefault="00514B69" w:rsidP="00523C55">
            <w:proofErr w:type="spellStart"/>
            <w:r>
              <w:t>enum</w:t>
            </w:r>
            <w:proofErr w:type="spellEnd"/>
          </w:p>
        </w:tc>
        <w:tc>
          <w:tcPr>
            <w:tcW w:w="959" w:type="dxa"/>
          </w:tcPr>
          <w:p w14:paraId="1DB254A1" w14:textId="52C54150" w:rsidR="00C9585F" w:rsidRDefault="00514B69" w:rsidP="00523C55">
            <w:r>
              <w:t>User</w:t>
            </w:r>
          </w:p>
        </w:tc>
        <w:tc>
          <w:tcPr>
            <w:tcW w:w="5175" w:type="dxa"/>
          </w:tcPr>
          <w:p w14:paraId="5D65764F" w14:textId="63CDC362" w:rsidR="00C9585F" w:rsidRDefault="00FE2E0C" w:rsidP="00523C55">
            <w:r>
              <w:t>Standard framework property</w:t>
            </w:r>
            <w:r>
              <w:t>.</w:t>
            </w:r>
          </w:p>
        </w:tc>
      </w:tr>
      <w:tr w:rsidR="00514B69" w14:paraId="17113864" w14:textId="77777777" w:rsidTr="00EF2BF4">
        <w:tc>
          <w:tcPr>
            <w:tcW w:w="2456" w:type="dxa"/>
          </w:tcPr>
          <w:p w14:paraId="29124204" w14:textId="46D55F9A" w:rsidR="00514B69" w:rsidRDefault="00514B69" w:rsidP="00523C55">
            <w:proofErr w:type="spellStart"/>
            <w:r>
              <w:t>userLevelEnabled</w:t>
            </w:r>
            <w:proofErr w:type="spellEnd"/>
          </w:p>
        </w:tc>
        <w:tc>
          <w:tcPr>
            <w:tcW w:w="733" w:type="dxa"/>
          </w:tcPr>
          <w:p w14:paraId="3C7B4AAD" w14:textId="2E4B72FE" w:rsidR="00514B69" w:rsidRDefault="00514B69" w:rsidP="00523C55">
            <w:proofErr w:type="spellStart"/>
            <w:r>
              <w:t>enum</w:t>
            </w:r>
            <w:proofErr w:type="spellEnd"/>
          </w:p>
        </w:tc>
        <w:tc>
          <w:tcPr>
            <w:tcW w:w="959" w:type="dxa"/>
          </w:tcPr>
          <w:p w14:paraId="60ECA3AA" w14:textId="6878C095" w:rsidR="00514B69" w:rsidRDefault="00514B69" w:rsidP="00523C55">
            <w:r>
              <w:t>User</w:t>
            </w:r>
          </w:p>
        </w:tc>
        <w:tc>
          <w:tcPr>
            <w:tcW w:w="5175" w:type="dxa"/>
          </w:tcPr>
          <w:p w14:paraId="714FA246" w14:textId="508317FC" w:rsidR="00514B69" w:rsidRDefault="00FE2E0C" w:rsidP="00523C55">
            <w:r>
              <w:t>Standard framework property</w:t>
            </w:r>
            <w:r>
              <w:t>.</w:t>
            </w:r>
          </w:p>
        </w:tc>
      </w:tr>
      <w:tr w:rsidR="00514B69" w14:paraId="3BFD94B6" w14:textId="77777777" w:rsidTr="00EF2BF4">
        <w:tc>
          <w:tcPr>
            <w:tcW w:w="2456" w:type="dxa"/>
          </w:tcPr>
          <w:p w14:paraId="680FE7A1" w14:textId="687ABC84" w:rsidR="00514B69" w:rsidRDefault="00EF2BF4" w:rsidP="00523C55">
            <w:proofErr w:type="spellStart"/>
            <w:r>
              <w:t>displayAlarmStateOption</w:t>
            </w:r>
            <w:proofErr w:type="spellEnd"/>
          </w:p>
        </w:tc>
        <w:tc>
          <w:tcPr>
            <w:tcW w:w="733" w:type="dxa"/>
          </w:tcPr>
          <w:p w14:paraId="45360253" w14:textId="546A5EAF" w:rsidR="00514B69" w:rsidRDefault="00EF2BF4" w:rsidP="00523C55">
            <w:proofErr w:type="spellStart"/>
            <w:r>
              <w:t>enum</w:t>
            </w:r>
            <w:proofErr w:type="spellEnd"/>
          </w:p>
        </w:tc>
        <w:tc>
          <w:tcPr>
            <w:tcW w:w="959" w:type="dxa"/>
          </w:tcPr>
          <w:p w14:paraId="44040723" w14:textId="1C4C222D" w:rsidR="00514B69" w:rsidRDefault="00EF2BF4" w:rsidP="00523C55">
            <w:r>
              <w:t>Always</w:t>
            </w:r>
          </w:p>
        </w:tc>
        <w:tc>
          <w:tcPr>
            <w:tcW w:w="5175" w:type="dxa"/>
          </w:tcPr>
          <w:p w14:paraId="6992B383" w14:textId="5CFCA59F" w:rsidR="00514B69" w:rsidRDefault="00FE2E0C" w:rsidP="00523C55">
            <w:r>
              <w:t xml:space="preserve">This is one Always, </w:t>
            </w:r>
            <w:proofErr w:type="spellStart"/>
            <w:r>
              <w:t>WhenInAlarm</w:t>
            </w:r>
            <w:proofErr w:type="spellEnd"/>
            <w:r>
              <w:t xml:space="preserve">, </w:t>
            </w:r>
            <w:proofErr w:type="spellStart"/>
            <w:r>
              <w:t>WhenInvalid</w:t>
            </w:r>
            <w:proofErr w:type="spellEnd"/>
            <w:r>
              <w:t xml:space="preserve">, </w:t>
            </w:r>
            <w:proofErr w:type="gramStart"/>
            <w:r>
              <w:t>Never</w:t>
            </w:r>
            <w:proofErr w:type="gramEnd"/>
            <w:r>
              <w:t>.</w:t>
            </w:r>
            <w:r>
              <w:br/>
              <w:t>Standard property – see general widget documentation and not below.</w:t>
            </w:r>
          </w:p>
        </w:tc>
      </w:tr>
      <w:tr w:rsidR="00514B69" w14:paraId="3A099CAB" w14:textId="77777777" w:rsidTr="00EF2BF4">
        <w:tc>
          <w:tcPr>
            <w:tcW w:w="2456" w:type="dxa"/>
          </w:tcPr>
          <w:p w14:paraId="7381BBEE" w14:textId="574F02CE" w:rsidR="00514B69" w:rsidRDefault="00EF2BF4" w:rsidP="00523C55">
            <w:proofErr w:type="spellStart"/>
            <w:r>
              <w:t>oosAware</w:t>
            </w:r>
            <w:proofErr w:type="spellEnd"/>
          </w:p>
        </w:tc>
        <w:tc>
          <w:tcPr>
            <w:tcW w:w="733" w:type="dxa"/>
          </w:tcPr>
          <w:p w14:paraId="5313905F" w14:textId="73D8BC97" w:rsidR="00514B69" w:rsidRDefault="00EF2BF4" w:rsidP="00523C55">
            <w:r>
              <w:t>bool</w:t>
            </w:r>
          </w:p>
        </w:tc>
        <w:tc>
          <w:tcPr>
            <w:tcW w:w="959" w:type="dxa"/>
          </w:tcPr>
          <w:p w14:paraId="3096708B" w14:textId="04AAF9E2" w:rsidR="00514B69" w:rsidRDefault="00EF2BF4" w:rsidP="00523C55">
            <w:r>
              <w:t>true</w:t>
            </w:r>
          </w:p>
        </w:tc>
        <w:tc>
          <w:tcPr>
            <w:tcW w:w="5175" w:type="dxa"/>
          </w:tcPr>
          <w:p w14:paraId="16684AC8" w14:textId="289215AE" w:rsidR="00514B69" w:rsidRDefault="00FE2E0C" w:rsidP="00523C55">
            <w:r>
              <w:t>Standard framework property</w:t>
            </w:r>
            <w:r>
              <w:t>.</w:t>
            </w:r>
          </w:p>
        </w:tc>
      </w:tr>
      <w:tr w:rsidR="00514B69" w14:paraId="5AA83B50" w14:textId="77777777" w:rsidTr="00EF2BF4">
        <w:tc>
          <w:tcPr>
            <w:tcW w:w="2456" w:type="dxa"/>
          </w:tcPr>
          <w:p w14:paraId="027BEC6E" w14:textId="39F2420D" w:rsidR="00514B69" w:rsidRDefault="00EF2BF4" w:rsidP="00523C55">
            <w:proofErr w:type="spellStart"/>
            <w:r>
              <w:t>useStyleAlarmColours</w:t>
            </w:r>
            <w:proofErr w:type="spellEnd"/>
          </w:p>
        </w:tc>
        <w:tc>
          <w:tcPr>
            <w:tcW w:w="733" w:type="dxa"/>
          </w:tcPr>
          <w:p w14:paraId="6729FC85" w14:textId="19622F37" w:rsidR="00514B69" w:rsidRDefault="00EF2BF4" w:rsidP="00523C55">
            <w:r>
              <w:t>bool</w:t>
            </w:r>
          </w:p>
        </w:tc>
        <w:tc>
          <w:tcPr>
            <w:tcW w:w="959" w:type="dxa"/>
          </w:tcPr>
          <w:p w14:paraId="50C95BE0" w14:textId="2D338456" w:rsidR="00514B69" w:rsidRDefault="00EF2BF4" w:rsidP="00523C55">
            <w:r>
              <w:t>false</w:t>
            </w:r>
          </w:p>
        </w:tc>
        <w:tc>
          <w:tcPr>
            <w:tcW w:w="5175" w:type="dxa"/>
          </w:tcPr>
          <w:p w14:paraId="57D67DE2" w14:textId="18A7B399" w:rsidR="00514B69" w:rsidRDefault="00FE2E0C" w:rsidP="00523C55">
            <w:r>
              <w:t xml:space="preserve">When set true, the alarm colours used are the paler, less intense </w:t>
            </w:r>
            <w:proofErr w:type="gramStart"/>
            <w:r>
              <w:t>colours  as</w:t>
            </w:r>
            <w:proofErr w:type="gramEnd"/>
            <w:r>
              <w:t xml:space="preserve"> used by QELabel.</w:t>
            </w:r>
          </w:p>
        </w:tc>
      </w:tr>
    </w:tbl>
    <w:p w14:paraId="255A404B" w14:textId="2C6894E9" w:rsidR="00523C55" w:rsidRDefault="00523C55" w:rsidP="00523C55"/>
    <w:p w14:paraId="432574ED" w14:textId="75A6340A" w:rsidR="00EF2BF4" w:rsidRDefault="00EF2BF4" w:rsidP="00EF2BF4">
      <w:pPr>
        <w:pStyle w:val="Heading4"/>
      </w:pPr>
      <w:r>
        <w:t>Notes</w:t>
      </w:r>
    </w:p>
    <w:p w14:paraId="042756A7" w14:textId="11B7AEC4" w:rsidR="00EF2BF4" w:rsidRDefault="00EF2BF4" w:rsidP="00523C55">
      <w:proofErr w:type="spellStart"/>
      <w:r>
        <w:t>edgeAlarmStateOption</w:t>
      </w:r>
      <w:proofErr w:type="spellEnd"/>
      <w:r>
        <w:t xml:space="preserve"> and </w:t>
      </w:r>
      <w:proofErr w:type="spellStart"/>
      <w:r>
        <w:t>displayAlarmStateOption</w:t>
      </w:r>
      <w:proofErr w:type="spellEnd"/>
      <w:r>
        <w:t xml:space="preserve"> control if/when the alarm state colour is used as opposed to the state-based colour when displaying the widget. At one extreme, </w:t>
      </w:r>
      <w:proofErr w:type="gramStart"/>
      <w:r>
        <w:t>Always</w:t>
      </w:r>
      <w:proofErr w:type="gramEnd"/>
      <w:r>
        <w:t xml:space="preserve"> means that only alarm state colours will ever be used; and at the other, Never means that alarm state colours will never be user. If running in mixed mode, e.g. </w:t>
      </w:r>
      <w:proofErr w:type="spellStart"/>
      <w:r>
        <w:t>WhenInvalid</w:t>
      </w:r>
      <w:proofErr w:type="spellEnd"/>
      <w:r>
        <w:t>, it is good to ensure state-based colours are not confused with alarm-based colours.</w:t>
      </w:r>
      <w:r>
        <w:br/>
      </w:r>
    </w:p>
    <w:sectPr w:rsidR="00EF2BF4" w:rsidSect="0052491A">
      <w:headerReference w:type="default" r:id="rId12"/>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245FF" w14:textId="77777777" w:rsidR="009C7358" w:rsidRDefault="009C7358" w:rsidP="001C3141">
      <w:pPr>
        <w:spacing w:after="0" w:line="240" w:lineRule="auto"/>
      </w:pPr>
      <w:r>
        <w:separator/>
      </w:r>
    </w:p>
  </w:endnote>
  <w:endnote w:type="continuationSeparator" w:id="0">
    <w:p w14:paraId="7A634695" w14:textId="77777777" w:rsidR="009C7358" w:rsidRDefault="009C7358" w:rsidP="001C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F19A7" w14:textId="77777777" w:rsidR="00F62DB6" w:rsidRDefault="00F62DB6" w:rsidP="008C148D">
    <w:pPr>
      <w:pStyle w:val="Footer"/>
    </w:pPr>
  </w:p>
  <w:tbl>
    <w:tblPr>
      <w:tblW w:w="5074" w:type="pct"/>
      <w:tblBorders>
        <w:top w:val="single" w:sz="4" w:space="0" w:color="auto"/>
      </w:tblBorders>
      <w:tblCellMar>
        <w:top w:w="28" w:type="dxa"/>
        <w:left w:w="0" w:type="dxa"/>
        <w:bottom w:w="28" w:type="dxa"/>
        <w:right w:w="0" w:type="dxa"/>
      </w:tblCellMar>
      <w:tblLook w:val="00A0" w:firstRow="1" w:lastRow="0" w:firstColumn="1" w:lastColumn="0" w:noHBand="0" w:noVBand="0"/>
    </w:tblPr>
    <w:tblGrid>
      <w:gridCol w:w="1178"/>
      <w:gridCol w:w="1052"/>
      <w:gridCol w:w="1041"/>
      <w:gridCol w:w="921"/>
      <w:gridCol w:w="520"/>
      <w:gridCol w:w="1834"/>
      <w:gridCol w:w="2614"/>
    </w:tblGrid>
    <w:tr w:rsidR="00F62DB6" w:rsidRPr="00FA1D46" w14:paraId="73F28745" w14:textId="77777777" w:rsidTr="00906165">
      <w:tc>
        <w:tcPr>
          <w:tcW w:w="643" w:type="pct"/>
        </w:tcPr>
        <w:p w14:paraId="6487F67B" w14:textId="77777777" w:rsidR="00F62DB6" w:rsidRPr="00FA1D46" w:rsidRDefault="00F62DB6" w:rsidP="00906165">
          <w:pPr>
            <w:pStyle w:val="FileInfo"/>
            <w:rPr>
              <w:color w:val="747476"/>
              <w:sz w:val="18"/>
            </w:rPr>
          </w:pPr>
        </w:p>
      </w:tc>
      <w:tc>
        <w:tcPr>
          <w:tcW w:w="574" w:type="pct"/>
        </w:tcPr>
        <w:p w14:paraId="4F07AC37" w14:textId="77777777" w:rsidR="00F62DB6" w:rsidRPr="00FA1D46" w:rsidRDefault="00F62DB6" w:rsidP="00906165">
          <w:pPr>
            <w:pStyle w:val="FileInfo"/>
            <w:rPr>
              <w:rFonts w:cs="Arial"/>
              <w:color w:val="747476"/>
              <w:sz w:val="18"/>
              <w:szCs w:val="20"/>
            </w:rPr>
          </w:pPr>
        </w:p>
      </w:tc>
      <w:tc>
        <w:tcPr>
          <w:tcW w:w="568" w:type="pct"/>
        </w:tcPr>
        <w:p w14:paraId="7466AA85" w14:textId="77777777" w:rsidR="00F62DB6" w:rsidRPr="00FA1D46" w:rsidRDefault="00F62DB6" w:rsidP="00906165">
          <w:pPr>
            <w:pStyle w:val="FileInfo"/>
            <w:ind w:right="-142"/>
            <w:rPr>
              <w:color w:val="747476"/>
              <w:sz w:val="18"/>
            </w:rPr>
          </w:pPr>
        </w:p>
      </w:tc>
      <w:tc>
        <w:tcPr>
          <w:tcW w:w="503" w:type="pct"/>
        </w:tcPr>
        <w:p w14:paraId="21A8A9C7" w14:textId="77777777" w:rsidR="00F62DB6" w:rsidRPr="00FA1D46" w:rsidRDefault="00F62DB6" w:rsidP="00906165">
          <w:pPr>
            <w:pStyle w:val="FileInfo"/>
            <w:ind w:right="-142"/>
            <w:rPr>
              <w:color w:val="747476"/>
              <w:sz w:val="18"/>
            </w:rPr>
          </w:pPr>
        </w:p>
      </w:tc>
      <w:tc>
        <w:tcPr>
          <w:tcW w:w="284" w:type="pct"/>
        </w:tcPr>
        <w:p w14:paraId="5E85FBB3" w14:textId="77777777" w:rsidR="00F62DB6" w:rsidRPr="00FA1D46" w:rsidRDefault="00F62DB6" w:rsidP="00906165">
          <w:pPr>
            <w:pStyle w:val="FileInfo"/>
            <w:rPr>
              <w:color w:val="747476"/>
              <w:sz w:val="18"/>
            </w:rPr>
          </w:pPr>
        </w:p>
      </w:tc>
      <w:tc>
        <w:tcPr>
          <w:tcW w:w="1001" w:type="pct"/>
        </w:tcPr>
        <w:p w14:paraId="5515FC02" w14:textId="77777777" w:rsidR="00F62DB6" w:rsidRPr="00FA1D46" w:rsidRDefault="00F62DB6" w:rsidP="00906165">
          <w:pPr>
            <w:pStyle w:val="FileInfo"/>
            <w:rPr>
              <w:color w:val="747476"/>
              <w:sz w:val="18"/>
            </w:rPr>
          </w:pPr>
        </w:p>
      </w:tc>
      <w:tc>
        <w:tcPr>
          <w:tcW w:w="1428" w:type="pct"/>
        </w:tcPr>
        <w:p w14:paraId="4771CDD7" w14:textId="77777777" w:rsidR="00F62DB6" w:rsidRPr="00FA1D46" w:rsidRDefault="00F62DB6"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48582F">
            <w:rPr>
              <w:noProof/>
              <w:color w:val="747476"/>
              <w:sz w:val="18"/>
            </w:rPr>
            <w:t>2</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48582F">
            <w:rPr>
              <w:noProof/>
              <w:color w:val="747476"/>
              <w:sz w:val="18"/>
            </w:rPr>
            <w:t>7</w:t>
          </w:r>
          <w:r w:rsidRPr="00FA1D46">
            <w:rPr>
              <w:color w:val="747476"/>
              <w:sz w:val="18"/>
            </w:rPr>
            <w:fldChar w:fldCharType="end"/>
          </w:r>
        </w:p>
      </w:tc>
    </w:tr>
  </w:tbl>
  <w:p w14:paraId="3A3C5DEC" w14:textId="77777777" w:rsidR="00F62DB6" w:rsidRDefault="00F62DB6" w:rsidP="008C148D">
    <w:pPr>
      <w:pStyle w:val="Footer"/>
    </w:pPr>
  </w:p>
  <w:p w14:paraId="38EC0A51" w14:textId="77777777" w:rsidR="00F62DB6" w:rsidRDefault="00F62D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2B206" w14:textId="77777777" w:rsidR="009C7358" w:rsidRDefault="009C7358" w:rsidP="001C3141">
      <w:pPr>
        <w:spacing w:after="0" w:line="240" w:lineRule="auto"/>
      </w:pPr>
      <w:r>
        <w:separator/>
      </w:r>
    </w:p>
  </w:footnote>
  <w:footnote w:type="continuationSeparator" w:id="0">
    <w:p w14:paraId="69566046" w14:textId="77777777" w:rsidR="009C7358" w:rsidRDefault="009C7358" w:rsidP="001C3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62" w:type="pct"/>
      <w:tblLook w:val="00A0" w:firstRow="1" w:lastRow="0" w:firstColumn="1" w:lastColumn="0" w:noHBand="0" w:noVBand="0"/>
    </w:tblPr>
    <w:tblGrid>
      <w:gridCol w:w="5561"/>
      <w:gridCol w:w="3396"/>
    </w:tblGrid>
    <w:tr w:rsidR="00F62DB6" w14:paraId="0EC949AF" w14:textId="77777777" w:rsidTr="00906165">
      <w:tc>
        <w:tcPr>
          <w:tcW w:w="3153" w:type="pct"/>
          <w:vAlign w:val="bottom"/>
        </w:tcPr>
        <w:p w14:paraId="0FFC4D15" w14:textId="55C3C742" w:rsidR="00F62DB6" w:rsidRPr="0043764B" w:rsidRDefault="00F62DB6" w:rsidP="00B80218">
          <w:pPr>
            <w:pStyle w:val="Header"/>
            <w:spacing w:after="60"/>
            <w:rPr>
              <w:b/>
              <w:sz w:val="28"/>
              <w:szCs w:val="28"/>
            </w:rPr>
          </w:pPr>
          <w:r>
            <w:rPr>
              <w:b/>
              <w:sz w:val="32"/>
              <w:szCs w:val="28"/>
            </w:rPr>
            <w:t>QE</w:t>
          </w:r>
          <w:r w:rsidR="00300163">
            <w:rPr>
              <w:b/>
              <w:sz w:val="32"/>
              <w:szCs w:val="28"/>
            </w:rPr>
            <w:t>SimpleShape</w:t>
          </w:r>
          <w:r w:rsidR="003B0E42">
            <w:rPr>
              <w:b/>
              <w:sz w:val="32"/>
              <w:szCs w:val="28"/>
            </w:rPr>
            <w:t xml:space="preserve"> Widget Specification</w:t>
          </w:r>
        </w:p>
      </w:tc>
      <w:tc>
        <w:tcPr>
          <w:tcW w:w="1847" w:type="pct"/>
        </w:tcPr>
        <w:p w14:paraId="5D25D0D4" w14:textId="77777777" w:rsidR="00F62DB6" w:rsidRDefault="00F62DB6" w:rsidP="00906165">
          <w:pPr>
            <w:pStyle w:val="Header"/>
            <w:jc w:val="right"/>
          </w:pPr>
          <w:r>
            <w:rPr>
              <w:noProof/>
            </w:rPr>
            <w:drawing>
              <wp:inline distT="0" distB="0" distL="0" distR="0" wp14:anchorId="3A3ADABE" wp14:editId="7EE679FF">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14:paraId="5B1C6AEE" w14:textId="77777777" w:rsidR="00F62DB6" w:rsidRDefault="00F62DB6">
    <w:pPr>
      <w:pStyle w:val="Header"/>
    </w:pPr>
    <w:r>
      <w:rPr>
        <w:noProof/>
      </w:rPr>
      <w:drawing>
        <wp:anchor distT="0" distB="180340" distL="114300" distR="114300" simplePos="0" relativeHeight="251661312" behindDoc="1" locked="0" layoutInCell="1" allowOverlap="1" wp14:anchorId="6AE316B5" wp14:editId="24EB0D53">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59"/>
    <w:rsid w:val="00002663"/>
    <w:rsid w:val="000027E6"/>
    <w:rsid w:val="0000305E"/>
    <w:rsid w:val="00003634"/>
    <w:rsid w:val="000056F6"/>
    <w:rsid w:val="00005A9A"/>
    <w:rsid w:val="00005CC7"/>
    <w:rsid w:val="000112C1"/>
    <w:rsid w:val="00012840"/>
    <w:rsid w:val="00012AC8"/>
    <w:rsid w:val="00013089"/>
    <w:rsid w:val="00013830"/>
    <w:rsid w:val="00014ABB"/>
    <w:rsid w:val="00014B9A"/>
    <w:rsid w:val="00015001"/>
    <w:rsid w:val="0001596C"/>
    <w:rsid w:val="00015C71"/>
    <w:rsid w:val="00016D5A"/>
    <w:rsid w:val="0001708D"/>
    <w:rsid w:val="000170AB"/>
    <w:rsid w:val="00021826"/>
    <w:rsid w:val="00024B98"/>
    <w:rsid w:val="00025C9E"/>
    <w:rsid w:val="00026408"/>
    <w:rsid w:val="0002658F"/>
    <w:rsid w:val="00027E78"/>
    <w:rsid w:val="00030455"/>
    <w:rsid w:val="00030557"/>
    <w:rsid w:val="00032D74"/>
    <w:rsid w:val="0003483F"/>
    <w:rsid w:val="00034AA6"/>
    <w:rsid w:val="0003525C"/>
    <w:rsid w:val="00036371"/>
    <w:rsid w:val="000366A8"/>
    <w:rsid w:val="000417BC"/>
    <w:rsid w:val="000418CC"/>
    <w:rsid w:val="00041B9D"/>
    <w:rsid w:val="00041D45"/>
    <w:rsid w:val="00041D76"/>
    <w:rsid w:val="00044037"/>
    <w:rsid w:val="00044E5C"/>
    <w:rsid w:val="00046A46"/>
    <w:rsid w:val="000472AA"/>
    <w:rsid w:val="0004770A"/>
    <w:rsid w:val="000521DC"/>
    <w:rsid w:val="00053BEA"/>
    <w:rsid w:val="0005617F"/>
    <w:rsid w:val="00056344"/>
    <w:rsid w:val="00056674"/>
    <w:rsid w:val="00056B2D"/>
    <w:rsid w:val="00057F32"/>
    <w:rsid w:val="0006063D"/>
    <w:rsid w:val="000607DA"/>
    <w:rsid w:val="000635B7"/>
    <w:rsid w:val="00063D45"/>
    <w:rsid w:val="000648A6"/>
    <w:rsid w:val="00064930"/>
    <w:rsid w:val="000649C9"/>
    <w:rsid w:val="00065012"/>
    <w:rsid w:val="00065BE3"/>
    <w:rsid w:val="00066535"/>
    <w:rsid w:val="00066837"/>
    <w:rsid w:val="00067FF2"/>
    <w:rsid w:val="00071265"/>
    <w:rsid w:val="00072CFE"/>
    <w:rsid w:val="00074BE4"/>
    <w:rsid w:val="00076666"/>
    <w:rsid w:val="0007687A"/>
    <w:rsid w:val="000768E5"/>
    <w:rsid w:val="000803CF"/>
    <w:rsid w:val="0008145D"/>
    <w:rsid w:val="0008569D"/>
    <w:rsid w:val="00086171"/>
    <w:rsid w:val="00090505"/>
    <w:rsid w:val="00091225"/>
    <w:rsid w:val="00091905"/>
    <w:rsid w:val="00091CCD"/>
    <w:rsid w:val="00092253"/>
    <w:rsid w:val="0009289C"/>
    <w:rsid w:val="00093F12"/>
    <w:rsid w:val="00095172"/>
    <w:rsid w:val="000953D1"/>
    <w:rsid w:val="00095B0D"/>
    <w:rsid w:val="00096705"/>
    <w:rsid w:val="00097CDC"/>
    <w:rsid w:val="000A134A"/>
    <w:rsid w:val="000A4AFE"/>
    <w:rsid w:val="000A4DBD"/>
    <w:rsid w:val="000A6CBF"/>
    <w:rsid w:val="000B346F"/>
    <w:rsid w:val="000B44D2"/>
    <w:rsid w:val="000B52B7"/>
    <w:rsid w:val="000B5F15"/>
    <w:rsid w:val="000B6017"/>
    <w:rsid w:val="000C04F6"/>
    <w:rsid w:val="000C05E9"/>
    <w:rsid w:val="000C0803"/>
    <w:rsid w:val="000C42CD"/>
    <w:rsid w:val="000C5792"/>
    <w:rsid w:val="000C6F77"/>
    <w:rsid w:val="000D194D"/>
    <w:rsid w:val="000D21DF"/>
    <w:rsid w:val="000D309C"/>
    <w:rsid w:val="000D45DF"/>
    <w:rsid w:val="000D55BF"/>
    <w:rsid w:val="000D5A86"/>
    <w:rsid w:val="000D6D17"/>
    <w:rsid w:val="000D7831"/>
    <w:rsid w:val="000D7C1E"/>
    <w:rsid w:val="000E2411"/>
    <w:rsid w:val="000E32E8"/>
    <w:rsid w:val="000E3B6B"/>
    <w:rsid w:val="000E7154"/>
    <w:rsid w:val="000F01FE"/>
    <w:rsid w:val="000F2409"/>
    <w:rsid w:val="000F4A3D"/>
    <w:rsid w:val="000F7375"/>
    <w:rsid w:val="000F7809"/>
    <w:rsid w:val="000F7DBA"/>
    <w:rsid w:val="0010030A"/>
    <w:rsid w:val="001022D2"/>
    <w:rsid w:val="001033C9"/>
    <w:rsid w:val="00104912"/>
    <w:rsid w:val="00107445"/>
    <w:rsid w:val="0011277A"/>
    <w:rsid w:val="001127E4"/>
    <w:rsid w:val="001158AC"/>
    <w:rsid w:val="00115C71"/>
    <w:rsid w:val="0011741E"/>
    <w:rsid w:val="0011768C"/>
    <w:rsid w:val="00122AA6"/>
    <w:rsid w:val="00123F3E"/>
    <w:rsid w:val="00125D0A"/>
    <w:rsid w:val="00126402"/>
    <w:rsid w:val="00127D0C"/>
    <w:rsid w:val="0013006E"/>
    <w:rsid w:val="00130303"/>
    <w:rsid w:val="00131020"/>
    <w:rsid w:val="001318FC"/>
    <w:rsid w:val="00132723"/>
    <w:rsid w:val="00132BC9"/>
    <w:rsid w:val="00133351"/>
    <w:rsid w:val="00133CA1"/>
    <w:rsid w:val="00134E69"/>
    <w:rsid w:val="00135021"/>
    <w:rsid w:val="00135B2B"/>
    <w:rsid w:val="0013782B"/>
    <w:rsid w:val="00140FA6"/>
    <w:rsid w:val="00141535"/>
    <w:rsid w:val="00141FBA"/>
    <w:rsid w:val="0014305C"/>
    <w:rsid w:val="00144261"/>
    <w:rsid w:val="00146D7A"/>
    <w:rsid w:val="00147948"/>
    <w:rsid w:val="001536B3"/>
    <w:rsid w:val="00153BC8"/>
    <w:rsid w:val="0015400B"/>
    <w:rsid w:val="0015403D"/>
    <w:rsid w:val="00154454"/>
    <w:rsid w:val="00160F9A"/>
    <w:rsid w:val="001622C4"/>
    <w:rsid w:val="001625CF"/>
    <w:rsid w:val="00162961"/>
    <w:rsid w:val="00162AC9"/>
    <w:rsid w:val="00164D93"/>
    <w:rsid w:val="00166586"/>
    <w:rsid w:val="00166841"/>
    <w:rsid w:val="001678F7"/>
    <w:rsid w:val="00170859"/>
    <w:rsid w:val="00170876"/>
    <w:rsid w:val="00170948"/>
    <w:rsid w:val="00171B0B"/>
    <w:rsid w:val="001723D0"/>
    <w:rsid w:val="001731B5"/>
    <w:rsid w:val="00177533"/>
    <w:rsid w:val="00177843"/>
    <w:rsid w:val="00180BBF"/>
    <w:rsid w:val="001817C8"/>
    <w:rsid w:val="0018200D"/>
    <w:rsid w:val="001825B7"/>
    <w:rsid w:val="0018262E"/>
    <w:rsid w:val="00182BDD"/>
    <w:rsid w:val="00183751"/>
    <w:rsid w:val="00183936"/>
    <w:rsid w:val="00185406"/>
    <w:rsid w:val="00185880"/>
    <w:rsid w:val="00185A6C"/>
    <w:rsid w:val="00186AAD"/>
    <w:rsid w:val="00187C47"/>
    <w:rsid w:val="001907D2"/>
    <w:rsid w:val="0019412F"/>
    <w:rsid w:val="00195C8B"/>
    <w:rsid w:val="001A160D"/>
    <w:rsid w:val="001A162B"/>
    <w:rsid w:val="001A194C"/>
    <w:rsid w:val="001A3D40"/>
    <w:rsid w:val="001A4757"/>
    <w:rsid w:val="001A4C2A"/>
    <w:rsid w:val="001A5810"/>
    <w:rsid w:val="001A62D9"/>
    <w:rsid w:val="001B0CE3"/>
    <w:rsid w:val="001B1685"/>
    <w:rsid w:val="001B1D24"/>
    <w:rsid w:val="001B2A73"/>
    <w:rsid w:val="001B46EB"/>
    <w:rsid w:val="001B4749"/>
    <w:rsid w:val="001B51C9"/>
    <w:rsid w:val="001B52F7"/>
    <w:rsid w:val="001B5499"/>
    <w:rsid w:val="001B6388"/>
    <w:rsid w:val="001B7A7E"/>
    <w:rsid w:val="001C0336"/>
    <w:rsid w:val="001C09DB"/>
    <w:rsid w:val="001C09FF"/>
    <w:rsid w:val="001C3141"/>
    <w:rsid w:val="001C3BCB"/>
    <w:rsid w:val="001C3F1F"/>
    <w:rsid w:val="001C4500"/>
    <w:rsid w:val="001C456F"/>
    <w:rsid w:val="001C5C49"/>
    <w:rsid w:val="001C74AE"/>
    <w:rsid w:val="001C75A9"/>
    <w:rsid w:val="001D2019"/>
    <w:rsid w:val="001D2E61"/>
    <w:rsid w:val="001D422E"/>
    <w:rsid w:val="001D439B"/>
    <w:rsid w:val="001D4D7E"/>
    <w:rsid w:val="001D4F5C"/>
    <w:rsid w:val="001D53D4"/>
    <w:rsid w:val="001D55D2"/>
    <w:rsid w:val="001D72FD"/>
    <w:rsid w:val="001E26CA"/>
    <w:rsid w:val="001E2FED"/>
    <w:rsid w:val="001E5BE5"/>
    <w:rsid w:val="001E71EB"/>
    <w:rsid w:val="001E757F"/>
    <w:rsid w:val="001F00B6"/>
    <w:rsid w:val="001F196D"/>
    <w:rsid w:val="001F1CA8"/>
    <w:rsid w:val="001F3731"/>
    <w:rsid w:val="001F60EB"/>
    <w:rsid w:val="001F6F65"/>
    <w:rsid w:val="001F71E5"/>
    <w:rsid w:val="001F777C"/>
    <w:rsid w:val="00200DC0"/>
    <w:rsid w:val="00201055"/>
    <w:rsid w:val="002012CC"/>
    <w:rsid w:val="002013F4"/>
    <w:rsid w:val="002019C0"/>
    <w:rsid w:val="002019D0"/>
    <w:rsid w:val="002028FB"/>
    <w:rsid w:val="0020375A"/>
    <w:rsid w:val="002040D3"/>
    <w:rsid w:val="00205194"/>
    <w:rsid w:val="0020556F"/>
    <w:rsid w:val="00206898"/>
    <w:rsid w:val="00207DFF"/>
    <w:rsid w:val="00207F77"/>
    <w:rsid w:val="00210CE1"/>
    <w:rsid w:val="00212DC9"/>
    <w:rsid w:val="00213D33"/>
    <w:rsid w:val="0021454E"/>
    <w:rsid w:val="00214C44"/>
    <w:rsid w:val="002152A1"/>
    <w:rsid w:val="0021582C"/>
    <w:rsid w:val="00216DB3"/>
    <w:rsid w:val="0021749C"/>
    <w:rsid w:val="00217BEA"/>
    <w:rsid w:val="00222617"/>
    <w:rsid w:val="002241A7"/>
    <w:rsid w:val="002242A9"/>
    <w:rsid w:val="0022549D"/>
    <w:rsid w:val="0022690F"/>
    <w:rsid w:val="00232946"/>
    <w:rsid w:val="00234568"/>
    <w:rsid w:val="002348A1"/>
    <w:rsid w:val="002359C3"/>
    <w:rsid w:val="002369E9"/>
    <w:rsid w:val="00237EF3"/>
    <w:rsid w:val="00240C07"/>
    <w:rsid w:val="00241442"/>
    <w:rsid w:val="002421F8"/>
    <w:rsid w:val="0024245C"/>
    <w:rsid w:val="0024287D"/>
    <w:rsid w:val="00242F47"/>
    <w:rsid w:val="00245842"/>
    <w:rsid w:val="00245B1C"/>
    <w:rsid w:val="00246041"/>
    <w:rsid w:val="00247E11"/>
    <w:rsid w:val="00255217"/>
    <w:rsid w:val="002553F8"/>
    <w:rsid w:val="00255E0F"/>
    <w:rsid w:val="002565A9"/>
    <w:rsid w:val="00256A6B"/>
    <w:rsid w:val="00257238"/>
    <w:rsid w:val="00260511"/>
    <w:rsid w:val="002605BC"/>
    <w:rsid w:val="00261706"/>
    <w:rsid w:val="00262264"/>
    <w:rsid w:val="0026257B"/>
    <w:rsid w:val="002649FB"/>
    <w:rsid w:val="002669E6"/>
    <w:rsid w:val="00272921"/>
    <w:rsid w:val="002734DD"/>
    <w:rsid w:val="002735D8"/>
    <w:rsid w:val="00273A34"/>
    <w:rsid w:val="0027451B"/>
    <w:rsid w:val="002747F0"/>
    <w:rsid w:val="00277735"/>
    <w:rsid w:val="0028030C"/>
    <w:rsid w:val="002814EB"/>
    <w:rsid w:val="002826CE"/>
    <w:rsid w:val="0028287C"/>
    <w:rsid w:val="00282E5E"/>
    <w:rsid w:val="00290403"/>
    <w:rsid w:val="00291332"/>
    <w:rsid w:val="002921E7"/>
    <w:rsid w:val="00293971"/>
    <w:rsid w:val="00293E90"/>
    <w:rsid w:val="00293F24"/>
    <w:rsid w:val="00293FC3"/>
    <w:rsid w:val="0029436B"/>
    <w:rsid w:val="002943AE"/>
    <w:rsid w:val="00295373"/>
    <w:rsid w:val="0029542C"/>
    <w:rsid w:val="00296729"/>
    <w:rsid w:val="00296869"/>
    <w:rsid w:val="002A0CA7"/>
    <w:rsid w:val="002A0D41"/>
    <w:rsid w:val="002A106A"/>
    <w:rsid w:val="002A1B43"/>
    <w:rsid w:val="002A26A2"/>
    <w:rsid w:val="002A307C"/>
    <w:rsid w:val="002A423C"/>
    <w:rsid w:val="002A53D3"/>
    <w:rsid w:val="002A758B"/>
    <w:rsid w:val="002B368C"/>
    <w:rsid w:val="002B41DB"/>
    <w:rsid w:val="002B42F8"/>
    <w:rsid w:val="002B4572"/>
    <w:rsid w:val="002B74FA"/>
    <w:rsid w:val="002C17E1"/>
    <w:rsid w:val="002C5C34"/>
    <w:rsid w:val="002C614B"/>
    <w:rsid w:val="002D1E1A"/>
    <w:rsid w:val="002D3166"/>
    <w:rsid w:val="002D4362"/>
    <w:rsid w:val="002D6B90"/>
    <w:rsid w:val="002E0CF6"/>
    <w:rsid w:val="002E0EC6"/>
    <w:rsid w:val="002E1BD8"/>
    <w:rsid w:val="002E2637"/>
    <w:rsid w:val="002E372F"/>
    <w:rsid w:val="002E40E8"/>
    <w:rsid w:val="002E49B3"/>
    <w:rsid w:val="002F2F54"/>
    <w:rsid w:val="002F3000"/>
    <w:rsid w:val="002F4F0B"/>
    <w:rsid w:val="002F7016"/>
    <w:rsid w:val="002F7512"/>
    <w:rsid w:val="002F7896"/>
    <w:rsid w:val="0030014B"/>
    <w:rsid w:val="00300163"/>
    <w:rsid w:val="00301E32"/>
    <w:rsid w:val="00307302"/>
    <w:rsid w:val="00311416"/>
    <w:rsid w:val="00311871"/>
    <w:rsid w:val="00313D78"/>
    <w:rsid w:val="00316057"/>
    <w:rsid w:val="0032216C"/>
    <w:rsid w:val="0032316B"/>
    <w:rsid w:val="003232E3"/>
    <w:rsid w:val="003252E6"/>
    <w:rsid w:val="003255D4"/>
    <w:rsid w:val="0032620F"/>
    <w:rsid w:val="00330374"/>
    <w:rsid w:val="00330F98"/>
    <w:rsid w:val="00332021"/>
    <w:rsid w:val="003339C4"/>
    <w:rsid w:val="0033429E"/>
    <w:rsid w:val="003362A5"/>
    <w:rsid w:val="00336C90"/>
    <w:rsid w:val="00337A4E"/>
    <w:rsid w:val="00341453"/>
    <w:rsid w:val="00343D15"/>
    <w:rsid w:val="003443CB"/>
    <w:rsid w:val="00344E3C"/>
    <w:rsid w:val="0035064C"/>
    <w:rsid w:val="00351167"/>
    <w:rsid w:val="00352021"/>
    <w:rsid w:val="00353A7B"/>
    <w:rsid w:val="00354178"/>
    <w:rsid w:val="00354248"/>
    <w:rsid w:val="0035536C"/>
    <w:rsid w:val="00355C1F"/>
    <w:rsid w:val="00356874"/>
    <w:rsid w:val="003573E0"/>
    <w:rsid w:val="00357A1A"/>
    <w:rsid w:val="00357E10"/>
    <w:rsid w:val="0036185F"/>
    <w:rsid w:val="0036348D"/>
    <w:rsid w:val="00363EEA"/>
    <w:rsid w:val="00367ED1"/>
    <w:rsid w:val="00370997"/>
    <w:rsid w:val="00371059"/>
    <w:rsid w:val="00371FF7"/>
    <w:rsid w:val="00372512"/>
    <w:rsid w:val="003752EB"/>
    <w:rsid w:val="003756B2"/>
    <w:rsid w:val="0037651A"/>
    <w:rsid w:val="00376CB5"/>
    <w:rsid w:val="00377856"/>
    <w:rsid w:val="00380828"/>
    <w:rsid w:val="0038374C"/>
    <w:rsid w:val="00383FD1"/>
    <w:rsid w:val="0038493A"/>
    <w:rsid w:val="00385BC4"/>
    <w:rsid w:val="003860ED"/>
    <w:rsid w:val="00387700"/>
    <w:rsid w:val="003905FF"/>
    <w:rsid w:val="003911C3"/>
    <w:rsid w:val="00391926"/>
    <w:rsid w:val="00391ADA"/>
    <w:rsid w:val="00392572"/>
    <w:rsid w:val="0039384C"/>
    <w:rsid w:val="0039584D"/>
    <w:rsid w:val="00396492"/>
    <w:rsid w:val="00396DF0"/>
    <w:rsid w:val="00397AFF"/>
    <w:rsid w:val="003A06BC"/>
    <w:rsid w:val="003A0EAF"/>
    <w:rsid w:val="003A22D7"/>
    <w:rsid w:val="003A27B3"/>
    <w:rsid w:val="003A4744"/>
    <w:rsid w:val="003A5814"/>
    <w:rsid w:val="003A5981"/>
    <w:rsid w:val="003A5AE5"/>
    <w:rsid w:val="003A6267"/>
    <w:rsid w:val="003B0E42"/>
    <w:rsid w:val="003B385B"/>
    <w:rsid w:val="003B3F86"/>
    <w:rsid w:val="003B4951"/>
    <w:rsid w:val="003B4F60"/>
    <w:rsid w:val="003B6A60"/>
    <w:rsid w:val="003C1045"/>
    <w:rsid w:val="003C1728"/>
    <w:rsid w:val="003C3862"/>
    <w:rsid w:val="003C4B1B"/>
    <w:rsid w:val="003C4EC6"/>
    <w:rsid w:val="003C6CD6"/>
    <w:rsid w:val="003D0A2B"/>
    <w:rsid w:val="003D366B"/>
    <w:rsid w:val="003D5242"/>
    <w:rsid w:val="003D6894"/>
    <w:rsid w:val="003D69C5"/>
    <w:rsid w:val="003D7626"/>
    <w:rsid w:val="003D7B57"/>
    <w:rsid w:val="003E0D9F"/>
    <w:rsid w:val="003E3789"/>
    <w:rsid w:val="003E5FA2"/>
    <w:rsid w:val="003E6AC4"/>
    <w:rsid w:val="003E7279"/>
    <w:rsid w:val="003F033B"/>
    <w:rsid w:val="003F1F07"/>
    <w:rsid w:val="003F3CAA"/>
    <w:rsid w:val="003F505D"/>
    <w:rsid w:val="00400B99"/>
    <w:rsid w:val="00401CE8"/>
    <w:rsid w:val="004025F5"/>
    <w:rsid w:val="00403DC1"/>
    <w:rsid w:val="004041FC"/>
    <w:rsid w:val="004043A2"/>
    <w:rsid w:val="004051A5"/>
    <w:rsid w:val="004061BD"/>
    <w:rsid w:val="004066A3"/>
    <w:rsid w:val="004066C0"/>
    <w:rsid w:val="00413784"/>
    <w:rsid w:val="004170A1"/>
    <w:rsid w:val="00420D7E"/>
    <w:rsid w:val="00421293"/>
    <w:rsid w:val="00421A61"/>
    <w:rsid w:val="00422317"/>
    <w:rsid w:val="00422AD4"/>
    <w:rsid w:val="00423EDA"/>
    <w:rsid w:val="00424478"/>
    <w:rsid w:val="00425284"/>
    <w:rsid w:val="00425524"/>
    <w:rsid w:val="00425D03"/>
    <w:rsid w:val="0042648A"/>
    <w:rsid w:val="00426B18"/>
    <w:rsid w:val="00427DE5"/>
    <w:rsid w:val="004313D6"/>
    <w:rsid w:val="00431ACC"/>
    <w:rsid w:val="00432411"/>
    <w:rsid w:val="00433A3A"/>
    <w:rsid w:val="00434026"/>
    <w:rsid w:val="00434081"/>
    <w:rsid w:val="0043443F"/>
    <w:rsid w:val="004353EB"/>
    <w:rsid w:val="00435E45"/>
    <w:rsid w:val="00440B27"/>
    <w:rsid w:val="00441181"/>
    <w:rsid w:val="00441BC3"/>
    <w:rsid w:val="004424BD"/>
    <w:rsid w:val="00443C28"/>
    <w:rsid w:val="00444BD1"/>
    <w:rsid w:val="0044522E"/>
    <w:rsid w:val="004452D8"/>
    <w:rsid w:val="00445526"/>
    <w:rsid w:val="004460F5"/>
    <w:rsid w:val="0044752D"/>
    <w:rsid w:val="0045108B"/>
    <w:rsid w:val="0045108E"/>
    <w:rsid w:val="004530C6"/>
    <w:rsid w:val="00454520"/>
    <w:rsid w:val="004573B6"/>
    <w:rsid w:val="00457E5C"/>
    <w:rsid w:val="004608C8"/>
    <w:rsid w:val="0046106B"/>
    <w:rsid w:val="00461942"/>
    <w:rsid w:val="0046348E"/>
    <w:rsid w:val="00464AE3"/>
    <w:rsid w:val="00465211"/>
    <w:rsid w:val="00465C73"/>
    <w:rsid w:val="00466B04"/>
    <w:rsid w:val="004670AA"/>
    <w:rsid w:val="00470150"/>
    <w:rsid w:val="00470BA9"/>
    <w:rsid w:val="00471C40"/>
    <w:rsid w:val="004734A8"/>
    <w:rsid w:val="00474607"/>
    <w:rsid w:val="0047611E"/>
    <w:rsid w:val="00476C2B"/>
    <w:rsid w:val="00477286"/>
    <w:rsid w:val="0048007E"/>
    <w:rsid w:val="004802ED"/>
    <w:rsid w:val="0048038D"/>
    <w:rsid w:val="004803A7"/>
    <w:rsid w:val="00481545"/>
    <w:rsid w:val="00481BDA"/>
    <w:rsid w:val="00481C92"/>
    <w:rsid w:val="004826F4"/>
    <w:rsid w:val="0048582F"/>
    <w:rsid w:val="00485DDA"/>
    <w:rsid w:val="00485F68"/>
    <w:rsid w:val="00486785"/>
    <w:rsid w:val="004876A7"/>
    <w:rsid w:val="00490D0E"/>
    <w:rsid w:val="00492625"/>
    <w:rsid w:val="004939B2"/>
    <w:rsid w:val="004947D2"/>
    <w:rsid w:val="004964C7"/>
    <w:rsid w:val="00497149"/>
    <w:rsid w:val="004979DE"/>
    <w:rsid w:val="004A1D2E"/>
    <w:rsid w:val="004A2A96"/>
    <w:rsid w:val="004A4564"/>
    <w:rsid w:val="004A46AE"/>
    <w:rsid w:val="004A6367"/>
    <w:rsid w:val="004A675E"/>
    <w:rsid w:val="004A7005"/>
    <w:rsid w:val="004A7DB8"/>
    <w:rsid w:val="004B2314"/>
    <w:rsid w:val="004B3027"/>
    <w:rsid w:val="004B32B3"/>
    <w:rsid w:val="004B4ECC"/>
    <w:rsid w:val="004B5B61"/>
    <w:rsid w:val="004B5E55"/>
    <w:rsid w:val="004B6395"/>
    <w:rsid w:val="004B7635"/>
    <w:rsid w:val="004B7AAA"/>
    <w:rsid w:val="004C09E5"/>
    <w:rsid w:val="004C0A33"/>
    <w:rsid w:val="004C1D0E"/>
    <w:rsid w:val="004C26AE"/>
    <w:rsid w:val="004C3313"/>
    <w:rsid w:val="004C603F"/>
    <w:rsid w:val="004C72B6"/>
    <w:rsid w:val="004D0573"/>
    <w:rsid w:val="004D1014"/>
    <w:rsid w:val="004D30B4"/>
    <w:rsid w:val="004D3717"/>
    <w:rsid w:val="004E08D5"/>
    <w:rsid w:val="004E0E92"/>
    <w:rsid w:val="004E159E"/>
    <w:rsid w:val="004E4623"/>
    <w:rsid w:val="004E4999"/>
    <w:rsid w:val="004E58DA"/>
    <w:rsid w:val="004E646A"/>
    <w:rsid w:val="004E6A8E"/>
    <w:rsid w:val="004E7AC0"/>
    <w:rsid w:val="004F075C"/>
    <w:rsid w:val="004F252A"/>
    <w:rsid w:val="004F2A48"/>
    <w:rsid w:val="004F2E81"/>
    <w:rsid w:val="004F4078"/>
    <w:rsid w:val="005002EB"/>
    <w:rsid w:val="00500AF2"/>
    <w:rsid w:val="005022DE"/>
    <w:rsid w:val="005034C8"/>
    <w:rsid w:val="00503CD2"/>
    <w:rsid w:val="00503EAD"/>
    <w:rsid w:val="00505CEA"/>
    <w:rsid w:val="00505FD6"/>
    <w:rsid w:val="0050629B"/>
    <w:rsid w:val="00506F68"/>
    <w:rsid w:val="00507992"/>
    <w:rsid w:val="005127FD"/>
    <w:rsid w:val="00513994"/>
    <w:rsid w:val="00513CCE"/>
    <w:rsid w:val="00514B69"/>
    <w:rsid w:val="00515B2C"/>
    <w:rsid w:val="00515EBB"/>
    <w:rsid w:val="005162D4"/>
    <w:rsid w:val="00516EB6"/>
    <w:rsid w:val="00520B04"/>
    <w:rsid w:val="0052280C"/>
    <w:rsid w:val="00522A77"/>
    <w:rsid w:val="005233DE"/>
    <w:rsid w:val="00523820"/>
    <w:rsid w:val="00523C55"/>
    <w:rsid w:val="00524524"/>
    <w:rsid w:val="0052491A"/>
    <w:rsid w:val="0052514E"/>
    <w:rsid w:val="005256B0"/>
    <w:rsid w:val="00525828"/>
    <w:rsid w:val="005266D7"/>
    <w:rsid w:val="00527F83"/>
    <w:rsid w:val="00530B06"/>
    <w:rsid w:val="00531438"/>
    <w:rsid w:val="0053149C"/>
    <w:rsid w:val="00531C52"/>
    <w:rsid w:val="0053398F"/>
    <w:rsid w:val="00534891"/>
    <w:rsid w:val="00534DF9"/>
    <w:rsid w:val="00537F6B"/>
    <w:rsid w:val="005400A9"/>
    <w:rsid w:val="00540D53"/>
    <w:rsid w:val="00540DF4"/>
    <w:rsid w:val="005414B3"/>
    <w:rsid w:val="0054241C"/>
    <w:rsid w:val="00542500"/>
    <w:rsid w:val="00542A34"/>
    <w:rsid w:val="00542B68"/>
    <w:rsid w:val="005430AC"/>
    <w:rsid w:val="00543619"/>
    <w:rsid w:val="005436A9"/>
    <w:rsid w:val="00543D63"/>
    <w:rsid w:val="005447A8"/>
    <w:rsid w:val="00544BB7"/>
    <w:rsid w:val="00545832"/>
    <w:rsid w:val="00546A2D"/>
    <w:rsid w:val="005476BE"/>
    <w:rsid w:val="00550DE6"/>
    <w:rsid w:val="00550FE0"/>
    <w:rsid w:val="005512F9"/>
    <w:rsid w:val="00551D4C"/>
    <w:rsid w:val="005534C3"/>
    <w:rsid w:val="0055375C"/>
    <w:rsid w:val="00554A74"/>
    <w:rsid w:val="0055568F"/>
    <w:rsid w:val="005570D4"/>
    <w:rsid w:val="00557F23"/>
    <w:rsid w:val="00560F60"/>
    <w:rsid w:val="00561747"/>
    <w:rsid w:val="00562181"/>
    <w:rsid w:val="00562AEA"/>
    <w:rsid w:val="00562AFD"/>
    <w:rsid w:val="00562C3C"/>
    <w:rsid w:val="005638D7"/>
    <w:rsid w:val="00570CA3"/>
    <w:rsid w:val="0057425D"/>
    <w:rsid w:val="005756D5"/>
    <w:rsid w:val="00576013"/>
    <w:rsid w:val="00576BE3"/>
    <w:rsid w:val="00577152"/>
    <w:rsid w:val="005773C1"/>
    <w:rsid w:val="005807AB"/>
    <w:rsid w:val="00580846"/>
    <w:rsid w:val="0058142B"/>
    <w:rsid w:val="00581FF3"/>
    <w:rsid w:val="005823FB"/>
    <w:rsid w:val="0058246A"/>
    <w:rsid w:val="005828E7"/>
    <w:rsid w:val="00584858"/>
    <w:rsid w:val="00584862"/>
    <w:rsid w:val="005849E6"/>
    <w:rsid w:val="00584DFD"/>
    <w:rsid w:val="00584EF0"/>
    <w:rsid w:val="005854AA"/>
    <w:rsid w:val="00590F34"/>
    <w:rsid w:val="00595F4E"/>
    <w:rsid w:val="00597B36"/>
    <w:rsid w:val="005A1D4C"/>
    <w:rsid w:val="005A26B9"/>
    <w:rsid w:val="005A2E1E"/>
    <w:rsid w:val="005A3192"/>
    <w:rsid w:val="005A3271"/>
    <w:rsid w:val="005A32D5"/>
    <w:rsid w:val="005A6F9E"/>
    <w:rsid w:val="005B0192"/>
    <w:rsid w:val="005B08A2"/>
    <w:rsid w:val="005B2AD8"/>
    <w:rsid w:val="005B2BB1"/>
    <w:rsid w:val="005B2C9E"/>
    <w:rsid w:val="005B3FEE"/>
    <w:rsid w:val="005B4B0E"/>
    <w:rsid w:val="005B6761"/>
    <w:rsid w:val="005C2522"/>
    <w:rsid w:val="005C2557"/>
    <w:rsid w:val="005C256F"/>
    <w:rsid w:val="005C52E0"/>
    <w:rsid w:val="005C5657"/>
    <w:rsid w:val="005C5795"/>
    <w:rsid w:val="005C5BDD"/>
    <w:rsid w:val="005C6F3C"/>
    <w:rsid w:val="005D1362"/>
    <w:rsid w:val="005D24E3"/>
    <w:rsid w:val="005D2C78"/>
    <w:rsid w:val="005D30DB"/>
    <w:rsid w:val="005D3B40"/>
    <w:rsid w:val="005D3BF9"/>
    <w:rsid w:val="005D44FE"/>
    <w:rsid w:val="005D4F74"/>
    <w:rsid w:val="005D5886"/>
    <w:rsid w:val="005D7806"/>
    <w:rsid w:val="005E0336"/>
    <w:rsid w:val="005E0824"/>
    <w:rsid w:val="005E0EE1"/>
    <w:rsid w:val="005E13F4"/>
    <w:rsid w:val="005E4D62"/>
    <w:rsid w:val="005E6262"/>
    <w:rsid w:val="005E7B3E"/>
    <w:rsid w:val="005F060C"/>
    <w:rsid w:val="005F0CE0"/>
    <w:rsid w:val="005F1DDC"/>
    <w:rsid w:val="005F2B6A"/>
    <w:rsid w:val="005F4311"/>
    <w:rsid w:val="005F4925"/>
    <w:rsid w:val="005F6681"/>
    <w:rsid w:val="005F78F4"/>
    <w:rsid w:val="005F7E8F"/>
    <w:rsid w:val="0060017D"/>
    <w:rsid w:val="006016FA"/>
    <w:rsid w:val="00601E9D"/>
    <w:rsid w:val="00603934"/>
    <w:rsid w:val="006039AA"/>
    <w:rsid w:val="006045DB"/>
    <w:rsid w:val="00604D00"/>
    <w:rsid w:val="00606B41"/>
    <w:rsid w:val="00607CB4"/>
    <w:rsid w:val="00610EE8"/>
    <w:rsid w:val="00611B25"/>
    <w:rsid w:val="00611DD0"/>
    <w:rsid w:val="00611F4F"/>
    <w:rsid w:val="006172A6"/>
    <w:rsid w:val="00622A89"/>
    <w:rsid w:val="00624A39"/>
    <w:rsid w:val="006253A8"/>
    <w:rsid w:val="00626FFF"/>
    <w:rsid w:val="0062787D"/>
    <w:rsid w:val="00630DD9"/>
    <w:rsid w:val="00631888"/>
    <w:rsid w:val="00634B86"/>
    <w:rsid w:val="00634E8B"/>
    <w:rsid w:val="006359DB"/>
    <w:rsid w:val="00635BA2"/>
    <w:rsid w:val="006376FF"/>
    <w:rsid w:val="0064395E"/>
    <w:rsid w:val="00644C52"/>
    <w:rsid w:val="00644CA6"/>
    <w:rsid w:val="006453EC"/>
    <w:rsid w:val="00645CB2"/>
    <w:rsid w:val="0065058C"/>
    <w:rsid w:val="006535A3"/>
    <w:rsid w:val="00656757"/>
    <w:rsid w:val="0065794E"/>
    <w:rsid w:val="00657A67"/>
    <w:rsid w:val="006600D2"/>
    <w:rsid w:val="00660C82"/>
    <w:rsid w:val="00660CB7"/>
    <w:rsid w:val="00664D0F"/>
    <w:rsid w:val="00664D7F"/>
    <w:rsid w:val="0066555E"/>
    <w:rsid w:val="0066657F"/>
    <w:rsid w:val="0066679C"/>
    <w:rsid w:val="006678E4"/>
    <w:rsid w:val="00670708"/>
    <w:rsid w:val="0067202E"/>
    <w:rsid w:val="006727B2"/>
    <w:rsid w:val="00673BBE"/>
    <w:rsid w:val="00674C4B"/>
    <w:rsid w:val="00675445"/>
    <w:rsid w:val="0067564D"/>
    <w:rsid w:val="006767DE"/>
    <w:rsid w:val="00680316"/>
    <w:rsid w:val="006806A2"/>
    <w:rsid w:val="006824A5"/>
    <w:rsid w:val="00683114"/>
    <w:rsid w:val="00684234"/>
    <w:rsid w:val="00684339"/>
    <w:rsid w:val="006851CC"/>
    <w:rsid w:val="00685609"/>
    <w:rsid w:val="0068588F"/>
    <w:rsid w:val="00685B3D"/>
    <w:rsid w:val="00691688"/>
    <w:rsid w:val="00691B08"/>
    <w:rsid w:val="00692290"/>
    <w:rsid w:val="00694C5B"/>
    <w:rsid w:val="00694CDC"/>
    <w:rsid w:val="00695AF7"/>
    <w:rsid w:val="00695EC5"/>
    <w:rsid w:val="006A05CD"/>
    <w:rsid w:val="006A0B28"/>
    <w:rsid w:val="006A1B3E"/>
    <w:rsid w:val="006A39DD"/>
    <w:rsid w:val="006A3E0F"/>
    <w:rsid w:val="006A3FA7"/>
    <w:rsid w:val="006A45FE"/>
    <w:rsid w:val="006A47FC"/>
    <w:rsid w:val="006A539E"/>
    <w:rsid w:val="006A5D17"/>
    <w:rsid w:val="006A78D9"/>
    <w:rsid w:val="006B0475"/>
    <w:rsid w:val="006B0BC4"/>
    <w:rsid w:val="006B11E2"/>
    <w:rsid w:val="006B1615"/>
    <w:rsid w:val="006B2226"/>
    <w:rsid w:val="006B2557"/>
    <w:rsid w:val="006B260E"/>
    <w:rsid w:val="006B273E"/>
    <w:rsid w:val="006B5019"/>
    <w:rsid w:val="006B5971"/>
    <w:rsid w:val="006B5E18"/>
    <w:rsid w:val="006B7104"/>
    <w:rsid w:val="006C02B3"/>
    <w:rsid w:val="006C3101"/>
    <w:rsid w:val="006C4EA7"/>
    <w:rsid w:val="006C6258"/>
    <w:rsid w:val="006C6AFC"/>
    <w:rsid w:val="006C7072"/>
    <w:rsid w:val="006D0B51"/>
    <w:rsid w:val="006D0EAF"/>
    <w:rsid w:val="006D11B8"/>
    <w:rsid w:val="006D1A11"/>
    <w:rsid w:val="006D300B"/>
    <w:rsid w:val="006D384D"/>
    <w:rsid w:val="006D5C1F"/>
    <w:rsid w:val="006D6293"/>
    <w:rsid w:val="006D667F"/>
    <w:rsid w:val="006D7D9A"/>
    <w:rsid w:val="006E0442"/>
    <w:rsid w:val="006E2891"/>
    <w:rsid w:val="006E2E64"/>
    <w:rsid w:val="006E33E4"/>
    <w:rsid w:val="006E48A8"/>
    <w:rsid w:val="006E4EC5"/>
    <w:rsid w:val="006E562D"/>
    <w:rsid w:val="006E74F6"/>
    <w:rsid w:val="006F17C4"/>
    <w:rsid w:val="006F37C5"/>
    <w:rsid w:val="006F4406"/>
    <w:rsid w:val="006F45C1"/>
    <w:rsid w:val="006F4776"/>
    <w:rsid w:val="006F581A"/>
    <w:rsid w:val="006F5FBB"/>
    <w:rsid w:val="006F756A"/>
    <w:rsid w:val="007005E5"/>
    <w:rsid w:val="00701249"/>
    <w:rsid w:val="00702119"/>
    <w:rsid w:val="00702209"/>
    <w:rsid w:val="00704321"/>
    <w:rsid w:val="007064FA"/>
    <w:rsid w:val="00706A3A"/>
    <w:rsid w:val="00711633"/>
    <w:rsid w:val="0071170D"/>
    <w:rsid w:val="00711996"/>
    <w:rsid w:val="00711F35"/>
    <w:rsid w:val="007156D7"/>
    <w:rsid w:val="00715A4A"/>
    <w:rsid w:val="00715E97"/>
    <w:rsid w:val="007164A7"/>
    <w:rsid w:val="007171FA"/>
    <w:rsid w:val="00720856"/>
    <w:rsid w:val="00720CAB"/>
    <w:rsid w:val="00721CF9"/>
    <w:rsid w:val="00723AF1"/>
    <w:rsid w:val="00723F97"/>
    <w:rsid w:val="00724356"/>
    <w:rsid w:val="00724F98"/>
    <w:rsid w:val="0072525C"/>
    <w:rsid w:val="00726962"/>
    <w:rsid w:val="00727E7F"/>
    <w:rsid w:val="0073084F"/>
    <w:rsid w:val="00730A2D"/>
    <w:rsid w:val="00730B35"/>
    <w:rsid w:val="00731A88"/>
    <w:rsid w:val="0073385C"/>
    <w:rsid w:val="00733C3E"/>
    <w:rsid w:val="007356DC"/>
    <w:rsid w:val="007368BD"/>
    <w:rsid w:val="00737C4A"/>
    <w:rsid w:val="00742A0F"/>
    <w:rsid w:val="00742A97"/>
    <w:rsid w:val="0074377E"/>
    <w:rsid w:val="007438E3"/>
    <w:rsid w:val="0074538B"/>
    <w:rsid w:val="00745A04"/>
    <w:rsid w:val="00745AD4"/>
    <w:rsid w:val="007468C1"/>
    <w:rsid w:val="00746E22"/>
    <w:rsid w:val="007509B3"/>
    <w:rsid w:val="007526D2"/>
    <w:rsid w:val="007535BC"/>
    <w:rsid w:val="0075529A"/>
    <w:rsid w:val="00755660"/>
    <w:rsid w:val="007564A1"/>
    <w:rsid w:val="0076077D"/>
    <w:rsid w:val="00762CB0"/>
    <w:rsid w:val="007644F8"/>
    <w:rsid w:val="00766940"/>
    <w:rsid w:val="007670DF"/>
    <w:rsid w:val="00767665"/>
    <w:rsid w:val="00770191"/>
    <w:rsid w:val="00770932"/>
    <w:rsid w:val="00770992"/>
    <w:rsid w:val="007717D9"/>
    <w:rsid w:val="00771975"/>
    <w:rsid w:val="00772427"/>
    <w:rsid w:val="00773975"/>
    <w:rsid w:val="0077399A"/>
    <w:rsid w:val="00775E3A"/>
    <w:rsid w:val="00781633"/>
    <w:rsid w:val="007826A3"/>
    <w:rsid w:val="007827E9"/>
    <w:rsid w:val="0078323F"/>
    <w:rsid w:val="0078345D"/>
    <w:rsid w:val="00784E16"/>
    <w:rsid w:val="00786230"/>
    <w:rsid w:val="0078691E"/>
    <w:rsid w:val="00787BDC"/>
    <w:rsid w:val="00790303"/>
    <w:rsid w:val="0079180D"/>
    <w:rsid w:val="00791DFB"/>
    <w:rsid w:val="00791F50"/>
    <w:rsid w:val="007941FF"/>
    <w:rsid w:val="00794F1C"/>
    <w:rsid w:val="00795F1F"/>
    <w:rsid w:val="0079716E"/>
    <w:rsid w:val="00797CC0"/>
    <w:rsid w:val="007A0BF3"/>
    <w:rsid w:val="007A1C29"/>
    <w:rsid w:val="007A2ABC"/>
    <w:rsid w:val="007A3380"/>
    <w:rsid w:val="007A3503"/>
    <w:rsid w:val="007A3CE3"/>
    <w:rsid w:val="007A5A79"/>
    <w:rsid w:val="007A5CDD"/>
    <w:rsid w:val="007B0D6A"/>
    <w:rsid w:val="007B2169"/>
    <w:rsid w:val="007B281D"/>
    <w:rsid w:val="007B39CD"/>
    <w:rsid w:val="007B3BD1"/>
    <w:rsid w:val="007B42A3"/>
    <w:rsid w:val="007B5677"/>
    <w:rsid w:val="007B64BF"/>
    <w:rsid w:val="007C0EB7"/>
    <w:rsid w:val="007C124E"/>
    <w:rsid w:val="007C1E16"/>
    <w:rsid w:val="007C1F71"/>
    <w:rsid w:val="007C2FAF"/>
    <w:rsid w:val="007C3471"/>
    <w:rsid w:val="007C5F8C"/>
    <w:rsid w:val="007C633A"/>
    <w:rsid w:val="007D03D5"/>
    <w:rsid w:val="007D468F"/>
    <w:rsid w:val="007D4CFF"/>
    <w:rsid w:val="007D5086"/>
    <w:rsid w:val="007D7A04"/>
    <w:rsid w:val="007E1CF1"/>
    <w:rsid w:val="007E3280"/>
    <w:rsid w:val="007E3BF6"/>
    <w:rsid w:val="007E4477"/>
    <w:rsid w:val="007E508F"/>
    <w:rsid w:val="007E5310"/>
    <w:rsid w:val="007E56F2"/>
    <w:rsid w:val="007E5CCC"/>
    <w:rsid w:val="007E5D4C"/>
    <w:rsid w:val="007E7D42"/>
    <w:rsid w:val="007F322C"/>
    <w:rsid w:val="007F4973"/>
    <w:rsid w:val="007F53A1"/>
    <w:rsid w:val="007F67EA"/>
    <w:rsid w:val="007F6989"/>
    <w:rsid w:val="007F6C4E"/>
    <w:rsid w:val="007F7A4C"/>
    <w:rsid w:val="008012BA"/>
    <w:rsid w:val="008016D6"/>
    <w:rsid w:val="00802640"/>
    <w:rsid w:val="00804A19"/>
    <w:rsid w:val="008078DE"/>
    <w:rsid w:val="00807B7E"/>
    <w:rsid w:val="0081015E"/>
    <w:rsid w:val="00810B92"/>
    <w:rsid w:val="00814362"/>
    <w:rsid w:val="00814C17"/>
    <w:rsid w:val="00816937"/>
    <w:rsid w:val="0081732B"/>
    <w:rsid w:val="00817AB8"/>
    <w:rsid w:val="00820657"/>
    <w:rsid w:val="00820DE3"/>
    <w:rsid w:val="00820EF8"/>
    <w:rsid w:val="00821C6B"/>
    <w:rsid w:val="00821E0A"/>
    <w:rsid w:val="008223F0"/>
    <w:rsid w:val="00822883"/>
    <w:rsid w:val="00822FDE"/>
    <w:rsid w:val="0082354F"/>
    <w:rsid w:val="008236EB"/>
    <w:rsid w:val="008266D5"/>
    <w:rsid w:val="008277B5"/>
    <w:rsid w:val="008319D2"/>
    <w:rsid w:val="008324CF"/>
    <w:rsid w:val="00832982"/>
    <w:rsid w:val="00833D10"/>
    <w:rsid w:val="008347BA"/>
    <w:rsid w:val="00835725"/>
    <w:rsid w:val="008357B1"/>
    <w:rsid w:val="008359BE"/>
    <w:rsid w:val="00836023"/>
    <w:rsid w:val="00836B27"/>
    <w:rsid w:val="00837D5D"/>
    <w:rsid w:val="008403D0"/>
    <w:rsid w:val="008408F1"/>
    <w:rsid w:val="00840F2F"/>
    <w:rsid w:val="008416D4"/>
    <w:rsid w:val="00841E9C"/>
    <w:rsid w:val="00842B4F"/>
    <w:rsid w:val="0084300E"/>
    <w:rsid w:val="00843A70"/>
    <w:rsid w:val="00843A93"/>
    <w:rsid w:val="008441C0"/>
    <w:rsid w:val="00845354"/>
    <w:rsid w:val="008453B8"/>
    <w:rsid w:val="008479C5"/>
    <w:rsid w:val="00847EFF"/>
    <w:rsid w:val="00850355"/>
    <w:rsid w:val="008504DA"/>
    <w:rsid w:val="00853CD2"/>
    <w:rsid w:val="008544E3"/>
    <w:rsid w:val="00856F79"/>
    <w:rsid w:val="00857C17"/>
    <w:rsid w:val="008616F5"/>
    <w:rsid w:val="00862D96"/>
    <w:rsid w:val="008659EB"/>
    <w:rsid w:val="008666A5"/>
    <w:rsid w:val="00871AF9"/>
    <w:rsid w:val="008720C0"/>
    <w:rsid w:val="008729BB"/>
    <w:rsid w:val="00873536"/>
    <w:rsid w:val="0087436E"/>
    <w:rsid w:val="00874EDF"/>
    <w:rsid w:val="00875147"/>
    <w:rsid w:val="008754C4"/>
    <w:rsid w:val="008758ED"/>
    <w:rsid w:val="0087695A"/>
    <w:rsid w:val="00877553"/>
    <w:rsid w:val="008778D5"/>
    <w:rsid w:val="00880417"/>
    <w:rsid w:val="00880911"/>
    <w:rsid w:val="00880E41"/>
    <w:rsid w:val="0088170E"/>
    <w:rsid w:val="00881A2A"/>
    <w:rsid w:val="008853B6"/>
    <w:rsid w:val="00886EC3"/>
    <w:rsid w:val="008901AC"/>
    <w:rsid w:val="0089081D"/>
    <w:rsid w:val="00890D94"/>
    <w:rsid w:val="00890E30"/>
    <w:rsid w:val="00893F61"/>
    <w:rsid w:val="008947CF"/>
    <w:rsid w:val="00894D91"/>
    <w:rsid w:val="00894DB6"/>
    <w:rsid w:val="00895DE8"/>
    <w:rsid w:val="008967BD"/>
    <w:rsid w:val="008A3264"/>
    <w:rsid w:val="008A6985"/>
    <w:rsid w:val="008A7124"/>
    <w:rsid w:val="008A78E1"/>
    <w:rsid w:val="008B09DD"/>
    <w:rsid w:val="008B1C9C"/>
    <w:rsid w:val="008B2994"/>
    <w:rsid w:val="008B6AE2"/>
    <w:rsid w:val="008C148D"/>
    <w:rsid w:val="008C43C4"/>
    <w:rsid w:val="008C5D86"/>
    <w:rsid w:val="008C60B2"/>
    <w:rsid w:val="008C75C8"/>
    <w:rsid w:val="008D0682"/>
    <w:rsid w:val="008D2932"/>
    <w:rsid w:val="008D4669"/>
    <w:rsid w:val="008D4F16"/>
    <w:rsid w:val="008D5E74"/>
    <w:rsid w:val="008D6212"/>
    <w:rsid w:val="008D722B"/>
    <w:rsid w:val="008D75A3"/>
    <w:rsid w:val="008D7A6C"/>
    <w:rsid w:val="008E2675"/>
    <w:rsid w:val="008E3F43"/>
    <w:rsid w:val="008E58D5"/>
    <w:rsid w:val="008E7CA0"/>
    <w:rsid w:val="008F0393"/>
    <w:rsid w:val="008F0D93"/>
    <w:rsid w:val="008F1431"/>
    <w:rsid w:val="008F14A5"/>
    <w:rsid w:val="008F34B7"/>
    <w:rsid w:val="008F3532"/>
    <w:rsid w:val="008F4719"/>
    <w:rsid w:val="008F5B1E"/>
    <w:rsid w:val="008F61C9"/>
    <w:rsid w:val="008F6442"/>
    <w:rsid w:val="00900EE5"/>
    <w:rsid w:val="009010E4"/>
    <w:rsid w:val="0090376A"/>
    <w:rsid w:val="00904638"/>
    <w:rsid w:val="00905092"/>
    <w:rsid w:val="0090614A"/>
    <w:rsid w:val="00906165"/>
    <w:rsid w:val="00906B99"/>
    <w:rsid w:val="00906C47"/>
    <w:rsid w:val="00907C01"/>
    <w:rsid w:val="0091076E"/>
    <w:rsid w:val="00910810"/>
    <w:rsid w:val="0091124A"/>
    <w:rsid w:val="009114B1"/>
    <w:rsid w:val="00911937"/>
    <w:rsid w:val="009128C2"/>
    <w:rsid w:val="009129E6"/>
    <w:rsid w:val="00912D12"/>
    <w:rsid w:val="00912E57"/>
    <w:rsid w:val="00913A02"/>
    <w:rsid w:val="00914D27"/>
    <w:rsid w:val="00916341"/>
    <w:rsid w:val="009165DD"/>
    <w:rsid w:val="0091718A"/>
    <w:rsid w:val="009206F1"/>
    <w:rsid w:val="00920EBB"/>
    <w:rsid w:val="009231F8"/>
    <w:rsid w:val="009235F5"/>
    <w:rsid w:val="009245FC"/>
    <w:rsid w:val="00926339"/>
    <w:rsid w:val="009302EA"/>
    <w:rsid w:val="00931A85"/>
    <w:rsid w:val="009326EE"/>
    <w:rsid w:val="0093358F"/>
    <w:rsid w:val="00933637"/>
    <w:rsid w:val="00933DB9"/>
    <w:rsid w:val="00936BE0"/>
    <w:rsid w:val="00937727"/>
    <w:rsid w:val="00937F6B"/>
    <w:rsid w:val="0094430E"/>
    <w:rsid w:val="00944604"/>
    <w:rsid w:val="00944BC6"/>
    <w:rsid w:val="00945BBE"/>
    <w:rsid w:val="0094744B"/>
    <w:rsid w:val="00947B57"/>
    <w:rsid w:val="00950018"/>
    <w:rsid w:val="00952054"/>
    <w:rsid w:val="00953CE4"/>
    <w:rsid w:val="00956152"/>
    <w:rsid w:val="0095616A"/>
    <w:rsid w:val="0095641A"/>
    <w:rsid w:val="00956E1D"/>
    <w:rsid w:val="00960A98"/>
    <w:rsid w:val="0096254E"/>
    <w:rsid w:val="00962900"/>
    <w:rsid w:val="0096345B"/>
    <w:rsid w:val="0096393E"/>
    <w:rsid w:val="009652FD"/>
    <w:rsid w:val="00966F8C"/>
    <w:rsid w:val="00967DC1"/>
    <w:rsid w:val="0097095B"/>
    <w:rsid w:val="00970E4F"/>
    <w:rsid w:val="0097210C"/>
    <w:rsid w:val="00972642"/>
    <w:rsid w:val="00972964"/>
    <w:rsid w:val="00972EF7"/>
    <w:rsid w:val="00973397"/>
    <w:rsid w:val="00973786"/>
    <w:rsid w:val="00974051"/>
    <w:rsid w:val="00974D9B"/>
    <w:rsid w:val="00974EB4"/>
    <w:rsid w:val="00975101"/>
    <w:rsid w:val="00977611"/>
    <w:rsid w:val="00977DDF"/>
    <w:rsid w:val="00981905"/>
    <w:rsid w:val="0098261E"/>
    <w:rsid w:val="0098382E"/>
    <w:rsid w:val="00984CE2"/>
    <w:rsid w:val="00990486"/>
    <w:rsid w:val="009912D5"/>
    <w:rsid w:val="00993DCE"/>
    <w:rsid w:val="009941D3"/>
    <w:rsid w:val="009952D1"/>
    <w:rsid w:val="0099546C"/>
    <w:rsid w:val="009959AB"/>
    <w:rsid w:val="0099667F"/>
    <w:rsid w:val="0099732B"/>
    <w:rsid w:val="0099738D"/>
    <w:rsid w:val="00997FA5"/>
    <w:rsid w:val="009A1634"/>
    <w:rsid w:val="009A291B"/>
    <w:rsid w:val="009A294E"/>
    <w:rsid w:val="009A2A07"/>
    <w:rsid w:val="009A5183"/>
    <w:rsid w:val="009A5884"/>
    <w:rsid w:val="009A6C44"/>
    <w:rsid w:val="009A7A04"/>
    <w:rsid w:val="009B04ED"/>
    <w:rsid w:val="009B13ED"/>
    <w:rsid w:val="009B41F1"/>
    <w:rsid w:val="009B4649"/>
    <w:rsid w:val="009B5719"/>
    <w:rsid w:val="009B6207"/>
    <w:rsid w:val="009B6734"/>
    <w:rsid w:val="009B716F"/>
    <w:rsid w:val="009C3419"/>
    <w:rsid w:val="009C4DF9"/>
    <w:rsid w:val="009C6038"/>
    <w:rsid w:val="009C65FE"/>
    <w:rsid w:val="009C7358"/>
    <w:rsid w:val="009D019C"/>
    <w:rsid w:val="009D1CEE"/>
    <w:rsid w:val="009D1EFE"/>
    <w:rsid w:val="009D2A8B"/>
    <w:rsid w:val="009D52DA"/>
    <w:rsid w:val="009D570C"/>
    <w:rsid w:val="009D668C"/>
    <w:rsid w:val="009D6A44"/>
    <w:rsid w:val="009D7F74"/>
    <w:rsid w:val="009E10EE"/>
    <w:rsid w:val="009E2429"/>
    <w:rsid w:val="009E2633"/>
    <w:rsid w:val="009E46C3"/>
    <w:rsid w:val="009E5098"/>
    <w:rsid w:val="009E70C9"/>
    <w:rsid w:val="009E74BA"/>
    <w:rsid w:val="009E7CF5"/>
    <w:rsid w:val="009F0540"/>
    <w:rsid w:val="009F0606"/>
    <w:rsid w:val="009F2C48"/>
    <w:rsid w:val="009F462F"/>
    <w:rsid w:val="009F5F61"/>
    <w:rsid w:val="009F5FB9"/>
    <w:rsid w:val="009F6DFB"/>
    <w:rsid w:val="009F798A"/>
    <w:rsid w:val="00A0198F"/>
    <w:rsid w:val="00A01B7A"/>
    <w:rsid w:val="00A021E7"/>
    <w:rsid w:val="00A059D4"/>
    <w:rsid w:val="00A060A0"/>
    <w:rsid w:val="00A074CA"/>
    <w:rsid w:val="00A07690"/>
    <w:rsid w:val="00A10094"/>
    <w:rsid w:val="00A12A64"/>
    <w:rsid w:val="00A137CD"/>
    <w:rsid w:val="00A13C14"/>
    <w:rsid w:val="00A14B0D"/>
    <w:rsid w:val="00A17987"/>
    <w:rsid w:val="00A179BC"/>
    <w:rsid w:val="00A20C24"/>
    <w:rsid w:val="00A21694"/>
    <w:rsid w:val="00A22FF6"/>
    <w:rsid w:val="00A23182"/>
    <w:rsid w:val="00A24B4A"/>
    <w:rsid w:val="00A25161"/>
    <w:rsid w:val="00A2519A"/>
    <w:rsid w:val="00A26372"/>
    <w:rsid w:val="00A26726"/>
    <w:rsid w:val="00A26777"/>
    <w:rsid w:val="00A30CE3"/>
    <w:rsid w:val="00A3142C"/>
    <w:rsid w:val="00A3335D"/>
    <w:rsid w:val="00A34D0B"/>
    <w:rsid w:val="00A35C88"/>
    <w:rsid w:val="00A365B0"/>
    <w:rsid w:val="00A3778A"/>
    <w:rsid w:val="00A37F68"/>
    <w:rsid w:val="00A41237"/>
    <w:rsid w:val="00A426FD"/>
    <w:rsid w:val="00A436D7"/>
    <w:rsid w:val="00A436E2"/>
    <w:rsid w:val="00A442A9"/>
    <w:rsid w:val="00A4490C"/>
    <w:rsid w:val="00A45FD6"/>
    <w:rsid w:val="00A47236"/>
    <w:rsid w:val="00A47C98"/>
    <w:rsid w:val="00A511EC"/>
    <w:rsid w:val="00A53441"/>
    <w:rsid w:val="00A53D8C"/>
    <w:rsid w:val="00A5633C"/>
    <w:rsid w:val="00A56875"/>
    <w:rsid w:val="00A57AE2"/>
    <w:rsid w:val="00A57D3C"/>
    <w:rsid w:val="00A60224"/>
    <w:rsid w:val="00A60D7B"/>
    <w:rsid w:val="00A618B3"/>
    <w:rsid w:val="00A65A65"/>
    <w:rsid w:val="00A70029"/>
    <w:rsid w:val="00A70773"/>
    <w:rsid w:val="00A7107E"/>
    <w:rsid w:val="00A737C3"/>
    <w:rsid w:val="00A73EA0"/>
    <w:rsid w:val="00A83489"/>
    <w:rsid w:val="00A84112"/>
    <w:rsid w:val="00A853B9"/>
    <w:rsid w:val="00A85DA1"/>
    <w:rsid w:val="00A86ADA"/>
    <w:rsid w:val="00A87690"/>
    <w:rsid w:val="00A91438"/>
    <w:rsid w:val="00A91476"/>
    <w:rsid w:val="00A92E6E"/>
    <w:rsid w:val="00A93F4A"/>
    <w:rsid w:val="00A94ED6"/>
    <w:rsid w:val="00A9517E"/>
    <w:rsid w:val="00A95DF2"/>
    <w:rsid w:val="00A96781"/>
    <w:rsid w:val="00AA1F53"/>
    <w:rsid w:val="00AA23CF"/>
    <w:rsid w:val="00AA2F88"/>
    <w:rsid w:val="00AA31FC"/>
    <w:rsid w:val="00AA3F15"/>
    <w:rsid w:val="00AA5799"/>
    <w:rsid w:val="00AA6469"/>
    <w:rsid w:val="00AA6C17"/>
    <w:rsid w:val="00AB072C"/>
    <w:rsid w:val="00AB1A43"/>
    <w:rsid w:val="00AB1DF7"/>
    <w:rsid w:val="00AB3004"/>
    <w:rsid w:val="00AB4226"/>
    <w:rsid w:val="00AB44E2"/>
    <w:rsid w:val="00AB4AC8"/>
    <w:rsid w:val="00AB57D5"/>
    <w:rsid w:val="00AB6071"/>
    <w:rsid w:val="00AB6F58"/>
    <w:rsid w:val="00AB72ED"/>
    <w:rsid w:val="00AC1FD7"/>
    <w:rsid w:val="00AC1FF2"/>
    <w:rsid w:val="00AC28D2"/>
    <w:rsid w:val="00AC56E2"/>
    <w:rsid w:val="00AC62AF"/>
    <w:rsid w:val="00AC64C6"/>
    <w:rsid w:val="00AD08B6"/>
    <w:rsid w:val="00AD1CB3"/>
    <w:rsid w:val="00AD1DC4"/>
    <w:rsid w:val="00AD27CD"/>
    <w:rsid w:val="00AD32A7"/>
    <w:rsid w:val="00AD4593"/>
    <w:rsid w:val="00AD5251"/>
    <w:rsid w:val="00AD57CE"/>
    <w:rsid w:val="00AD58A8"/>
    <w:rsid w:val="00AD788B"/>
    <w:rsid w:val="00AD7D35"/>
    <w:rsid w:val="00AE1084"/>
    <w:rsid w:val="00AE1AF2"/>
    <w:rsid w:val="00AE1E5A"/>
    <w:rsid w:val="00AE384C"/>
    <w:rsid w:val="00AE3E52"/>
    <w:rsid w:val="00AE521B"/>
    <w:rsid w:val="00AE5D20"/>
    <w:rsid w:val="00AE7E7E"/>
    <w:rsid w:val="00AF37EA"/>
    <w:rsid w:val="00AF3AC0"/>
    <w:rsid w:val="00AF3EC1"/>
    <w:rsid w:val="00AF5CB7"/>
    <w:rsid w:val="00B004DC"/>
    <w:rsid w:val="00B0165D"/>
    <w:rsid w:val="00B031E4"/>
    <w:rsid w:val="00B069C7"/>
    <w:rsid w:val="00B0720D"/>
    <w:rsid w:val="00B1038E"/>
    <w:rsid w:val="00B10588"/>
    <w:rsid w:val="00B110F6"/>
    <w:rsid w:val="00B11693"/>
    <w:rsid w:val="00B13554"/>
    <w:rsid w:val="00B145BA"/>
    <w:rsid w:val="00B14B0E"/>
    <w:rsid w:val="00B155AD"/>
    <w:rsid w:val="00B20702"/>
    <w:rsid w:val="00B20F24"/>
    <w:rsid w:val="00B214D9"/>
    <w:rsid w:val="00B21FC6"/>
    <w:rsid w:val="00B23A44"/>
    <w:rsid w:val="00B24DC4"/>
    <w:rsid w:val="00B254B6"/>
    <w:rsid w:val="00B2762D"/>
    <w:rsid w:val="00B30970"/>
    <w:rsid w:val="00B30F80"/>
    <w:rsid w:val="00B3134B"/>
    <w:rsid w:val="00B33D2E"/>
    <w:rsid w:val="00B3462C"/>
    <w:rsid w:val="00B34F35"/>
    <w:rsid w:val="00B35B47"/>
    <w:rsid w:val="00B360B9"/>
    <w:rsid w:val="00B366A8"/>
    <w:rsid w:val="00B379D6"/>
    <w:rsid w:val="00B40D1B"/>
    <w:rsid w:val="00B44997"/>
    <w:rsid w:val="00B45AB1"/>
    <w:rsid w:val="00B4691F"/>
    <w:rsid w:val="00B46A71"/>
    <w:rsid w:val="00B47B3D"/>
    <w:rsid w:val="00B508FD"/>
    <w:rsid w:val="00B5134D"/>
    <w:rsid w:val="00B51630"/>
    <w:rsid w:val="00B52162"/>
    <w:rsid w:val="00B5272F"/>
    <w:rsid w:val="00B54ED7"/>
    <w:rsid w:val="00B56F65"/>
    <w:rsid w:val="00B570B9"/>
    <w:rsid w:val="00B57270"/>
    <w:rsid w:val="00B60258"/>
    <w:rsid w:val="00B61CF3"/>
    <w:rsid w:val="00B62D33"/>
    <w:rsid w:val="00B67060"/>
    <w:rsid w:val="00B6729F"/>
    <w:rsid w:val="00B67EB8"/>
    <w:rsid w:val="00B718BE"/>
    <w:rsid w:val="00B71D53"/>
    <w:rsid w:val="00B727E5"/>
    <w:rsid w:val="00B73B1C"/>
    <w:rsid w:val="00B7684A"/>
    <w:rsid w:val="00B77283"/>
    <w:rsid w:val="00B776C3"/>
    <w:rsid w:val="00B80218"/>
    <w:rsid w:val="00B810A7"/>
    <w:rsid w:val="00B8211D"/>
    <w:rsid w:val="00B8274C"/>
    <w:rsid w:val="00B8298A"/>
    <w:rsid w:val="00B82D94"/>
    <w:rsid w:val="00B83E45"/>
    <w:rsid w:val="00B846BF"/>
    <w:rsid w:val="00B853F3"/>
    <w:rsid w:val="00B856FB"/>
    <w:rsid w:val="00B90E3F"/>
    <w:rsid w:val="00B910A3"/>
    <w:rsid w:val="00B92D96"/>
    <w:rsid w:val="00BA0C3E"/>
    <w:rsid w:val="00BA1836"/>
    <w:rsid w:val="00BA1F67"/>
    <w:rsid w:val="00BA61F7"/>
    <w:rsid w:val="00BA6568"/>
    <w:rsid w:val="00BA743D"/>
    <w:rsid w:val="00BB0339"/>
    <w:rsid w:val="00BB0677"/>
    <w:rsid w:val="00BB3132"/>
    <w:rsid w:val="00BB60A2"/>
    <w:rsid w:val="00BB765D"/>
    <w:rsid w:val="00BC1078"/>
    <w:rsid w:val="00BC1B4E"/>
    <w:rsid w:val="00BC210D"/>
    <w:rsid w:val="00BC2924"/>
    <w:rsid w:val="00BC3754"/>
    <w:rsid w:val="00BC3EEB"/>
    <w:rsid w:val="00BC4CFF"/>
    <w:rsid w:val="00BC6145"/>
    <w:rsid w:val="00BC627E"/>
    <w:rsid w:val="00BD1DBE"/>
    <w:rsid w:val="00BD2849"/>
    <w:rsid w:val="00BD3C77"/>
    <w:rsid w:val="00BD60D5"/>
    <w:rsid w:val="00BD6459"/>
    <w:rsid w:val="00BD6500"/>
    <w:rsid w:val="00BE0644"/>
    <w:rsid w:val="00BE14DE"/>
    <w:rsid w:val="00BE3524"/>
    <w:rsid w:val="00BE39E5"/>
    <w:rsid w:val="00BE41FB"/>
    <w:rsid w:val="00BE4A4A"/>
    <w:rsid w:val="00BE4F49"/>
    <w:rsid w:val="00BF06CC"/>
    <w:rsid w:val="00BF14A8"/>
    <w:rsid w:val="00BF1D00"/>
    <w:rsid w:val="00BF1D15"/>
    <w:rsid w:val="00BF20CF"/>
    <w:rsid w:val="00BF3EAE"/>
    <w:rsid w:val="00BF5DFB"/>
    <w:rsid w:val="00BF5F04"/>
    <w:rsid w:val="00BF5F60"/>
    <w:rsid w:val="00BF6C64"/>
    <w:rsid w:val="00BF74C5"/>
    <w:rsid w:val="00BF76B8"/>
    <w:rsid w:val="00C00CED"/>
    <w:rsid w:val="00C016D0"/>
    <w:rsid w:val="00C01D55"/>
    <w:rsid w:val="00C022A3"/>
    <w:rsid w:val="00C061F7"/>
    <w:rsid w:val="00C101DB"/>
    <w:rsid w:val="00C12891"/>
    <w:rsid w:val="00C15D80"/>
    <w:rsid w:val="00C1634A"/>
    <w:rsid w:val="00C208AD"/>
    <w:rsid w:val="00C20BA0"/>
    <w:rsid w:val="00C22BAA"/>
    <w:rsid w:val="00C240D3"/>
    <w:rsid w:val="00C279D6"/>
    <w:rsid w:val="00C27B43"/>
    <w:rsid w:val="00C305EF"/>
    <w:rsid w:val="00C31CC0"/>
    <w:rsid w:val="00C31E76"/>
    <w:rsid w:val="00C3216C"/>
    <w:rsid w:val="00C34586"/>
    <w:rsid w:val="00C35B09"/>
    <w:rsid w:val="00C36E38"/>
    <w:rsid w:val="00C37EDB"/>
    <w:rsid w:val="00C40257"/>
    <w:rsid w:val="00C42706"/>
    <w:rsid w:val="00C429E3"/>
    <w:rsid w:val="00C43031"/>
    <w:rsid w:val="00C447DA"/>
    <w:rsid w:val="00C46B47"/>
    <w:rsid w:val="00C475BF"/>
    <w:rsid w:val="00C519F8"/>
    <w:rsid w:val="00C54D3F"/>
    <w:rsid w:val="00C56C05"/>
    <w:rsid w:val="00C5704E"/>
    <w:rsid w:val="00C6071C"/>
    <w:rsid w:val="00C610A2"/>
    <w:rsid w:val="00C61E18"/>
    <w:rsid w:val="00C61F56"/>
    <w:rsid w:val="00C67C4D"/>
    <w:rsid w:val="00C7284D"/>
    <w:rsid w:val="00C73F98"/>
    <w:rsid w:val="00C741BF"/>
    <w:rsid w:val="00C77D06"/>
    <w:rsid w:val="00C80ADC"/>
    <w:rsid w:val="00C8276D"/>
    <w:rsid w:val="00C8294C"/>
    <w:rsid w:val="00C85B78"/>
    <w:rsid w:val="00C863F7"/>
    <w:rsid w:val="00C86AE0"/>
    <w:rsid w:val="00C86D6E"/>
    <w:rsid w:val="00C87D69"/>
    <w:rsid w:val="00C92007"/>
    <w:rsid w:val="00C9284B"/>
    <w:rsid w:val="00C92D4D"/>
    <w:rsid w:val="00C937E1"/>
    <w:rsid w:val="00C95014"/>
    <w:rsid w:val="00C9585F"/>
    <w:rsid w:val="00C9779B"/>
    <w:rsid w:val="00C977BF"/>
    <w:rsid w:val="00C97F82"/>
    <w:rsid w:val="00CA37BC"/>
    <w:rsid w:val="00CA3B4C"/>
    <w:rsid w:val="00CA7C0B"/>
    <w:rsid w:val="00CB03E0"/>
    <w:rsid w:val="00CB041B"/>
    <w:rsid w:val="00CB0E86"/>
    <w:rsid w:val="00CB1972"/>
    <w:rsid w:val="00CB1AAC"/>
    <w:rsid w:val="00CB35A0"/>
    <w:rsid w:val="00CB3B36"/>
    <w:rsid w:val="00CB42F6"/>
    <w:rsid w:val="00CB43BF"/>
    <w:rsid w:val="00CB5B72"/>
    <w:rsid w:val="00CB6BAB"/>
    <w:rsid w:val="00CC05CA"/>
    <w:rsid w:val="00CC14DA"/>
    <w:rsid w:val="00CC1BC4"/>
    <w:rsid w:val="00CC2102"/>
    <w:rsid w:val="00CC3344"/>
    <w:rsid w:val="00CC355B"/>
    <w:rsid w:val="00CC3BD3"/>
    <w:rsid w:val="00CC3C01"/>
    <w:rsid w:val="00CC4146"/>
    <w:rsid w:val="00CC7207"/>
    <w:rsid w:val="00CD1A82"/>
    <w:rsid w:val="00CD1C40"/>
    <w:rsid w:val="00CD22CE"/>
    <w:rsid w:val="00CD2852"/>
    <w:rsid w:val="00CD38A7"/>
    <w:rsid w:val="00CD39BB"/>
    <w:rsid w:val="00CD475B"/>
    <w:rsid w:val="00CD5D89"/>
    <w:rsid w:val="00CE0072"/>
    <w:rsid w:val="00CE09C5"/>
    <w:rsid w:val="00CE166F"/>
    <w:rsid w:val="00CE18EF"/>
    <w:rsid w:val="00CE2E8C"/>
    <w:rsid w:val="00CE419A"/>
    <w:rsid w:val="00CF0639"/>
    <w:rsid w:val="00CF1630"/>
    <w:rsid w:val="00CF2012"/>
    <w:rsid w:val="00CF2E0B"/>
    <w:rsid w:val="00CF32A8"/>
    <w:rsid w:val="00CF4615"/>
    <w:rsid w:val="00CF4764"/>
    <w:rsid w:val="00CF777B"/>
    <w:rsid w:val="00D01ACC"/>
    <w:rsid w:val="00D01D94"/>
    <w:rsid w:val="00D03359"/>
    <w:rsid w:val="00D06B60"/>
    <w:rsid w:val="00D079C4"/>
    <w:rsid w:val="00D07AEE"/>
    <w:rsid w:val="00D12444"/>
    <w:rsid w:val="00D12F5E"/>
    <w:rsid w:val="00D13257"/>
    <w:rsid w:val="00D13C4D"/>
    <w:rsid w:val="00D15529"/>
    <w:rsid w:val="00D164CB"/>
    <w:rsid w:val="00D17F0B"/>
    <w:rsid w:val="00D210F5"/>
    <w:rsid w:val="00D220CE"/>
    <w:rsid w:val="00D23A86"/>
    <w:rsid w:val="00D24240"/>
    <w:rsid w:val="00D26197"/>
    <w:rsid w:val="00D27464"/>
    <w:rsid w:val="00D27F4A"/>
    <w:rsid w:val="00D30546"/>
    <w:rsid w:val="00D31DA8"/>
    <w:rsid w:val="00D34572"/>
    <w:rsid w:val="00D373A8"/>
    <w:rsid w:val="00D37B38"/>
    <w:rsid w:val="00D37F88"/>
    <w:rsid w:val="00D40BF2"/>
    <w:rsid w:val="00D414E9"/>
    <w:rsid w:val="00D440EC"/>
    <w:rsid w:val="00D464B9"/>
    <w:rsid w:val="00D46FD8"/>
    <w:rsid w:val="00D477A7"/>
    <w:rsid w:val="00D5120B"/>
    <w:rsid w:val="00D513E2"/>
    <w:rsid w:val="00D519AA"/>
    <w:rsid w:val="00D53386"/>
    <w:rsid w:val="00D55606"/>
    <w:rsid w:val="00D5671F"/>
    <w:rsid w:val="00D57199"/>
    <w:rsid w:val="00D63F8C"/>
    <w:rsid w:val="00D66B8F"/>
    <w:rsid w:val="00D670DD"/>
    <w:rsid w:val="00D7059E"/>
    <w:rsid w:val="00D707FC"/>
    <w:rsid w:val="00D75795"/>
    <w:rsid w:val="00D75E81"/>
    <w:rsid w:val="00D76481"/>
    <w:rsid w:val="00D81266"/>
    <w:rsid w:val="00D81AEB"/>
    <w:rsid w:val="00D826FE"/>
    <w:rsid w:val="00D83D1D"/>
    <w:rsid w:val="00D85B26"/>
    <w:rsid w:val="00D85C6E"/>
    <w:rsid w:val="00D86726"/>
    <w:rsid w:val="00D8675B"/>
    <w:rsid w:val="00D87825"/>
    <w:rsid w:val="00D90789"/>
    <w:rsid w:val="00D94E6E"/>
    <w:rsid w:val="00D9653D"/>
    <w:rsid w:val="00D97823"/>
    <w:rsid w:val="00DA1098"/>
    <w:rsid w:val="00DA1162"/>
    <w:rsid w:val="00DA1B17"/>
    <w:rsid w:val="00DA559D"/>
    <w:rsid w:val="00DA7625"/>
    <w:rsid w:val="00DB175D"/>
    <w:rsid w:val="00DB33E2"/>
    <w:rsid w:val="00DB4E2F"/>
    <w:rsid w:val="00DC0866"/>
    <w:rsid w:val="00DC1336"/>
    <w:rsid w:val="00DC1A95"/>
    <w:rsid w:val="00DC2B0E"/>
    <w:rsid w:val="00DC3668"/>
    <w:rsid w:val="00DC3880"/>
    <w:rsid w:val="00DC4F26"/>
    <w:rsid w:val="00DC5D86"/>
    <w:rsid w:val="00DC666E"/>
    <w:rsid w:val="00DD1112"/>
    <w:rsid w:val="00DD171E"/>
    <w:rsid w:val="00DD1826"/>
    <w:rsid w:val="00DD3927"/>
    <w:rsid w:val="00DD5F44"/>
    <w:rsid w:val="00DD64A7"/>
    <w:rsid w:val="00DD75DC"/>
    <w:rsid w:val="00DE2CAC"/>
    <w:rsid w:val="00DE331B"/>
    <w:rsid w:val="00DE3334"/>
    <w:rsid w:val="00DE47CE"/>
    <w:rsid w:val="00DE4E5D"/>
    <w:rsid w:val="00DE524D"/>
    <w:rsid w:val="00DE5EB4"/>
    <w:rsid w:val="00DE65C2"/>
    <w:rsid w:val="00DE70A5"/>
    <w:rsid w:val="00DE7FC8"/>
    <w:rsid w:val="00DF0427"/>
    <w:rsid w:val="00DF1026"/>
    <w:rsid w:val="00DF1D95"/>
    <w:rsid w:val="00DF2015"/>
    <w:rsid w:val="00DF2FA3"/>
    <w:rsid w:val="00DF46F1"/>
    <w:rsid w:val="00DF4E89"/>
    <w:rsid w:val="00DF52CC"/>
    <w:rsid w:val="00DF7066"/>
    <w:rsid w:val="00E03D06"/>
    <w:rsid w:val="00E0461F"/>
    <w:rsid w:val="00E04C28"/>
    <w:rsid w:val="00E06DF0"/>
    <w:rsid w:val="00E07D24"/>
    <w:rsid w:val="00E1183E"/>
    <w:rsid w:val="00E1492C"/>
    <w:rsid w:val="00E14A07"/>
    <w:rsid w:val="00E158CD"/>
    <w:rsid w:val="00E162C5"/>
    <w:rsid w:val="00E17F63"/>
    <w:rsid w:val="00E227D6"/>
    <w:rsid w:val="00E22E6F"/>
    <w:rsid w:val="00E2445D"/>
    <w:rsid w:val="00E30C70"/>
    <w:rsid w:val="00E331D2"/>
    <w:rsid w:val="00E36DCB"/>
    <w:rsid w:val="00E4130D"/>
    <w:rsid w:val="00E41F04"/>
    <w:rsid w:val="00E42266"/>
    <w:rsid w:val="00E42408"/>
    <w:rsid w:val="00E42CD5"/>
    <w:rsid w:val="00E442E0"/>
    <w:rsid w:val="00E445E4"/>
    <w:rsid w:val="00E45A82"/>
    <w:rsid w:val="00E46BFC"/>
    <w:rsid w:val="00E47439"/>
    <w:rsid w:val="00E50CC8"/>
    <w:rsid w:val="00E54A51"/>
    <w:rsid w:val="00E54ABE"/>
    <w:rsid w:val="00E550E7"/>
    <w:rsid w:val="00E57D4B"/>
    <w:rsid w:val="00E57ECF"/>
    <w:rsid w:val="00E61E63"/>
    <w:rsid w:val="00E621A7"/>
    <w:rsid w:val="00E62B1D"/>
    <w:rsid w:val="00E62CE5"/>
    <w:rsid w:val="00E64002"/>
    <w:rsid w:val="00E65E06"/>
    <w:rsid w:val="00E65F98"/>
    <w:rsid w:val="00E66662"/>
    <w:rsid w:val="00E67B30"/>
    <w:rsid w:val="00E70D82"/>
    <w:rsid w:val="00E73646"/>
    <w:rsid w:val="00E73A90"/>
    <w:rsid w:val="00E7457E"/>
    <w:rsid w:val="00E74A4B"/>
    <w:rsid w:val="00E74F9C"/>
    <w:rsid w:val="00E76656"/>
    <w:rsid w:val="00E80AB7"/>
    <w:rsid w:val="00E80D48"/>
    <w:rsid w:val="00E80EDA"/>
    <w:rsid w:val="00E81842"/>
    <w:rsid w:val="00E8290C"/>
    <w:rsid w:val="00E83412"/>
    <w:rsid w:val="00E83A9C"/>
    <w:rsid w:val="00E83AC9"/>
    <w:rsid w:val="00E84C3D"/>
    <w:rsid w:val="00E875BA"/>
    <w:rsid w:val="00E878DE"/>
    <w:rsid w:val="00E90E15"/>
    <w:rsid w:val="00E91870"/>
    <w:rsid w:val="00E92D1B"/>
    <w:rsid w:val="00E934E8"/>
    <w:rsid w:val="00E96090"/>
    <w:rsid w:val="00E97546"/>
    <w:rsid w:val="00EA0910"/>
    <w:rsid w:val="00EA0A30"/>
    <w:rsid w:val="00EA0B5B"/>
    <w:rsid w:val="00EA187D"/>
    <w:rsid w:val="00EB0922"/>
    <w:rsid w:val="00EB1886"/>
    <w:rsid w:val="00EB2037"/>
    <w:rsid w:val="00EB324D"/>
    <w:rsid w:val="00EB42D3"/>
    <w:rsid w:val="00EB54AC"/>
    <w:rsid w:val="00EB5CCD"/>
    <w:rsid w:val="00EB77CF"/>
    <w:rsid w:val="00EC3448"/>
    <w:rsid w:val="00EC37B8"/>
    <w:rsid w:val="00EC3FDB"/>
    <w:rsid w:val="00EC42FA"/>
    <w:rsid w:val="00EC45DB"/>
    <w:rsid w:val="00EC45F7"/>
    <w:rsid w:val="00EC4A5A"/>
    <w:rsid w:val="00EC519D"/>
    <w:rsid w:val="00EC59A8"/>
    <w:rsid w:val="00EC79FD"/>
    <w:rsid w:val="00ED027A"/>
    <w:rsid w:val="00ED02A2"/>
    <w:rsid w:val="00ED06B4"/>
    <w:rsid w:val="00ED096F"/>
    <w:rsid w:val="00ED0D7A"/>
    <w:rsid w:val="00ED105C"/>
    <w:rsid w:val="00ED1BD0"/>
    <w:rsid w:val="00EE0EB7"/>
    <w:rsid w:val="00EE20BD"/>
    <w:rsid w:val="00EE3014"/>
    <w:rsid w:val="00EE3127"/>
    <w:rsid w:val="00EE3CDF"/>
    <w:rsid w:val="00EE443F"/>
    <w:rsid w:val="00EE4472"/>
    <w:rsid w:val="00EE46F6"/>
    <w:rsid w:val="00EE62F1"/>
    <w:rsid w:val="00EE7477"/>
    <w:rsid w:val="00EF00BD"/>
    <w:rsid w:val="00EF0A47"/>
    <w:rsid w:val="00EF135E"/>
    <w:rsid w:val="00EF1C7C"/>
    <w:rsid w:val="00EF24CB"/>
    <w:rsid w:val="00EF2713"/>
    <w:rsid w:val="00EF2BF4"/>
    <w:rsid w:val="00EF31CD"/>
    <w:rsid w:val="00EF34C6"/>
    <w:rsid w:val="00EF42B2"/>
    <w:rsid w:val="00EF697F"/>
    <w:rsid w:val="00EF729C"/>
    <w:rsid w:val="00F014AC"/>
    <w:rsid w:val="00F0307A"/>
    <w:rsid w:val="00F06F46"/>
    <w:rsid w:val="00F105DE"/>
    <w:rsid w:val="00F1185C"/>
    <w:rsid w:val="00F12837"/>
    <w:rsid w:val="00F1394C"/>
    <w:rsid w:val="00F14AFE"/>
    <w:rsid w:val="00F15CBE"/>
    <w:rsid w:val="00F21888"/>
    <w:rsid w:val="00F21EF2"/>
    <w:rsid w:val="00F22683"/>
    <w:rsid w:val="00F231C5"/>
    <w:rsid w:val="00F24A60"/>
    <w:rsid w:val="00F267E2"/>
    <w:rsid w:val="00F26D64"/>
    <w:rsid w:val="00F27D9E"/>
    <w:rsid w:val="00F27F9C"/>
    <w:rsid w:val="00F32015"/>
    <w:rsid w:val="00F322A4"/>
    <w:rsid w:val="00F339C7"/>
    <w:rsid w:val="00F33CB7"/>
    <w:rsid w:val="00F33D3F"/>
    <w:rsid w:val="00F34E11"/>
    <w:rsid w:val="00F36C79"/>
    <w:rsid w:val="00F37527"/>
    <w:rsid w:val="00F37C3D"/>
    <w:rsid w:val="00F37C93"/>
    <w:rsid w:val="00F40205"/>
    <w:rsid w:val="00F40437"/>
    <w:rsid w:val="00F41153"/>
    <w:rsid w:val="00F41D30"/>
    <w:rsid w:val="00F42EAA"/>
    <w:rsid w:val="00F43EC3"/>
    <w:rsid w:val="00F454F9"/>
    <w:rsid w:val="00F50DDA"/>
    <w:rsid w:val="00F51014"/>
    <w:rsid w:val="00F512F7"/>
    <w:rsid w:val="00F522E9"/>
    <w:rsid w:val="00F5247C"/>
    <w:rsid w:val="00F53245"/>
    <w:rsid w:val="00F570CE"/>
    <w:rsid w:val="00F6201E"/>
    <w:rsid w:val="00F62358"/>
    <w:rsid w:val="00F62DB6"/>
    <w:rsid w:val="00F634DA"/>
    <w:rsid w:val="00F63813"/>
    <w:rsid w:val="00F63BA9"/>
    <w:rsid w:val="00F64579"/>
    <w:rsid w:val="00F64F71"/>
    <w:rsid w:val="00F67DBF"/>
    <w:rsid w:val="00F700A6"/>
    <w:rsid w:val="00F70F70"/>
    <w:rsid w:val="00F71BEB"/>
    <w:rsid w:val="00F71EF3"/>
    <w:rsid w:val="00F7645E"/>
    <w:rsid w:val="00F814B2"/>
    <w:rsid w:val="00F8289E"/>
    <w:rsid w:val="00F8363C"/>
    <w:rsid w:val="00F8531D"/>
    <w:rsid w:val="00F862E0"/>
    <w:rsid w:val="00F865A1"/>
    <w:rsid w:val="00F86A05"/>
    <w:rsid w:val="00F876B5"/>
    <w:rsid w:val="00F87B37"/>
    <w:rsid w:val="00F90A7F"/>
    <w:rsid w:val="00F90B6E"/>
    <w:rsid w:val="00F93D93"/>
    <w:rsid w:val="00F941C2"/>
    <w:rsid w:val="00F94C8B"/>
    <w:rsid w:val="00F958FA"/>
    <w:rsid w:val="00F97680"/>
    <w:rsid w:val="00FA2AE9"/>
    <w:rsid w:val="00FA5539"/>
    <w:rsid w:val="00FA5B45"/>
    <w:rsid w:val="00FA6058"/>
    <w:rsid w:val="00FA6F7C"/>
    <w:rsid w:val="00FB17B9"/>
    <w:rsid w:val="00FB2341"/>
    <w:rsid w:val="00FB3678"/>
    <w:rsid w:val="00FB4AD2"/>
    <w:rsid w:val="00FB4CCF"/>
    <w:rsid w:val="00FB4D9E"/>
    <w:rsid w:val="00FB4E5D"/>
    <w:rsid w:val="00FB64FA"/>
    <w:rsid w:val="00FB6B56"/>
    <w:rsid w:val="00FB71AD"/>
    <w:rsid w:val="00FB7288"/>
    <w:rsid w:val="00FC17ED"/>
    <w:rsid w:val="00FC334A"/>
    <w:rsid w:val="00FC3DF0"/>
    <w:rsid w:val="00FC54CC"/>
    <w:rsid w:val="00FC78E4"/>
    <w:rsid w:val="00FD12CD"/>
    <w:rsid w:val="00FD201E"/>
    <w:rsid w:val="00FD39AF"/>
    <w:rsid w:val="00FD4AAD"/>
    <w:rsid w:val="00FD53BC"/>
    <w:rsid w:val="00FD6242"/>
    <w:rsid w:val="00FD7585"/>
    <w:rsid w:val="00FE0231"/>
    <w:rsid w:val="00FE0C3A"/>
    <w:rsid w:val="00FE2BD9"/>
    <w:rsid w:val="00FE2E0C"/>
    <w:rsid w:val="00FE46C7"/>
    <w:rsid w:val="00FE5F7A"/>
    <w:rsid w:val="00FE6E3C"/>
    <w:rsid w:val="00FE77C2"/>
    <w:rsid w:val="00FF0500"/>
    <w:rsid w:val="00FF315C"/>
    <w:rsid w:val="00FF40ED"/>
    <w:rsid w:val="00FF42F5"/>
    <w:rsid w:val="00FF502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F61"/>
  <w15:docId w15:val="{F07581F8-AA3E-42A6-9CCA-19247C3F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37"/>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27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1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341"/>
    <w:rPr>
      <w:rFonts w:ascii="Courier New" w:eastAsia="Times New Roman" w:hAnsi="Courier New" w:cs="Courier New"/>
      <w:sz w:val="20"/>
      <w:szCs w:val="20"/>
      <w:lang w:eastAsia="en-AU"/>
    </w:rPr>
  </w:style>
  <w:style w:type="paragraph" w:styleId="PlainText">
    <w:name w:val="Plain Text"/>
    <w:basedOn w:val="Normal"/>
    <w:link w:val="PlainTextChar"/>
    <w:uiPriority w:val="99"/>
    <w:unhideWhenUsed/>
    <w:rsid w:val="00DD392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D3927"/>
    <w:rPr>
      <w:rFonts w:ascii="Consolas" w:hAnsi="Consolas"/>
      <w:sz w:val="21"/>
      <w:szCs w:val="21"/>
    </w:rPr>
  </w:style>
  <w:style w:type="paragraph" w:styleId="NoSpacing">
    <w:name w:val="No Spacing"/>
    <w:uiPriority w:val="1"/>
    <w:qFormat/>
    <w:rsid w:val="00503EAD"/>
    <w:pPr>
      <w:spacing w:after="0" w:line="240" w:lineRule="auto"/>
    </w:pPr>
  </w:style>
  <w:style w:type="table" w:customStyle="1" w:styleId="LightShading1">
    <w:name w:val="Light Shading1"/>
    <w:basedOn w:val="TableNormal"/>
    <w:uiPriority w:val="60"/>
    <w:rsid w:val="005249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249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2491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5249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1">
    <w:name w:val="Light List1"/>
    <w:basedOn w:val="TableNormal"/>
    <w:uiPriority w:val="61"/>
    <w:rsid w:val="005249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4">
    <w:name w:val="toc 4"/>
    <w:basedOn w:val="Normal"/>
    <w:next w:val="Normal"/>
    <w:autoRedefine/>
    <w:uiPriority w:val="39"/>
    <w:unhideWhenUsed/>
    <w:rsid w:val="00AA3F15"/>
    <w:pPr>
      <w:spacing w:after="100"/>
      <w:ind w:left="660"/>
    </w:pPr>
  </w:style>
  <w:style w:type="paragraph" w:styleId="TOC5">
    <w:name w:val="toc 5"/>
    <w:basedOn w:val="Normal"/>
    <w:next w:val="Normal"/>
    <w:autoRedefine/>
    <w:uiPriority w:val="39"/>
    <w:unhideWhenUsed/>
    <w:rsid w:val="00AA3F15"/>
    <w:pPr>
      <w:spacing w:after="100"/>
      <w:ind w:left="880"/>
    </w:pPr>
  </w:style>
  <w:style w:type="paragraph" w:styleId="TOC6">
    <w:name w:val="toc 6"/>
    <w:basedOn w:val="Normal"/>
    <w:next w:val="Normal"/>
    <w:autoRedefine/>
    <w:uiPriority w:val="39"/>
    <w:unhideWhenUsed/>
    <w:rsid w:val="00AA3F15"/>
    <w:pPr>
      <w:spacing w:after="100"/>
      <w:ind w:left="1100"/>
    </w:pPr>
  </w:style>
  <w:style w:type="paragraph" w:styleId="TOC7">
    <w:name w:val="toc 7"/>
    <w:basedOn w:val="Normal"/>
    <w:next w:val="Normal"/>
    <w:autoRedefine/>
    <w:uiPriority w:val="39"/>
    <w:unhideWhenUsed/>
    <w:rsid w:val="00AA3F15"/>
    <w:pPr>
      <w:spacing w:after="100"/>
      <w:ind w:left="1320"/>
    </w:pPr>
  </w:style>
  <w:style w:type="paragraph" w:styleId="TOC8">
    <w:name w:val="toc 8"/>
    <w:basedOn w:val="Normal"/>
    <w:next w:val="Normal"/>
    <w:autoRedefine/>
    <w:uiPriority w:val="39"/>
    <w:unhideWhenUsed/>
    <w:rsid w:val="00AA3F15"/>
    <w:pPr>
      <w:spacing w:after="100"/>
      <w:ind w:left="1540"/>
    </w:pPr>
  </w:style>
  <w:style w:type="paragraph" w:styleId="TOC9">
    <w:name w:val="toc 9"/>
    <w:basedOn w:val="Normal"/>
    <w:next w:val="Normal"/>
    <w:autoRedefine/>
    <w:uiPriority w:val="39"/>
    <w:unhideWhenUsed/>
    <w:rsid w:val="00AA3F15"/>
    <w:pPr>
      <w:spacing w:after="100"/>
      <w:ind w:left="1760"/>
    </w:pPr>
  </w:style>
  <w:style w:type="character" w:customStyle="1" w:styleId="Heading4Char">
    <w:name w:val="Heading 4 Char"/>
    <w:basedOn w:val="DefaultParagraphFont"/>
    <w:link w:val="Heading4"/>
    <w:uiPriority w:val="9"/>
    <w:rsid w:val="005A327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714454">
      <w:bodyDiv w:val="1"/>
      <w:marLeft w:val="0"/>
      <w:marRight w:val="0"/>
      <w:marTop w:val="0"/>
      <w:marBottom w:val="0"/>
      <w:divBdr>
        <w:top w:val="none" w:sz="0" w:space="0" w:color="auto"/>
        <w:left w:val="none" w:sz="0" w:space="0" w:color="auto"/>
        <w:bottom w:val="none" w:sz="0" w:space="0" w:color="auto"/>
        <w:right w:val="none" w:sz="0" w:space="0" w:color="auto"/>
      </w:divBdr>
    </w:div>
    <w:div w:id="650594748">
      <w:bodyDiv w:val="1"/>
      <w:marLeft w:val="0"/>
      <w:marRight w:val="0"/>
      <w:marTop w:val="0"/>
      <w:marBottom w:val="0"/>
      <w:divBdr>
        <w:top w:val="none" w:sz="0" w:space="0" w:color="auto"/>
        <w:left w:val="none" w:sz="0" w:space="0" w:color="auto"/>
        <w:bottom w:val="none" w:sz="0" w:space="0" w:color="auto"/>
        <w:right w:val="none" w:sz="0" w:space="0" w:color="auto"/>
      </w:divBdr>
    </w:div>
    <w:div w:id="68343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www.gnu.org/licenses/lgpl-3.0-standalon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79045-7D5D-4957-8556-DF8B0398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Rhyder</dc:creator>
  <cp:lastModifiedBy>STARRITT, Andrew</cp:lastModifiedBy>
  <cp:revision>28</cp:revision>
  <cp:lastPrinted>2018-12-12T00:31:00Z</cp:lastPrinted>
  <dcterms:created xsi:type="dcterms:W3CDTF">2023-11-08T23:43:00Z</dcterms:created>
  <dcterms:modified xsi:type="dcterms:W3CDTF">2023-11-15T04:51:00Z</dcterms:modified>
</cp:coreProperties>
</file>