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p>
      <w:pPr>
        <w:numPr>
          <w:ilvl w:val="0"/>
          <w:numId w:val="1008"/>
        </w:numPr>
        <w:pStyle w:val="CustomUnorderedListStyleName"/>
      </w:pPr>
      <w:r>
        <w:t xml:space="preserve">☐ Milk</w:t>
      </w:r>
    </w:p>
    <w:p>
      <w:pPr>
        <w:numPr>
          <w:ilvl w:val="1"/>
          <w:numId w:val="1009"/>
        </w:numPr>
        <w:pStyle w:val="CustomUnorderedListStyleName"/>
      </w:pPr>
      <w:r>
        <w:t xml:space="preserve">☐ Fat free</w:t>
      </w:r>
    </w:p>
    <w:p>
      <w:pPr>
        <w:numPr>
          <w:ilvl w:val="1"/>
          <w:numId w:val="1009"/>
        </w:numPr>
        <w:pStyle w:val="CustomUnorderedListStyleName"/>
      </w:pPr>
      <w:r>
        <w:t xml:space="preserve">☐ Whole</w:t>
      </w:r>
    </w:p>
    <w:p>
      <w:pPr>
        <w:numPr>
          <w:ilvl w:val="0"/>
          <w:numId w:val="1008"/>
        </w:numPr>
        <w:pStyle w:val="CustomUnorderedListStyleName"/>
      </w:pPr>
      <w:r>
        <w:t xml:space="preserve">☐ Eggs</w:t>
      </w:r>
    </w:p>
    <w:p>
      <w:pPr>
        <w:numPr>
          <w:ilvl w:val="0"/>
          <w:numId w:val="1008"/>
        </w:numPr>
        <w:pStyle w:val="CustomUnorderedListStyleName"/>
      </w:pPr>
      <w:r>
        <w:t xml:space="preserve">☐ Bananas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2023-12-08T18:36:55Z</dcterms:created>
  <dcterms:modified xsi:type="dcterms:W3CDTF">2023-12-08T18:36:55Z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