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2C9D" w14:textId="77777777" w:rsidR="006A10F9" w:rsidRPr="003F71D7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 w:rsidRPr="003F71D7">
        <w:rPr>
          <w:szCs w:val="28"/>
        </w:rPr>
        <w:t>Міністерство освіти і науки України</w:t>
      </w:r>
    </w:p>
    <w:p w14:paraId="31FE4233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Департамент освіти і науки </w:t>
      </w:r>
    </w:p>
    <w:p w14:paraId="023E7D17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>Полтавської обласної військової адміністрації</w:t>
      </w:r>
    </w:p>
    <w:p w14:paraId="325197AD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Полтавське територіальне відділення МАН України </w:t>
      </w:r>
    </w:p>
    <w:p w14:paraId="7F3483CA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>Наукове товариство учнів «Мала академія наук»</w:t>
      </w:r>
    </w:p>
    <w:p w14:paraId="4789DE22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0F1B9F50" w14:textId="17E374BE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3F71D7">
        <w:rPr>
          <w:szCs w:val="28"/>
        </w:rPr>
        <w:t xml:space="preserve">Відділення </w:t>
      </w:r>
      <w:r>
        <w:rPr>
          <w:szCs w:val="28"/>
          <w:lang w:val="uk-UA"/>
        </w:rPr>
        <w:t>математики</w:t>
      </w:r>
    </w:p>
    <w:p w14:paraId="31BB7530" w14:textId="51CFE801" w:rsidR="006A10F9" w:rsidRPr="00C25484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</w:rPr>
        <w:t xml:space="preserve">Секція: </w:t>
      </w:r>
      <w:r w:rsidR="00C25484">
        <w:rPr>
          <w:szCs w:val="28"/>
          <w:lang w:val="uk-UA"/>
        </w:rPr>
        <w:t>математичне моделювання</w:t>
      </w:r>
    </w:p>
    <w:p w14:paraId="5DEF8A59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6AC84452" w14:textId="469CBC29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ДОСЛІДЖЕННЯ МЕТОДІВ ВІЗУАЛІЗАЦІЇ ЧОТИРИВИМІРНИХ ФІГУР У ТРИВИМІРНОМУ ПРОСТОРІ</w:t>
      </w:r>
    </w:p>
    <w:p w14:paraId="48915F02" w14:textId="3841B422" w:rsidR="006A10F9" w:rsidRPr="003F71D7" w:rsidRDefault="006A10F9" w:rsidP="00011F58">
      <w:pPr>
        <w:tabs>
          <w:tab w:val="left" w:pos="3525"/>
        </w:tabs>
        <w:spacing w:line="360" w:lineRule="auto"/>
        <w:rPr>
          <w:szCs w:val="28"/>
        </w:rPr>
      </w:pPr>
    </w:p>
    <w:p w14:paraId="0BF6AA52" w14:textId="48A5E391" w:rsidR="006A10F9" w:rsidRPr="003F71D7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>Роботу вико</w:t>
      </w:r>
      <w:r>
        <w:rPr>
          <w:szCs w:val="28"/>
          <w:lang w:val="uk-UA"/>
        </w:rPr>
        <w:t>нав</w:t>
      </w:r>
      <w:r w:rsidRPr="003F71D7">
        <w:rPr>
          <w:szCs w:val="28"/>
        </w:rPr>
        <w:t>:</w:t>
      </w:r>
    </w:p>
    <w:p w14:paraId="10F0B00F" w14:textId="5CB9BB75" w:rsidR="006A10F9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>Юшко Богдан Володимирович</w:t>
      </w:r>
      <w:r w:rsidRPr="003F71D7">
        <w:rPr>
          <w:szCs w:val="28"/>
        </w:rPr>
        <w:t>,</w:t>
      </w:r>
    </w:p>
    <w:p w14:paraId="7C9EDFA0" w14:textId="63B48120" w:rsidR="006A10F9" w:rsidRDefault="00597261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r>
        <w:rPr>
          <w:szCs w:val="28"/>
          <w:lang w:val="uk-UA"/>
        </w:rPr>
        <w:t>нь</w:t>
      </w:r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класу </w:t>
      </w:r>
    </w:p>
    <w:p w14:paraId="274F7DAE" w14:textId="77777777" w:rsidR="0095786B" w:rsidRDefault="006A10F9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</w:rPr>
        <w:tab/>
      </w:r>
      <w:r>
        <w:rPr>
          <w:szCs w:val="28"/>
        </w:rPr>
        <w:tab/>
        <w:t xml:space="preserve">  </w:t>
      </w: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</w:p>
    <w:p w14:paraId="10639CAE" w14:textId="6D3F0FD6" w:rsidR="006A10F9" w:rsidRPr="006A10F9" w:rsidRDefault="00011F58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587E80C6" w14:textId="77777777" w:rsidR="006A10F9" w:rsidRPr="003F71D7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>Науковий керівник:</w:t>
      </w:r>
    </w:p>
    <w:p w14:paraId="081F034D" w14:textId="773B10AE" w:rsidR="006A10F9" w:rsidRPr="003F71D7" w:rsidRDefault="00514D36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>Клітна Євгенія Павлівна</w:t>
      </w:r>
      <w:r w:rsidR="006A10F9" w:rsidRPr="003F71D7">
        <w:rPr>
          <w:szCs w:val="28"/>
        </w:rPr>
        <w:t>,</w:t>
      </w:r>
    </w:p>
    <w:p w14:paraId="28CE4C82" w14:textId="76BCE56E" w:rsidR="006A10F9" w:rsidRPr="00011F58" w:rsidRDefault="00925A70" w:rsidP="00DD0947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читель</w:t>
      </w:r>
      <w:r w:rsidR="00011F58" w:rsidRPr="00011F58">
        <w:rPr>
          <w:szCs w:val="28"/>
        </w:rPr>
        <w:t xml:space="preserve"> </w:t>
      </w:r>
      <w:r w:rsidR="00011F58">
        <w:rPr>
          <w:szCs w:val="28"/>
          <w:lang w:val="uk-UA"/>
        </w:rPr>
        <w:t>математики, спеціаліст вищої категорії, старший вчитель</w:t>
      </w:r>
    </w:p>
    <w:p w14:paraId="528EBBAA" w14:textId="5E8DAC8E" w:rsidR="00011F58" w:rsidRDefault="00514D36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95786B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 w:rsidR="00011F58"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</w:p>
    <w:p w14:paraId="60BDEB07" w14:textId="77777777" w:rsidR="00011F58" w:rsidRDefault="00011F58" w:rsidP="00BB27AC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20C07BA" w14:textId="70EE4BF9" w:rsidR="00BF1784" w:rsidRPr="00011F58" w:rsidRDefault="006A10F9" w:rsidP="00011F58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DD0947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спосіб рендер</w:t>
      </w:r>
      <w:r w:rsidR="00A734AE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нга</w:t>
      </w:r>
      <w:r w:rsidR="00AC3F1E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DD0947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DD094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DD0947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DD094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DD0947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3405C03B" w14:textId="7666E4E1" w:rsidR="000E2D5B" w:rsidRDefault="0068264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7202308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_Toc117202308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4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5BAC79BD" w14:textId="4D6EDF13" w:rsidR="000E2D5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09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_Toc117202309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5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02C72D7E" w14:textId="595AB6E1" w:rsidR="000E2D5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10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_Toc117202310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6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2E28E87B" w14:textId="700C93BE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1" w:history="1">
            <w:r w:rsidR="000E2D5B" w:rsidRPr="00091F63">
              <w:rPr>
                <w:rStyle w:val="a8"/>
              </w:rPr>
              <w:t>1.1 Вступ до розділу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_Toc117202311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6</w:t>
            </w:r>
            <w:r w:rsidR="000E2D5B">
              <w:rPr>
                <w:webHidden/>
              </w:rPr>
              <w:fldChar w:fldCharType="end"/>
            </w:r>
          </w:hyperlink>
        </w:p>
        <w:p w14:paraId="726B88E1" w14:textId="62A5A2DC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2" w:history="1">
            <w:r w:rsidR="000E2D5B" w:rsidRPr="00091F63">
              <w:rPr>
                <w:rStyle w:val="a8"/>
              </w:rPr>
              <w:t>1.2 Квадрат, куб та тесеракт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_Toc117202312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6</w:t>
            </w:r>
            <w:r w:rsidR="000E2D5B">
              <w:rPr>
                <w:webHidden/>
              </w:rPr>
              <w:fldChar w:fldCharType="end"/>
            </w:r>
          </w:hyperlink>
        </w:p>
        <w:p w14:paraId="226F1A8C" w14:textId="4ED45B5F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3" w:history="1">
            <w:r w:rsidR="000E2D5B" w:rsidRPr="00091F63">
              <w:rPr>
                <w:rStyle w:val="a8"/>
              </w:rPr>
              <w:t>1.3 Правильні трикутник, тетраедр та пентахор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_Toc117202313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8</w:t>
            </w:r>
            <w:r w:rsidR="000E2D5B">
              <w:rPr>
                <w:webHidden/>
              </w:rPr>
              <w:fldChar w:fldCharType="end"/>
            </w:r>
          </w:hyperlink>
        </w:p>
        <w:p w14:paraId="1B5A3B9D" w14:textId="56CF2CCB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4" w:history="1">
            <w:r w:rsidR="000E2D5B" w:rsidRPr="00091F63">
              <w:rPr>
                <w:rStyle w:val="a8"/>
              </w:rPr>
              <w:t>1.4 Круг, куля та гіперкуля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_Toc117202314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10</w:t>
            </w:r>
            <w:r w:rsidR="000E2D5B">
              <w:rPr>
                <w:webHidden/>
              </w:rPr>
              <w:fldChar w:fldCharType="end"/>
            </w:r>
          </w:hyperlink>
        </w:p>
        <w:p w14:paraId="6FADA5D6" w14:textId="5AF77CF3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5" w:history="1">
            <w:r w:rsidR="000E2D5B" w:rsidRPr="00091F63">
              <w:rPr>
                <w:rStyle w:val="a8"/>
              </w:rPr>
              <w:t>1.5 Багатовимірний циліндр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_Toc117202315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12</w:t>
            </w:r>
            <w:r w:rsidR="000E2D5B">
              <w:rPr>
                <w:webHidden/>
              </w:rPr>
              <w:fldChar w:fldCharType="end"/>
            </w:r>
          </w:hyperlink>
        </w:p>
        <w:p w14:paraId="73BFFE99" w14:textId="70DEAE48" w:rsidR="000E2D5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16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_Toc117202316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14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2797172A" w14:textId="3623C067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7" w:history="1">
            <w:r w:rsidR="000E2D5B" w:rsidRPr="00091F63">
              <w:rPr>
                <w:rStyle w:val="a8"/>
              </w:rPr>
              <w:t>2.1 Роль спостерігача в геометрії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_Toc117202317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14</w:t>
            </w:r>
            <w:r w:rsidR="000E2D5B">
              <w:rPr>
                <w:webHidden/>
              </w:rPr>
              <w:fldChar w:fldCharType="end"/>
            </w:r>
          </w:hyperlink>
        </w:p>
        <w:p w14:paraId="6A60692B" w14:textId="0F81B91B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8" w:history="1">
            <w:r w:rsidR="000E2D5B" w:rsidRPr="00091F63">
              <w:rPr>
                <w:rStyle w:val="a8"/>
              </w:rPr>
              <w:t>2.2 Використання комп’ютерної графіки для візуалізації багатовимірних фігур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_Toc117202318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16</w:t>
            </w:r>
            <w:r w:rsidR="000E2D5B">
              <w:rPr>
                <w:webHidden/>
              </w:rPr>
              <w:fldChar w:fldCharType="end"/>
            </w:r>
          </w:hyperlink>
        </w:p>
        <w:p w14:paraId="0FAF7855" w14:textId="46A359D3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9" w:history="1">
            <w:r w:rsidR="000E2D5B" w:rsidRPr="00091F63">
              <w:rPr>
                <w:rStyle w:val="a8"/>
              </w:rPr>
              <w:t>2.3 Механізм проєкції чотиривимірних фігур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_Toc117202319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17</w:t>
            </w:r>
            <w:r w:rsidR="000E2D5B">
              <w:rPr>
                <w:webHidden/>
              </w:rPr>
              <w:fldChar w:fldCharType="end"/>
            </w:r>
          </w:hyperlink>
        </w:p>
        <w:p w14:paraId="59A802F5" w14:textId="3C87A4E6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0" w:history="1">
            <w:r w:rsidR="000E2D5B" w:rsidRPr="00091F63">
              <w:rPr>
                <w:rStyle w:val="a8"/>
              </w:rPr>
              <w:t>2.4 Проєкція тесеракта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_Toc117202320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17</w:t>
            </w:r>
            <w:r w:rsidR="000E2D5B">
              <w:rPr>
                <w:webHidden/>
              </w:rPr>
              <w:fldChar w:fldCharType="end"/>
            </w:r>
          </w:hyperlink>
        </w:p>
        <w:p w14:paraId="1D86660B" w14:textId="705D358F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1" w:history="1">
            <w:r w:rsidR="000E2D5B" w:rsidRPr="00091F63">
              <w:rPr>
                <w:rStyle w:val="a8"/>
              </w:rPr>
              <w:t>2.5 Проєкція пентахора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_Toc117202321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18</w:t>
            </w:r>
            <w:r w:rsidR="000E2D5B">
              <w:rPr>
                <w:webHidden/>
              </w:rPr>
              <w:fldChar w:fldCharType="end"/>
            </w:r>
          </w:hyperlink>
        </w:p>
        <w:p w14:paraId="48058332" w14:textId="1CBEF432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2" w:history="1">
            <w:r w:rsidR="000E2D5B" w:rsidRPr="00091F63">
              <w:rPr>
                <w:rStyle w:val="a8"/>
              </w:rPr>
              <w:t>2.6 Проблема проєкції гіперкулі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_Toc117202322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18</w:t>
            </w:r>
            <w:r w:rsidR="000E2D5B">
              <w:rPr>
                <w:webHidden/>
              </w:rPr>
              <w:fldChar w:fldCharType="end"/>
            </w:r>
          </w:hyperlink>
        </w:p>
        <w:p w14:paraId="1686EEC8" w14:textId="2E7E0855" w:rsidR="000E2D5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3" w:history="1">
            <w:r w:rsidR="000E2D5B" w:rsidRPr="00091F63">
              <w:rPr>
                <w:rStyle w:val="a8"/>
              </w:rPr>
              <w:t>2.7 Проєкції кубіндра, сферіндра, дуоциліндра</w:t>
            </w:r>
            <w:r w:rsidR="000E2D5B">
              <w:rPr>
                <w:webHidden/>
              </w:rPr>
              <w:tab/>
            </w:r>
            <w:r w:rsidR="000E2D5B">
              <w:rPr>
                <w:webHidden/>
              </w:rPr>
              <w:fldChar w:fldCharType="begin"/>
            </w:r>
            <w:r w:rsidR="000E2D5B">
              <w:rPr>
                <w:webHidden/>
              </w:rPr>
              <w:instrText xml:space="preserve"> PAGEREF _Toc117202323 \h </w:instrText>
            </w:r>
            <w:r w:rsidR="000E2D5B">
              <w:rPr>
                <w:webHidden/>
              </w:rPr>
            </w:r>
            <w:r w:rsidR="000E2D5B">
              <w:rPr>
                <w:webHidden/>
              </w:rPr>
              <w:fldChar w:fldCharType="separate"/>
            </w:r>
            <w:r w:rsidR="000E2D5B">
              <w:rPr>
                <w:webHidden/>
              </w:rPr>
              <w:t>18</w:t>
            </w:r>
            <w:r w:rsidR="000E2D5B">
              <w:rPr>
                <w:webHidden/>
              </w:rPr>
              <w:fldChar w:fldCharType="end"/>
            </w:r>
          </w:hyperlink>
        </w:p>
        <w:p w14:paraId="51832B6C" w14:textId="5C425882" w:rsidR="000E2D5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24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_Toc117202324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21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3025B3FD" w14:textId="7D0FDC20" w:rsidR="000E2D5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25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_Toc117202325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22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139AF3F5" w14:textId="3176BE03" w:rsidR="0068264E" w:rsidRPr="009D73E8" w:rsidRDefault="0068264E" w:rsidP="00DD0947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DD0947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720230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37FFCCA4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en-US"/>
        </w:rPr>
        <w:t>N</w:t>
      </w:r>
      <w:r w:rsidRPr="009D73E8">
        <w:rPr>
          <w:b/>
          <w:bCs/>
          <w:szCs w:val="28"/>
          <w:lang w:val="uk-UA"/>
        </w:rPr>
        <w:t>-вимірний простір</w:t>
      </w:r>
      <w:r w:rsidRPr="009D73E8">
        <w:rPr>
          <w:szCs w:val="28"/>
          <w:lang w:val="uk-UA"/>
        </w:rPr>
        <w:t xml:space="preserve"> – такий простір, у якому кожну точку можна позначити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 xml:space="preserve"> </w:t>
      </w:r>
      <w:r w:rsidRPr="009D73E8">
        <w:rPr>
          <w:szCs w:val="28"/>
          <w:lang w:val="uk-UA"/>
        </w:rPr>
        <w:t>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6B5A6E5E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скінченновимірний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748EE3C" w14:textId="10268D10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uk-UA"/>
        </w:rPr>
        <w:t xml:space="preserve">марчінг(анг.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рендерінгу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променя з ним. </w:t>
      </w:r>
    </w:p>
    <w:p w14:paraId="33B9CD0D" w14:textId="384C0E6C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-ма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58D21063" w14:textId="0DCB86ED" w:rsidR="0068264E" w:rsidRPr="009D73E8" w:rsidRDefault="0068264E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720230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DD0947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FE4983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5CD0F80B" w14:textId="484AFC64" w:rsidR="00CE0B4B" w:rsidRPr="009D73E8" w:rsidRDefault="00C862E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720231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720231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5D218B02" w14:textId="2BC7F5D0" w:rsidR="005D77C9" w:rsidRDefault="00C428C8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 використаємо таку аналогію: порівня</w:t>
      </w:r>
      <w:r w:rsidR="007F4B97">
        <w:rPr>
          <w:szCs w:val="28"/>
          <w:lang w:val="uk-UA"/>
        </w:rPr>
        <w:t>є</w:t>
      </w:r>
      <w:r w:rsidRPr="009D73E8">
        <w:rPr>
          <w:szCs w:val="28"/>
          <w:lang w:val="uk-UA"/>
        </w:rPr>
        <w:t xml:space="preserve">мо двовимірні тіла з тривимірними, а потім, на основі цього порівняння, дізнаємося різницю між тривимірним та чотиривимірним тілом. </w:t>
      </w:r>
      <w:r w:rsidR="00F11DF4">
        <w:rPr>
          <w:szCs w:val="28"/>
          <w:lang w:val="uk-UA"/>
        </w:rPr>
        <w:t>Цією аналогією</w:t>
      </w:r>
      <w:r w:rsidRPr="009D73E8">
        <w:rPr>
          <w:szCs w:val="28"/>
          <w:lang w:val="uk-UA"/>
        </w:rPr>
        <w:t xml:space="preserve"> можна скористатися, бо в обох випадках ми порівн</w:t>
      </w:r>
      <w:r w:rsidR="002E1854">
        <w:rPr>
          <w:szCs w:val="28"/>
          <w:lang w:val="uk-UA"/>
        </w:rPr>
        <w:t>ю</w:t>
      </w:r>
      <w:r w:rsidRPr="009D73E8">
        <w:rPr>
          <w:szCs w:val="28"/>
          <w:lang w:val="uk-UA"/>
        </w:rPr>
        <w:t xml:space="preserve">ємо фігуру, яка належить 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>вимірному простору та фігуру, яка належить  гіперплощині даного простору.</w:t>
      </w:r>
    </w:p>
    <w:p w14:paraId="375124E6" w14:textId="77777777" w:rsidR="003572EC" w:rsidRPr="009D73E8" w:rsidRDefault="003572EC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4E6672F4" w14:textId="03C4F2E8" w:rsidR="00927D41" w:rsidRPr="009D73E8" w:rsidRDefault="00927D41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720231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1.2 Квадрат, куб та тесеракт</w:t>
      </w:r>
      <w:bookmarkEnd w:id="4"/>
    </w:p>
    <w:p w14:paraId="0CC0836A" w14:textId="0D8F93CB" w:rsidR="00927D41" w:rsidRDefault="00927D41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відрізків(рис. 1.1).</w:t>
      </w:r>
    </w:p>
    <w:p w14:paraId="09A58495" w14:textId="2DDC0EC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08767A6C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1.1. Квадрат розрізали на відрізки(умовно).</w:t>
      </w:r>
    </w:p>
    <w:p w14:paraId="091B719D" w14:textId="77777777" w:rsidR="009A38FB" w:rsidRPr="009D73E8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0763B89" w14:textId="5E518A89" w:rsidR="00CE0B4B" w:rsidRDefault="005D77C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при цьому ці сторони перетинаються під кутом 90°. Так само як і квадрат, куб можна розкласти(рис. 1.2).</w:t>
      </w:r>
    </w:p>
    <w:p w14:paraId="793C907E" w14:textId="2380331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006DB25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1.2. Куб розрізали на квадрати(умовно).</w:t>
      </w:r>
    </w:p>
    <w:p w14:paraId="2211D350" w14:textId="77777777" w:rsidR="009A38FB" w:rsidRP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C95F223" w:rsidR="001A603C" w:rsidRPr="009D73E8" w:rsidRDefault="001A603C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r w:rsidRPr="009D73E8">
        <w:rPr>
          <w:i/>
          <w:iCs/>
          <w:szCs w:val="28"/>
          <w:lang w:val="uk-UA"/>
        </w:rPr>
        <w:t>тесеракт</w:t>
      </w:r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>множиною точок перетину комірок є їхні сторони(сторони тесеракта).</w:t>
      </w:r>
    </w:p>
    <w:p w14:paraId="1D8FBFF7" w14:textId="320013D2" w:rsidR="00710DAE" w:rsidRPr="009D73E8" w:rsidRDefault="00710DAE" w:rsidP="00DD0947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DD0947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DD0947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DD0947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720231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1.3 Правильні трикутник, тетраедр та пентахор</w:t>
      </w:r>
      <w:bookmarkEnd w:id="5"/>
    </w:p>
    <w:p w14:paraId="103CB183" w14:textId="7F8253FD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нульвимірному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70766990" w:rsidR="001A6589" w:rsidRDefault="001A6589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</w:p>
    <w:p w14:paraId="126D13C6" w14:textId="77777777" w:rsidR="001A6589" w:rsidRPr="009D73E8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DD0947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77777777" w:rsidR="004D02F2" w:rsidRDefault="004D02F2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</w:p>
    <w:p w14:paraId="5BFB5909" w14:textId="77777777" w:rsidR="004D02F2" w:rsidRPr="009D73E8" w:rsidRDefault="004D02F2" w:rsidP="00DD0947">
      <w:pPr>
        <w:spacing w:after="0" w:line="360" w:lineRule="auto"/>
        <w:jc w:val="both"/>
        <w:rPr>
          <w:szCs w:val="28"/>
          <w:lang w:val="uk-UA"/>
        </w:rPr>
      </w:pPr>
    </w:p>
    <w:p w14:paraId="65E0AA9D" w14:textId="6D06EBBC" w:rsidR="00F702AF" w:rsidRPr="009D73E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 пентахор</w:t>
      </w:r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 xml:space="preserve">пентахор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</w:p>
    <w:p w14:paraId="73F95117" w14:textId="1D6D2206" w:rsidR="00671A5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пентахор</w:t>
            </w:r>
          </w:p>
        </w:tc>
        <w:tc>
          <w:tcPr>
            <w:tcW w:w="1789" w:type="dxa"/>
          </w:tcPr>
          <w:p w14:paraId="7B986918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DD0947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DD0947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720231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489E8018" w:rsidR="00B66606" w:rsidRPr="009D73E8" w:rsidRDefault="00B66606" w:rsidP="005E7B44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дво-, три- та чотиривимірному просторі з декартовою системою координат, обмежених одно-, дво-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</w:t>
      </w:r>
      <w:r w:rsidR="0080332F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та з цієї точки проведено відрізок</w:t>
      </w:r>
      <w:r w:rsidR="00397D29">
        <w:rPr>
          <w:szCs w:val="28"/>
          <w:lang w:val="uk-UA"/>
        </w:rPr>
        <w:t>, друга вершина якого буде співпадати з центром кола</w:t>
      </w:r>
      <w:r w:rsidRPr="009D73E8">
        <w:rPr>
          <w:szCs w:val="28"/>
          <w:lang w:val="uk-UA"/>
        </w:rPr>
        <w:t xml:space="preserve">, </w:t>
      </w:r>
      <w:r w:rsidR="0067735E">
        <w:rPr>
          <w:szCs w:val="28"/>
          <w:lang w:val="uk-UA"/>
        </w:rPr>
        <w:t xml:space="preserve">а </w:t>
      </w:r>
      <w:r w:rsidRPr="009D73E8">
        <w:rPr>
          <w:szCs w:val="28"/>
          <w:lang w:val="uk-UA"/>
        </w:rPr>
        <w:t xml:space="preserve">довжина </w:t>
      </w:r>
      <w:r w:rsidR="00E86CFA">
        <w:rPr>
          <w:szCs w:val="28"/>
          <w:lang w:val="uk-UA"/>
        </w:rPr>
        <w:t xml:space="preserve">цього відрізка </w:t>
      </w:r>
      <w:r w:rsidRPr="009D73E8">
        <w:rPr>
          <w:szCs w:val="28"/>
          <w:lang w:val="uk-UA"/>
        </w:rPr>
        <w:t>дорівню</w:t>
      </w:r>
      <w:r w:rsidR="00081C80">
        <w:rPr>
          <w:szCs w:val="28"/>
          <w:lang w:val="uk-UA"/>
        </w:rPr>
        <w:t>ватиме</w:t>
      </w:r>
      <w:r w:rsidRPr="009D73E8">
        <w:rPr>
          <w:szCs w:val="28"/>
          <w:lang w:val="uk-UA"/>
        </w:rPr>
        <w:t xml:space="preserve">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 xml:space="preserve">довжини відрізка </w:t>
      </w:r>
      <w:r w:rsidR="005E7B44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декартовій системі координат має вигляд:</w:t>
      </w:r>
    </w:p>
    <w:p w14:paraId="04BE952A" w14:textId="42A3F557" w:rsidR="00B66606" w:rsidRPr="009D73E8" w:rsidRDefault="00B66606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DD0947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DD0947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A9E9EDC" w:rsidR="0049284F" w:rsidRDefault="0049284F" w:rsidP="00DD0947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 1.5. На графіку коло розташували так, що центр кола співпадає з початком координат.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DD0947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77777777" w:rsidR="0049284F" w:rsidRPr="00FE1635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1.6. Кулю «розрізали» на безліч кругів.</w:t>
      </w:r>
    </w:p>
    <w:p w14:paraId="63191831" w14:textId="54C20B48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2853248D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Радіус кожного круга буде зменшуватись від центру, бо формула радіусу кулі </w:t>
      </w:r>
      <w:r w:rsidR="001B2BD1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тривимірному просторі має вигляд:</w:t>
      </w:r>
    </w:p>
    <w:p w14:paraId="4AF5DC7E" w14:textId="02849263" w:rsidR="00BC412E" w:rsidRPr="009D73E8" w:rsidRDefault="00BC412E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4632BD6" w14:textId="51580D95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</w:t>
      </w:r>
      <w:r w:rsidR="00837CFC">
        <w:rPr>
          <w:rFonts w:eastAsiaTheme="minorEastAsia"/>
          <w:szCs w:val="28"/>
          <w:lang w:val="uk-UA"/>
        </w:rPr>
        <w:t>і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Отже, </w:t>
      </w:r>
      <w:r w:rsidR="00053DD9" w:rsidRPr="009D73E8">
        <w:rPr>
          <w:rFonts w:eastAsiaTheme="minorEastAsia"/>
          <w:szCs w:val="28"/>
          <w:lang w:val="uk-UA"/>
        </w:rPr>
        <w:t xml:space="preserve">гіперкулю </w:t>
      </w:r>
      <w:r w:rsidRPr="009D73E8">
        <w:rPr>
          <w:rFonts w:eastAsiaTheme="minorEastAsia"/>
          <w:szCs w:val="28"/>
          <w:lang w:val="uk-UA"/>
        </w:rPr>
        <w:t>можна уявити як множину усіх тривимірних</w:t>
      </w:r>
      <w:r w:rsidR="00053DD9" w:rsidRPr="009D73E8">
        <w:rPr>
          <w:rFonts w:eastAsiaTheme="minorEastAsia"/>
          <w:szCs w:val="28"/>
          <w:lang w:val="uk-UA"/>
        </w:rPr>
        <w:t xml:space="preserve"> куль</w:t>
      </w:r>
      <w:r w:rsidRPr="009D73E8">
        <w:rPr>
          <w:rFonts w:eastAsiaTheme="minorEastAsia"/>
          <w:szCs w:val="28"/>
          <w:lang w:val="uk-UA"/>
        </w:rPr>
        <w:t xml:space="preserve">, радіус кожної з яких буде зменшуватись в обидва боки від обраної точки, </w:t>
      </w:r>
      <w:r w:rsidR="00C847F7">
        <w:rPr>
          <w:rFonts w:eastAsiaTheme="minorEastAsia"/>
          <w:szCs w:val="28"/>
          <w:lang w:val="uk-UA"/>
        </w:rPr>
        <w:t>що</w:t>
      </w:r>
      <w:r w:rsidRPr="009D73E8">
        <w:rPr>
          <w:rFonts w:eastAsiaTheme="minorEastAsia"/>
          <w:szCs w:val="28"/>
          <w:lang w:val="uk-UA"/>
        </w:rPr>
        <w:t xml:space="preserve"> матиме певну задану четверту координату.</w:t>
      </w:r>
    </w:p>
    <w:p w14:paraId="2E5685A0" w14:textId="67553F54" w:rsidR="008C55B6" w:rsidRPr="009D73E8" w:rsidRDefault="008C55B6" w:rsidP="00DD0947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7202315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DD0947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00735D29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</w:p>
    <w:p w14:paraId="4BE3AD58" w14:textId="77777777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сферіндр, кубіндр та дуоциліндр.</w:t>
      </w:r>
    </w:p>
    <w:p w14:paraId="5CE090D5" w14:textId="77777777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DD0947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1FA9739C" w:rsidR="00673D0B" w:rsidRPr="009D73E8" w:rsidRDefault="00053DD9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lastRenderedPageBreak/>
        <w:t xml:space="preserve">Отже, сферіндр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673D0B" w:rsidRPr="009D73E8">
        <w:rPr>
          <w:rFonts w:eastAsiaTheme="minorEastAsia"/>
          <w:szCs w:val="28"/>
          <w:lang w:val="uk-UA"/>
        </w:rPr>
        <w:t>Сферіндр можна уявити як безліч паралельних куль однакового радіуса у чотиривимірному евклідовому просторі.</w:t>
      </w:r>
    </w:p>
    <w:p w14:paraId="183CEE45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738660B6" w:rsidR="00673D0B" w:rsidRPr="009D73E8" w:rsidRDefault="00673D0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кубіндр є декартовим добутком круга та квадрата. Кубіндр можна уявити як безліч паралельних кубів однакового розміру </w:t>
      </w:r>
      <w:r w:rsidR="00892266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евклідовому просторі.</w:t>
      </w:r>
    </w:p>
    <w:p w14:paraId="0F76907D" w14:textId="3297548E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дуоциліндр.</w:t>
      </w:r>
    </w:p>
    <w:p w14:paraId="172943EC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7FDD0B9C" w14:textId="45791441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Отже, дуоциліндр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Pr="009D73E8">
        <w:rPr>
          <w:rFonts w:eastAsiaTheme="minorEastAsia"/>
          <w:szCs w:val="28"/>
          <w:lang w:val="uk-UA"/>
        </w:rPr>
        <w:t xml:space="preserve">Дуоциліндр можна представити як безліч паралельних циліндрів, висота кожного з яких залежить від відстані по осі </w:t>
      </w:r>
      <w:r w:rsidRPr="009D73E8">
        <w:rPr>
          <w:rFonts w:eastAsiaTheme="minorEastAsia"/>
          <w:szCs w:val="28"/>
          <w:lang w:val="en-US"/>
        </w:rPr>
        <w:t>w</w:t>
      </w:r>
      <w:r w:rsidRPr="009D73E8">
        <w:rPr>
          <w:rFonts w:eastAsiaTheme="minorEastAsia"/>
          <w:szCs w:val="28"/>
          <w:lang w:val="uk-UA"/>
        </w:rPr>
        <w:t xml:space="preserve"> від певної заданої точки</w:t>
      </w:r>
      <w:r w:rsidR="009E3A40" w:rsidRPr="009D73E8">
        <w:rPr>
          <w:rFonts w:eastAsiaTheme="minorEastAsia"/>
          <w:szCs w:val="28"/>
          <w:lang w:val="uk-UA"/>
        </w:rPr>
        <w:t xml:space="preserve"> до даного циліндра</w:t>
      </w:r>
      <w:r w:rsidRPr="009D73E8">
        <w:rPr>
          <w:rFonts w:eastAsiaTheme="minorEastAsia"/>
          <w:szCs w:val="28"/>
          <w:lang w:val="uk-UA"/>
        </w:rPr>
        <w:t>.</w:t>
      </w:r>
    </w:p>
    <w:p w14:paraId="0B8DB915" w14:textId="6B898ADE" w:rsidR="009E3A40" w:rsidRPr="009D73E8" w:rsidRDefault="009E3A40" w:rsidP="00DD0947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720231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720231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8E5AFC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53691994" w:rsidR="00B114DE" w:rsidRPr="00B114DE" w:rsidRDefault="00B114DE" w:rsidP="00DD0947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r>
        <w:rPr>
          <w:szCs w:val="28"/>
          <w:lang w:val="uk-UA"/>
        </w:rPr>
        <w:t>єкт,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</w:p>
    <w:p w14:paraId="0001729B" w14:textId="77777777" w:rsidR="00B114DE" w:rsidRPr="009D73E8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3EBCF46F" w:rsidR="000A417E" w:rsidRDefault="000A417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об’єкт повністю, 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променя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5F1E52F2" w14:textId="2C51C2AC" w:rsidR="00C11D61" w:rsidRDefault="00C11D61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Єдине, що такий спостерігач побачить, так це проєкцію тієї частини об’єкта, яка знаходиться на </w:t>
      </w:r>
      <w:r w:rsidR="00B40C75" w:rsidRPr="009D73E8">
        <w:rPr>
          <w:szCs w:val="28"/>
          <w:lang w:val="uk-UA"/>
        </w:rPr>
        <w:t>точ</w:t>
      </w:r>
      <w:r w:rsidR="002E2473">
        <w:rPr>
          <w:szCs w:val="28"/>
          <w:lang w:val="uk-UA"/>
        </w:rPr>
        <w:t>ках</w:t>
      </w:r>
      <w:r w:rsidR="00B40C75" w:rsidRPr="009D73E8">
        <w:rPr>
          <w:szCs w:val="28"/>
          <w:lang w:val="uk-UA"/>
        </w:rPr>
        <w:t xml:space="preserve"> </w:t>
      </w:r>
      <w:r w:rsidR="00B40C75">
        <w:rPr>
          <w:szCs w:val="28"/>
          <w:lang w:val="uk-UA"/>
        </w:rPr>
        <w:t>тих</w:t>
      </w:r>
      <w:r w:rsidRPr="009D73E8">
        <w:rPr>
          <w:szCs w:val="28"/>
          <w:lang w:val="uk-UA"/>
        </w:rPr>
        <w:t xml:space="preserve"> </w:t>
      </w:r>
      <w:r w:rsidR="00147429" w:rsidRPr="009D73E8">
        <w:rPr>
          <w:szCs w:val="28"/>
          <w:lang w:val="uk-UA"/>
        </w:rPr>
        <w:t xml:space="preserve">осей координат, </w:t>
      </w:r>
      <w:r w:rsidRPr="009D73E8">
        <w:rPr>
          <w:szCs w:val="28"/>
          <w:lang w:val="uk-UA"/>
        </w:rPr>
        <w:t>у яких спостерігач не має розміру. Так, круг</w:t>
      </w:r>
      <w:r w:rsidR="009154CF" w:rsidRPr="009D73E8">
        <w:rPr>
          <w:szCs w:val="28"/>
          <w:lang w:val="uk-UA"/>
        </w:rPr>
        <w:t>-спостерігач</w:t>
      </w:r>
      <w:r w:rsidRPr="009D73E8">
        <w:rPr>
          <w:szCs w:val="28"/>
          <w:lang w:val="uk-UA"/>
        </w:rPr>
        <w:t xml:space="preserve"> не має розміру по осях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w</w:t>
      </w:r>
      <w:r w:rsidR="00147429" w:rsidRPr="009D73E8">
        <w:rPr>
          <w:szCs w:val="28"/>
          <w:lang w:val="uk-UA"/>
        </w:rPr>
        <w:t xml:space="preserve"> тощо, бо він плаский.</w:t>
      </w:r>
      <w:r w:rsidRPr="009D73E8">
        <w:rPr>
          <w:szCs w:val="28"/>
          <w:lang w:val="uk-UA"/>
        </w:rPr>
        <w:t xml:space="preserve"> Отже, для нього куб, який буде проходити крізь його простір під кутом 90</w:t>
      </w:r>
      <w:r w:rsidRPr="009D73E8">
        <w:rPr>
          <w:rStyle w:val="hgkelc"/>
          <w:b/>
          <w:bCs/>
          <w:szCs w:val="28"/>
          <w:lang w:val="uk-UA"/>
        </w:rPr>
        <w:t>°</w:t>
      </w:r>
      <w:r w:rsidRPr="009D73E8">
        <w:rPr>
          <w:szCs w:val="28"/>
          <w:lang w:val="uk-UA"/>
        </w:rPr>
        <w:t xml:space="preserve"> буде виглядати як проєкція квадрата, який різко з’явився і різко зник(рис. 2.3).</w:t>
      </w:r>
      <w:r w:rsidR="004951E0" w:rsidRPr="009D73E8">
        <w:rPr>
          <w:szCs w:val="28"/>
          <w:lang w:val="uk-UA"/>
        </w:rPr>
        <w:t xml:space="preserve"> Саме тому </w:t>
      </w:r>
      <w:r w:rsidR="0036467E">
        <w:rPr>
          <w:szCs w:val="28"/>
          <w:lang w:val="uk-UA"/>
        </w:rPr>
        <w:t>в</w:t>
      </w:r>
      <w:r w:rsidR="004951E0" w:rsidRPr="009D73E8">
        <w:rPr>
          <w:szCs w:val="28"/>
          <w:lang w:val="uk-UA"/>
        </w:rPr>
        <w:t xml:space="preserve"> першому розділі ми </w:t>
      </w:r>
      <w:r w:rsidR="000E7279" w:rsidRPr="009D73E8">
        <w:rPr>
          <w:szCs w:val="28"/>
          <w:lang w:val="uk-UA"/>
        </w:rPr>
        <w:t>пояснили чотиривимірні об’єкти як сукупність тривимірних, бо якщо чотиривимірний об’єкт проходитиме через наш тривимірний простір, ми лише  побачимо двовимірну проєкцію тривимірного об’єкта, який чомусь буде змінювати свою форму</w:t>
      </w:r>
      <w:r w:rsidR="009154CF" w:rsidRPr="009D73E8">
        <w:rPr>
          <w:szCs w:val="28"/>
          <w:lang w:val="uk-UA"/>
        </w:rPr>
        <w:t xml:space="preserve"> </w:t>
      </w:r>
      <w:r w:rsidR="000E7279" w:rsidRPr="009D73E8">
        <w:rPr>
          <w:szCs w:val="28"/>
          <w:lang w:val="uk-UA"/>
        </w:rPr>
        <w:t>(рис. 2.</w:t>
      </w:r>
      <w:r w:rsidR="00282644" w:rsidRPr="009D73E8">
        <w:rPr>
          <w:szCs w:val="28"/>
          <w:lang w:val="uk-UA"/>
        </w:rPr>
        <w:t>4</w:t>
      </w:r>
      <w:r w:rsidR="000E7279" w:rsidRPr="009D73E8">
        <w:rPr>
          <w:szCs w:val="28"/>
          <w:lang w:val="uk-UA"/>
        </w:rPr>
        <w:t>).</w:t>
      </w:r>
    </w:p>
    <w:p w14:paraId="002339BF" w14:textId="7D6F6631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50B4D0FF" w14:textId="222AC788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6183228D" wp14:editId="1A2BECDE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FCD" w14:textId="446A0074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2.3. Двовимірний спостерігач бачить лише одновимірну  проєкцію двовимірного шматочк</w:t>
      </w:r>
      <w:r w:rsidR="006F3DFD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тривимірної фігури.</w:t>
      </w:r>
    </w:p>
    <w:p w14:paraId="288BCB33" w14:textId="693B65E3" w:rsidR="008279E2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29CDEBC3" w:rsidR="008279E2" w:rsidRPr="00EB544F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2.4.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E7D4D7C" w14:textId="747741E8" w:rsidR="000E7279" w:rsidRPr="009D73E8" w:rsidRDefault="006B34B7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720231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2.2 </w:t>
      </w:r>
      <w:r w:rsidR="008B6DCA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икористання комп’ютерної графіки для візуалізації</w:t>
      </w:r>
      <w:r w:rsidR="0025678E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багатовимірних фігур</w:t>
      </w:r>
      <w:bookmarkEnd w:id="10"/>
    </w:p>
    <w:p w14:paraId="1EAE1177" w14:textId="554264DF" w:rsidR="008B6DCA" w:rsidRPr="009D73E8" w:rsidRDefault="008B6DCA" w:rsidP="00627FB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Оскільки людина має двовимірний зір, їй доволі легко намалювати </w:t>
      </w:r>
      <w:r w:rsidR="00627FB7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нуль-, одно-, двовимірний об’єкт. Людина також може намалювати проєкцію тривимірного об’єкта. Але </w:t>
      </w:r>
      <w:r w:rsidR="00E70B51">
        <w:rPr>
          <w:szCs w:val="28"/>
          <w:lang w:val="uk-UA"/>
        </w:rPr>
        <w:t xml:space="preserve">їй </w:t>
      </w:r>
      <w:r w:rsidRPr="009D73E8">
        <w:rPr>
          <w:szCs w:val="28"/>
          <w:lang w:val="uk-UA"/>
        </w:rPr>
        <w:t>дуже складно намалювати проєкцію перетину чотиривимірного об’єкта з тривимірним простором, бо для цього треба провести безліч математичних операцій. А оскільки комп’ютер може провести досить багато таких операцій, то за допомогою комп’ютерної графіки доволі легко зобразити ту саму проєкцію.</w:t>
      </w:r>
    </w:p>
    <w:p w14:paraId="3175DD48" w14:textId="6A75080D" w:rsidR="00997A87" w:rsidRPr="009D73E8" w:rsidRDefault="008B6DCA" w:rsidP="00627F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 Той спосіб, який ми використали для моделювання зору </w:t>
      </w:r>
      <w:r w:rsidR="00E05CB0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комп’ютерній графіці називається рей кастінгом. Проте рей марчінг значно легше використати для рендеру чотиривимірних об’</w:t>
      </w:r>
      <w:r w:rsidR="006C2E50" w:rsidRPr="009D73E8">
        <w:rPr>
          <w:szCs w:val="28"/>
          <w:lang w:val="uk-UA"/>
        </w:rPr>
        <w:t xml:space="preserve">єктів, бо для нього не потрібне </w:t>
      </w:r>
      <w:r w:rsidR="006C2E50" w:rsidRPr="009D73E8">
        <w:rPr>
          <w:szCs w:val="28"/>
          <w:lang w:val="uk-UA"/>
        </w:rPr>
        <w:lastRenderedPageBreak/>
        <w:t>знання формул перетину променя з об’єктом, до того ж рей марчінг дозволяє проводити такі операції з об’єктами, як перетин, різниця</w:t>
      </w:r>
      <w:r w:rsidR="00D93208" w:rsidRPr="009D73E8">
        <w:rPr>
          <w:szCs w:val="28"/>
          <w:lang w:val="uk-UA"/>
        </w:rPr>
        <w:t xml:space="preserve">, добуток </w:t>
      </w:r>
      <w:r w:rsidR="006C2E50" w:rsidRPr="009D73E8">
        <w:rPr>
          <w:szCs w:val="28"/>
          <w:lang w:val="uk-UA"/>
        </w:rPr>
        <w:t>тощо</w:t>
      </w:r>
      <w:r w:rsidR="005066C2" w:rsidRPr="009D73E8">
        <w:rPr>
          <w:szCs w:val="28"/>
          <w:lang w:val="uk-UA"/>
        </w:rPr>
        <w:t>(особливо нас цікавить перетин).</w:t>
      </w:r>
    </w:p>
    <w:p w14:paraId="09A327E9" w14:textId="12E6782F" w:rsidR="00D93208" w:rsidRPr="009D73E8" w:rsidRDefault="00D93208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72023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11"/>
    </w:p>
    <w:p w14:paraId="2E9D6324" w14:textId="4C665DDE" w:rsidR="00EB7CCD" w:rsidRPr="009D73E8" w:rsidRDefault="00282644" w:rsidP="00DD0947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B1057CB" w:rsidR="00B31527" w:rsidRPr="009D73E8" w:rsidRDefault="00220914" w:rsidP="00873CF2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</w:p>
    <w:p w14:paraId="6D9E7799" w14:textId="79B67446" w:rsidR="005066C2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720232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2.4 Проєкція тесеракта</w:t>
      </w:r>
      <w:bookmarkEnd w:id="12"/>
    </w:p>
    <w:p w14:paraId="67979F62" w14:textId="3C8B4F4E" w:rsidR="00220914" w:rsidRPr="009D73E8" w:rsidRDefault="00220914" w:rsidP="00D83FBF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429BCFEC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720232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2.5 Проєкція пентахора</w:t>
      </w:r>
      <w:bookmarkEnd w:id="13"/>
    </w:p>
    <w:p w14:paraId="6E847356" w14:textId="5F3CE1C8" w:rsidR="00220914" w:rsidRPr="009D73E8" w:rsidRDefault="00220914" w:rsidP="007356E0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08630705" w:rsidR="001F709D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720232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2.6 Проблема проєкції гіперкулі</w:t>
      </w:r>
      <w:bookmarkEnd w:id="14"/>
    </w:p>
    <w:p w14:paraId="5A10FDB1" w14:textId="2FE8A6A5" w:rsidR="001F709D" w:rsidRPr="009D73E8" w:rsidRDefault="001F709D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36ED40EC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1720232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2.7 Проєкції кубіндра, сферіндра, дуоциліндра</w:t>
      </w:r>
      <w:bookmarkEnd w:id="15"/>
    </w:p>
    <w:p w14:paraId="30DEA944" w14:textId="2DECF639" w:rsidR="00617756" w:rsidRPr="009D73E8" w:rsidRDefault="00A45594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545407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545407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DD0947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DD0947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9F5EF2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9F5EF2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BA3B2B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0936B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2A3260B8" w:rsidR="000F7C5E" w:rsidRPr="009D73E8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3790EDCA" w14:textId="59DDA185" w:rsidR="00617756" w:rsidRDefault="000F7C5E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73E8">
        <w:rPr>
          <w:sz w:val="28"/>
          <w:szCs w:val="28"/>
          <w:lang w:val="uk-UA"/>
        </w:rPr>
        <w:br w:type="page"/>
      </w:r>
      <w:bookmarkStart w:id="16" w:name="_Toc117202324"/>
      <w:r w:rsidR="004F3C9F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</w:p>
    <w:p w14:paraId="268A62D4" w14:textId="77777777" w:rsidR="002B789A" w:rsidRPr="002B789A" w:rsidRDefault="002B789A" w:rsidP="002B789A">
      <w:pPr>
        <w:rPr>
          <w:lang w:val="uk-UA"/>
        </w:rPr>
      </w:pPr>
    </w:p>
    <w:p w14:paraId="3C9D7D8C" w14:textId="5B0F3D53" w:rsidR="002F1040" w:rsidRDefault="002F1040" w:rsidP="002B789A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610F9D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643017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мізками,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643017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31DDF582" w:rsidR="002F1040" w:rsidRDefault="00A734AE" w:rsidP="00643017">
      <w:pPr>
        <w:spacing w:line="360" w:lineRule="auto"/>
        <w:jc w:val="both"/>
        <w:rPr>
          <w:lang w:val="uk-UA"/>
        </w:rPr>
      </w:pPr>
      <w:r>
        <w:rPr>
          <w:lang w:val="uk-UA"/>
        </w:rPr>
        <w:t>комп</w:t>
      </w:r>
      <w:r w:rsidRPr="00A734AE">
        <w:rPr>
          <w:lang w:val="uk-UA"/>
        </w:rPr>
        <w:t>’</w:t>
      </w:r>
      <w:r>
        <w:rPr>
          <w:lang w:val="uk-UA"/>
        </w:rPr>
        <w:t xml:space="preserve">ютерна графіка дозволяє візуалізувати навіть дуже складні геометричні фігури – для цього особливо часто застосовують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r w:rsidRPr="00B17A68">
        <w:rPr>
          <w:u w:val="single"/>
          <w:lang w:val="uk-UA"/>
        </w:rPr>
        <w:t>марчінг.</w:t>
      </w:r>
      <w:r>
        <w:rPr>
          <w:lang w:val="uk-UA"/>
        </w:rPr>
        <w:t xml:space="preserve"> </w:t>
      </w:r>
    </w:p>
    <w:p w14:paraId="528F83AA" w14:textId="759B0A27" w:rsidR="00C86E5F" w:rsidRDefault="00C86E5F" w:rsidP="00DD0947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DD0947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720232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7"/>
    </w:p>
    <w:p w14:paraId="56EEA34B" w14:textId="77E49A6F" w:rsidR="00853961" w:rsidRPr="00C86E5F" w:rsidRDefault="001E40F7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27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en-US"/>
        </w:rPr>
        <w:t>Abott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446D3FD7" w:rsidR="002F1040" w:rsidRPr="00984A5A" w:rsidRDefault="00A92622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28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04071E97" w14:textId="0A882B5E" w:rsidR="00BF5B9A" w:rsidRPr="00BF5B9A" w:rsidRDefault="00BF5B9A" w:rsidP="007C1A0C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29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DD0947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0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wikimedia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wikipedia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DD0947">
      <w:pPr>
        <w:spacing w:line="360" w:lineRule="auto"/>
        <w:rPr>
          <w:szCs w:val="28"/>
          <w:lang w:val="uk-UA"/>
        </w:rPr>
      </w:pPr>
      <w:hyperlink r:id="rId31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DD0947">
      <w:pPr>
        <w:spacing w:line="360" w:lineRule="auto"/>
        <w:rPr>
          <w:rStyle w:val="a8"/>
          <w:szCs w:val="28"/>
          <w:lang w:val="uk-UA"/>
        </w:rPr>
      </w:pPr>
      <w:hyperlink r:id="rId32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DD0947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DD0947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Рис. 2.8:</w:t>
      </w:r>
    </w:p>
    <w:p w14:paraId="39F398CB" w14:textId="6B7D2708" w:rsidR="00A42AAB" w:rsidRDefault="00000000" w:rsidP="00DD0947">
      <w:pPr>
        <w:spacing w:line="360" w:lineRule="auto"/>
        <w:rPr>
          <w:szCs w:val="28"/>
          <w:lang w:val="uk-UA"/>
        </w:rPr>
      </w:pPr>
      <w:hyperlink r:id="rId33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DD0947">
      <w:pPr>
        <w:spacing w:line="360" w:lineRule="auto"/>
        <w:rPr>
          <w:szCs w:val="28"/>
          <w:lang w:val="uk-UA"/>
        </w:rPr>
      </w:pPr>
      <w:hyperlink r:id="rId34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DD0947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DD0947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3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C65DE" w14:textId="77777777" w:rsidR="00390069" w:rsidRDefault="00390069" w:rsidP="00BF1784">
      <w:pPr>
        <w:spacing w:after="0"/>
      </w:pPr>
      <w:r>
        <w:separator/>
      </w:r>
    </w:p>
  </w:endnote>
  <w:endnote w:type="continuationSeparator" w:id="0">
    <w:p w14:paraId="770F490B" w14:textId="77777777" w:rsidR="00390069" w:rsidRDefault="00390069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E60D" w14:textId="77777777" w:rsidR="00390069" w:rsidRDefault="00390069" w:rsidP="00BF1784">
      <w:pPr>
        <w:spacing w:after="0"/>
      </w:pPr>
      <w:r>
        <w:separator/>
      </w:r>
    </w:p>
  </w:footnote>
  <w:footnote w:type="continuationSeparator" w:id="0">
    <w:p w14:paraId="69194279" w14:textId="77777777" w:rsidR="00390069" w:rsidRDefault="00390069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4"/>
  </w:num>
  <w:num w:numId="2" w16cid:durableId="1562212130">
    <w:abstractNumId w:val="1"/>
  </w:num>
  <w:num w:numId="3" w16cid:durableId="1835294856">
    <w:abstractNumId w:val="3"/>
  </w:num>
  <w:num w:numId="4" w16cid:durableId="1930506121">
    <w:abstractNumId w:val="2"/>
  </w:num>
  <w:num w:numId="5" w16cid:durableId="2350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11F58"/>
    <w:rsid w:val="00053DD9"/>
    <w:rsid w:val="00055EBD"/>
    <w:rsid w:val="00065665"/>
    <w:rsid w:val="00081C80"/>
    <w:rsid w:val="000936BE"/>
    <w:rsid w:val="000947BE"/>
    <w:rsid w:val="000A417E"/>
    <w:rsid w:val="000A53B7"/>
    <w:rsid w:val="000E1C66"/>
    <w:rsid w:val="000E2D5B"/>
    <w:rsid w:val="000E7279"/>
    <w:rsid w:val="000F7C5E"/>
    <w:rsid w:val="0010059C"/>
    <w:rsid w:val="00113E42"/>
    <w:rsid w:val="00125583"/>
    <w:rsid w:val="00145185"/>
    <w:rsid w:val="00147429"/>
    <w:rsid w:val="00154DC4"/>
    <w:rsid w:val="0016554A"/>
    <w:rsid w:val="00165BCD"/>
    <w:rsid w:val="001A1155"/>
    <w:rsid w:val="001A603C"/>
    <w:rsid w:val="001A6589"/>
    <w:rsid w:val="001B2BD1"/>
    <w:rsid w:val="001C0713"/>
    <w:rsid w:val="001E40F7"/>
    <w:rsid w:val="001F3ED9"/>
    <w:rsid w:val="001F709D"/>
    <w:rsid w:val="00220914"/>
    <w:rsid w:val="002265C5"/>
    <w:rsid w:val="0025678E"/>
    <w:rsid w:val="00262590"/>
    <w:rsid w:val="00262B7F"/>
    <w:rsid w:val="00271E94"/>
    <w:rsid w:val="00280C65"/>
    <w:rsid w:val="00282644"/>
    <w:rsid w:val="002A4E35"/>
    <w:rsid w:val="002B789A"/>
    <w:rsid w:val="002E1854"/>
    <w:rsid w:val="002E2473"/>
    <w:rsid w:val="002F1040"/>
    <w:rsid w:val="003572EC"/>
    <w:rsid w:val="0036467E"/>
    <w:rsid w:val="00373AE1"/>
    <w:rsid w:val="0038160D"/>
    <w:rsid w:val="00390069"/>
    <w:rsid w:val="003912D3"/>
    <w:rsid w:val="00396A0B"/>
    <w:rsid w:val="00397D29"/>
    <w:rsid w:val="003A15F4"/>
    <w:rsid w:val="003B7498"/>
    <w:rsid w:val="003D1F38"/>
    <w:rsid w:val="003E677B"/>
    <w:rsid w:val="003F04F1"/>
    <w:rsid w:val="00422C29"/>
    <w:rsid w:val="00424251"/>
    <w:rsid w:val="0043335E"/>
    <w:rsid w:val="00456F8F"/>
    <w:rsid w:val="0045731C"/>
    <w:rsid w:val="00461955"/>
    <w:rsid w:val="00485C88"/>
    <w:rsid w:val="0049284F"/>
    <w:rsid w:val="00492A7A"/>
    <w:rsid w:val="004951E0"/>
    <w:rsid w:val="004A2E5D"/>
    <w:rsid w:val="004D02F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72E55"/>
    <w:rsid w:val="005759C5"/>
    <w:rsid w:val="00576F20"/>
    <w:rsid w:val="00597261"/>
    <w:rsid w:val="005A5429"/>
    <w:rsid w:val="005C04AF"/>
    <w:rsid w:val="005C0B18"/>
    <w:rsid w:val="005C12C4"/>
    <w:rsid w:val="005C2FF6"/>
    <w:rsid w:val="005C6704"/>
    <w:rsid w:val="005D77C9"/>
    <w:rsid w:val="005E7B44"/>
    <w:rsid w:val="005F1D1D"/>
    <w:rsid w:val="005F3FA8"/>
    <w:rsid w:val="005F4900"/>
    <w:rsid w:val="005F5DB7"/>
    <w:rsid w:val="005F5E23"/>
    <w:rsid w:val="006036FE"/>
    <w:rsid w:val="00610F9D"/>
    <w:rsid w:val="00613CD5"/>
    <w:rsid w:val="00617756"/>
    <w:rsid w:val="00627FB7"/>
    <w:rsid w:val="00635054"/>
    <w:rsid w:val="00643017"/>
    <w:rsid w:val="00652B17"/>
    <w:rsid w:val="006607B7"/>
    <w:rsid w:val="00660FB2"/>
    <w:rsid w:val="00663457"/>
    <w:rsid w:val="00671A58"/>
    <w:rsid w:val="00673D0B"/>
    <w:rsid w:val="006771C8"/>
    <w:rsid w:val="0067735E"/>
    <w:rsid w:val="00680B83"/>
    <w:rsid w:val="0068264E"/>
    <w:rsid w:val="006A10F9"/>
    <w:rsid w:val="006B34B7"/>
    <w:rsid w:val="006C0B77"/>
    <w:rsid w:val="006C2E50"/>
    <w:rsid w:val="006D7605"/>
    <w:rsid w:val="006F3DFD"/>
    <w:rsid w:val="00707F4B"/>
    <w:rsid w:val="00710DAE"/>
    <w:rsid w:val="0071428B"/>
    <w:rsid w:val="00733D85"/>
    <w:rsid w:val="007356E0"/>
    <w:rsid w:val="007372A4"/>
    <w:rsid w:val="0074630B"/>
    <w:rsid w:val="0075231A"/>
    <w:rsid w:val="007948EF"/>
    <w:rsid w:val="007A0E60"/>
    <w:rsid w:val="007A7BBB"/>
    <w:rsid w:val="007B29BC"/>
    <w:rsid w:val="007C1A0C"/>
    <w:rsid w:val="007D27B5"/>
    <w:rsid w:val="007F2BF7"/>
    <w:rsid w:val="007F4B97"/>
    <w:rsid w:val="0080332F"/>
    <w:rsid w:val="00806DD2"/>
    <w:rsid w:val="008242FF"/>
    <w:rsid w:val="008279E2"/>
    <w:rsid w:val="00837CFC"/>
    <w:rsid w:val="00853961"/>
    <w:rsid w:val="00870751"/>
    <w:rsid w:val="00873CF2"/>
    <w:rsid w:val="008749E1"/>
    <w:rsid w:val="00880378"/>
    <w:rsid w:val="00892266"/>
    <w:rsid w:val="008B6DCA"/>
    <w:rsid w:val="008C55B6"/>
    <w:rsid w:val="008E2197"/>
    <w:rsid w:val="008E5AFC"/>
    <w:rsid w:val="008E5F00"/>
    <w:rsid w:val="008E7FD9"/>
    <w:rsid w:val="008F75D5"/>
    <w:rsid w:val="00911210"/>
    <w:rsid w:val="009154CF"/>
    <w:rsid w:val="00922C48"/>
    <w:rsid w:val="00925A70"/>
    <w:rsid w:val="00927D41"/>
    <w:rsid w:val="00931344"/>
    <w:rsid w:val="00942D90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3A40"/>
    <w:rsid w:val="009E7F7D"/>
    <w:rsid w:val="009F5EF2"/>
    <w:rsid w:val="00A32A01"/>
    <w:rsid w:val="00A42AAB"/>
    <w:rsid w:val="00A45594"/>
    <w:rsid w:val="00A50F1B"/>
    <w:rsid w:val="00A72BB9"/>
    <w:rsid w:val="00A734AE"/>
    <w:rsid w:val="00A76F72"/>
    <w:rsid w:val="00A92622"/>
    <w:rsid w:val="00A9362B"/>
    <w:rsid w:val="00A93944"/>
    <w:rsid w:val="00AB1941"/>
    <w:rsid w:val="00AB3A32"/>
    <w:rsid w:val="00AC3F1E"/>
    <w:rsid w:val="00AE268E"/>
    <w:rsid w:val="00AF3426"/>
    <w:rsid w:val="00B114DE"/>
    <w:rsid w:val="00B17A68"/>
    <w:rsid w:val="00B235C1"/>
    <w:rsid w:val="00B31527"/>
    <w:rsid w:val="00B33ADC"/>
    <w:rsid w:val="00B40C75"/>
    <w:rsid w:val="00B66606"/>
    <w:rsid w:val="00B915B7"/>
    <w:rsid w:val="00BA3B2B"/>
    <w:rsid w:val="00BB27AC"/>
    <w:rsid w:val="00BC412E"/>
    <w:rsid w:val="00BF1784"/>
    <w:rsid w:val="00BF5652"/>
    <w:rsid w:val="00BF5B9A"/>
    <w:rsid w:val="00C0364C"/>
    <w:rsid w:val="00C06B47"/>
    <w:rsid w:val="00C11D61"/>
    <w:rsid w:val="00C23F56"/>
    <w:rsid w:val="00C25484"/>
    <w:rsid w:val="00C428C8"/>
    <w:rsid w:val="00C834C3"/>
    <w:rsid w:val="00C847F7"/>
    <w:rsid w:val="00C862E4"/>
    <w:rsid w:val="00C86E5F"/>
    <w:rsid w:val="00C96330"/>
    <w:rsid w:val="00C964C5"/>
    <w:rsid w:val="00CA6CC2"/>
    <w:rsid w:val="00CE0B4B"/>
    <w:rsid w:val="00CF03A9"/>
    <w:rsid w:val="00CF2435"/>
    <w:rsid w:val="00D075D0"/>
    <w:rsid w:val="00D315F6"/>
    <w:rsid w:val="00D52CCA"/>
    <w:rsid w:val="00D83FBF"/>
    <w:rsid w:val="00D93208"/>
    <w:rsid w:val="00DC2DBB"/>
    <w:rsid w:val="00DC5954"/>
    <w:rsid w:val="00DD0947"/>
    <w:rsid w:val="00DE44A2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6003"/>
    <w:rsid w:val="00E24726"/>
    <w:rsid w:val="00E359E5"/>
    <w:rsid w:val="00E5090D"/>
    <w:rsid w:val="00E56451"/>
    <w:rsid w:val="00E70B51"/>
    <w:rsid w:val="00E86CFA"/>
    <w:rsid w:val="00EA59DF"/>
    <w:rsid w:val="00EB2E5B"/>
    <w:rsid w:val="00EB544F"/>
    <w:rsid w:val="00EB7CCD"/>
    <w:rsid w:val="00EE4070"/>
    <w:rsid w:val="00EE665F"/>
    <w:rsid w:val="00EF40D2"/>
    <w:rsid w:val="00F00D6F"/>
    <w:rsid w:val="00F11DF4"/>
    <w:rsid w:val="00F12C76"/>
    <w:rsid w:val="00F36AC6"/>
    <w:rsid w:val="00F40E88"/>
    <w:rsid w:val="00F476F6"/>
    <w:rsid w:val="00F702AF"/>
    <w:rsid w:val="00F70C96"/>
    <w:rsid w:val="00F70F41"/>
    <w:rsid w:val="00FA5F93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static.wikia.nocookie.net/alldimensions/images/a/ac/The_Duocylinder.gif/revision/latest?cb=2021010301533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upload.wikimedia.org/wikipedia/commons/thumb/2/2f/Couronne_solide.svg/1200px-Couronne_solide.svg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hyperlink" Target="https://archive.org/details/fourthdimension00hintarch/page/n7/mode/2up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upload.wikimedia.org/wikipedia/commons/d/d8/5-cell.gif?201704051905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hyperlink" Target="https://web.archive.org/web/20070810120100/http://www.popmech.ru/part/?articleid=113&amp;rubricid=3" TargetMode="External"/><Relationship Id="rId30" Type="http://schemas.openxmlformats.org/officeDocument/2006/relationships/hyperlink" Target="https://upload.wikimedia.org/wikipedia/commons/c/c8/Glass_tesseract_animation.gif" TargetMode="External"/><Relationship Id="rId35" Type="http://schemas.openxmlformats.org/officeDocument/2006/relationships/hyperlink" Target="https://upload.wikimedia.org/wikipedia/commons/thumb/1/1c/16-16_duoprism_net.png/250px-16-16_duoprism_ne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23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207</cp:revision>
  <dcterms:created xsi:type="dcterms:W3CDTF">2022-10-16T15:33:00Z</dcterms:created>
  <dcterms:modified xsi:type="dcterms:W3CDTF">2022-10-22T14:27:00Z</dcterms:modified>
</cp:coreProperties>
</file>