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4252"/>
            <w:tcMar>
              <w:top w:w="0" w:type="dxa"/>
              <w:bottom w:w="0" w:type="dxa"/>
              <w:left w:w="0" w:type="dxa"/>
              <w:right w:w="0" w:type="dxa"/>
            </w:tcMar>
          </w:tcPr>
          <w:p>
            <w:pPr>
              <w:spacing w:before="0" w:after="40"/>
              <w:jc w:val="center"/>
            </w:pPr>
            <w:r>
              <w:drawing>
                <wp:inline xmlns:a="http://schemas.openxmlformats.org/drawingml/2006/main" xmlns:pic="http://schemas.openxmlformats.org/drawingml/2006/picture">
                  <wp:extent cx="1512000" cy="378000"/>
                  <wp:docPr id="1" name="Picture 1"/>
                  <wp:cNvGraphicFramePr>
                    <a:graphicFrameLocks noChangeAspect="1"/>
                  </wp:cNvGraphicFramePr>
                  <a:graphic>
                    <a:graphicData uri="http://schemas.openxmlformats.org/drawingml/2006/picture">
                      <pic:pic>
                        <pic:nvPicPr>
                          <pic:cNvPr id="0" name="tpai-logo-horizontal-light-hi.png"/>
                          <pic:cNvPicPr/>
                        </pic:nvPicPr>
                        <pic:blipFill>
                          <a:blip r:embed="rId10"/>
                          <a:stretch>
                            <a:fillRect/>
                          </a:stretch>
                        </pic:blipFill>
                        <pic:spPr>
                          <a:xfrm>
                            <a:off x="0" y="0"/>
                            <a:ext cx="1512000" cy="378000"/>
                          </a:xfrm>
                          <a:prstGeom prst="rect"/>
                        </pic:spPr>
                      </pic:pic>
                    </a:graphicData>
                  </a:graphic>
                </wp:inline>
              </w:drawing>
            </w:r>
          </w:p>
          <w:p>
            <w:pPr>
              <w:spacing w:before="40" w:after="20"/>
              <w:jc w:val="center"/>
            </w:pPr>
            <w:r>
              <w:rPr>
                <w:rFonts w:ascii="Times New Roman" w:hAnsi="Times New Roman"/>
                <w:b w:val="0"/>
                <w:sz w:val="21"/>
              </w:rPr>
              <w:t>HỌC VIỆN AI — AIVA GROUP</w:t>
            </w:r>
          </w:p>
          <w:p>
            <w:pPr>
              <w:spacing w:before="0" w:after="40"/>
              <w:jc w:val="center"/>
            </w:pPr>
            <w:r>
              <w:rPr>
                <w:rFonts w:ascii="Times New Roman" w:hAnsi="Times New Roman"/>
                <w:b/>
                <w:sz w:val="24"/>
              </w:rPr>
              <w:t>VIỆN THỰC CHIẾN TPAI</w:t>
            </w:r>
          </w:p>
          <w:p>
            <w:pPr>
              <w:spacing w:before="0" w:after="80"/>
              <w:jc w:val="center"/>
            </w:pPr>
            <w:r>
              <w:rPr>
                <w:rFonts w:ascii="Times New Roman" w:hAnsi="Times New Roman"/>
                <w:b/>
                <w:sz w:val="20"/>
              </w:rPr>
              <w:t>⎯⎯⎯⎯⎯⎯⎯</w:t>
            </w:r>
          </w:p>
          <w:p>
            <w:pPr>
              <w:spacing w:before="0" w:after="0"/>
              <w:jc w:val="center"/>
            </w:pPr>
            <w:r>
              <w:rPr>
                <w:rFonts w:ascii="Times New Roman" w:hAnsi="Times New Roman"/>
                <w:sz w:val="24"/>
              </w:rPr>
              <w:t>Số: 21/HD-TPAI</w:t>
            </w:r>
          </w:p>
        </w:tc>
        <w:tc>
          <w:tcPr>
            <w:tcW w:type="dxa" w:w="5102"/>
            <w:tcMar>
              <w:top w:w="0" w:type="dxa"/>
              <w:bottom w:w="0" w:type="dxa"/>
              <w:left w:w="0" w:type="dxa"/>
              <w:right w:w="0" w:type="dxa"/>
            </w:tcMar>
          </w:tcPr>
          <w:p>
            <w:pPr>
              <w:spacing w:before="0" w:after="20"/>
              <w:jc w:val="center"/>
            </w:pPr>
            <w:r>
              <w:rPr>
                <w:rFonts w:ascii="Times New Roman" w:hAnsi="Times New Roman"/>
                <w:b/>
                <w:sz w:val="24"/>
              </w:rPr>
              <w:t>CỘNG HÒA XÃ HỘI CHỦ NGHĨA VIỆT NAM</w:t>
            </w:r>
          </w:p>
          <w:p>
            <w:pPr>
              <w:spacing w:before="0" w:after="40"/>
              <w:jc w:val="center"/>
            </w:pPr>
            <w:r>
              <w:rPr>
                <w:rFonts w:ascii="Times New Roman" w:hAnsi="Times New Roman"/>
                <w:b/>
                <w:sz w:val="26"/>
              </w:rPr>
              <w:t>Độc lập - Tự do - Hạnh phúc</w:t>
            </w:r>
          </w:p>
          <w:p>
            <w:pPr>
              <w:spacing w:before="0" w:after="80"/>
              <w:jc w:val="center"/>
            </w:pPr>
            <w:r>
              <w:rPr>
                <w:rFonts w:ascii="Times New Roman" w:hAnsi="Times New Roman"/>
                <w:b/>
                <w:sz w:val="20"/>
              </w:rPr>
              <w:t>⎯⎯⎯⎯⎯⎯⎯⎯⎯⎯⎯⎯⎯⎯⎯⎯⎯</w:t>
            </w:r>
          </w:p>
          <w:p>
            <w:pPr>
              <w:spacing w:before="0" w:after="0"/>
              <w:jc w:val="center"/>
            </w:pPr>
            <w:r>
              <w:rPr>
                <w:rFonts w:ascii="Times New Roman" w:hAnsi="Times New Roman"/>
                <w:i/>
                <w:sz w:val="26"/>
              </w:rPr>
              <w:t>Hà Nội, ngày 21 tháng 10 năm 2026</w:t>
            </w:r>
          </w:p>
        </w:tc>
      </w:tr>
    </w:tbl>
    <w:p>
      <w:pPr>
        <w:spacing w:before="360" w:after="80"/>
        <w:jc w:val="center"/>
      </w:pPr>
      <w:r>
        <w:rPr>
          <w:rFonts w:ascii="Times New Roman" w:hAnsi="Times New Roman"/>
          <w:b/>
          <w:sz w:val="28"/>
        </w:rPr>
        <w:t>HƯỚNG DẪN</w:t>
      </w:r>
    </w:p>
    <w:p>
      <w:pPr>
        <w:spacing w:before="0" w:after="80" w:line="288" w:lineRule="auto"/>
        <w:jc w:val="center"/>
      </w:pPr>
      <w:r>
        <w:rPr>
          <w:rFonts w:ascii="Times New Roman" w:hAnsi="Times New Roman"/>
          <w:b/>
          <w:sz w:val="27"/>
        </w:rPr>
        <w:t>Về việc ứng dụng Trí tuệ nhân tạo (AI) và chuẩn hóa bộ 50 cấu trúc</w:t>
        <w:br/>
        <w:t>câu lệnh (Prompt) trong quản trị, vận hành doanh nghiệp</w:t>
      </w:r>
    </w:p>
    <w:p>
      <w:pPr>
        <w:spacing w:before="0" w:after="240"/>
        <w:jc w:val="center"/>
      </w:pPr>
      <w:r>
        <w:rPr>
          <w:rFonts w:ascii="Times New Roman" w:hAnsi="Times New Roman"/>
          <w:b/>
          <w:sz w:val="20"/>
        </w:rPr>
        <w:t>⎯⎯⎯⎯⎯⎯⎯⎯⎯⎯</w:t>
      </w:r>
    </w:p>
    <w:p>
      <w:pPr>
        <w:spacing w:before="0" w:after="60" w:line="300" w:lineRule="auto"/>
        <w:ind w:firstLine="720"/>
        <w:jc w:val="both"/>
      </w:pPr>
      <w:r>
        <w:rPr>
          <w:rFonts w:ascii="Times New Roman" w:hAnsi="Times New Roman"/>
          <w:i/>
          <w:sz w:val="26"/>
        </w:rPr>
        <w:t>Căn cứ Quyết định số 127/QĐ-TTg ngày 26 tháng 01 năm 2021 của Thủ tướng Chính phủ ban hành Chiến lược Quốc gia về nghiên cứu, phát triển và ứng dụng Trí tuệ nhân tạo đến năm 2030;</w:t>
      </w:r>
    </w:p>
    <w:p>
      <w:pPr>
        <w:spacing w:before="0" w:after="60" w:line="300" w:lineRule="auto"/>
        <w:ind w:firstLine="720"/>
        <w:jc w:val="both"/>
      </w:pPr>
      <w:r>
        <w:rPr>
          <w:rFonts w:ascii="Times New Roman" w:hAnsi="Times New Roman"/>
          <w:i/>
          <w:sz w:val="26"/>
        </w:rPr>
        <w:t>Căn cứ chức năng, nhiệm vụ và sứ mệnh phổ cập ứng dụng Trí tuệ nhân tạo của Học viện AI (trực thuộc Tập đoàn AIVA Group);</w:t>
      </w:r>
    </w:p>
    <w:p>
      <w:pPr>
        <w:spacing w:before="0" w:after="60" w:line="300" w:lineRule="auto"/>
        <w:ind w:firstLine="720"/>
        <w:jc w:val="both"/>
      </w:pPr>
      <w:r>
        <w:rPr>
          <w:rFonts w:ascii="Times New Roman" w:hAnsi="Times New Roman"/>
          <w:i/>
          <w:sz w:val="26"/>
        </w:rPr>
        <w:t>Căn cứ thực tiễn triển khai đào tạo, tư vấn và chuyển giao hệ thống Trợ lý AI cho hơn 80.000 học viên và 1.000 doanh nghiệp trên toàn quốc;</w:t>
      </w:r>
    </w:p>
    <w:p>
      <w:pPr>
        <w:spacing w:before="0" w:after="60" w:line="300" w:lineRule="auto"/>
        <w:ind w:firstLine="720"/>
        <w:jc w:val="both"/>
      </w:pPr>
      <w:r>
        <w:rPr>
          <w:rFonts w:ascii="Times New Roman" w:hAnsi="Times New Roman"/>
          <w:i/>
          <w:sz w:val="26"/>
        </w:rPr>
        <w:t>Nhằm chuẩn hóa kỹ năng ra lệnh (Prompt Engineering), nâng cao hiệu suất lao động và bảo đảm an toàn dữ liệu số cho các cơ quan, đơn vị, doanh nghiệp;</w:t>
      </w:r>
    </w:p>
    <w:p>
      <w:pPr>
        <w:spacing w:before="80" w:after="200" w:line="312" w:lineRule="auto"/>
        <w:ind w:firstLine="720"/>
        <w:jc w:val="both"/>
      </w:pPr>
      <w:r>
        <w:rPr>
          <w:rFonts w:ascii="Times New Roman" w:hAnsi="Times New Roman"/>
          <w:sz w:val="27"/>
        </w:rPr>
        <w:t>Học viện AI ban hành Hướng dẫn ứng dụng Trí tuệ nhân tạo và bộ 50 cấu trúc câu lệnh chuẩn hóa cho các bộ phận chuyên môn như sau:</w:t>
      </w:r>
    </w:p>
    <w:p>
      <w:pPr>
        <w:keepNext/>
        <w:spacing w:before="240" w:after="120" w:line="312" w:lineRule="auto"/>
        <w:ind w:firstLine="0"/>
        <w:jc w:val="left"/>
      </w:pPr>
      <w:r>
        <w:rPr>
          <w:rFonts w:ascii="Times New Roman" w:hAnsi="Times New Roman"/>
          <w:b/>
          <w:color w:val="000000"/>
          <w:sz w:val="28"/>
        </w:rPr>
        <w:t>Phần I</w:t>
        <w:br/>
        <w:t>NGUYÊN TẮC CỐT LÕI VÀ KHUNG TƯ DUY RA LỆNH CHO TRÍ TUỆ NHÂN TẠO</w:t>
      </w:r>
    </w:p>
    <w:p>
      <w:pPr>
        <w:keepNext/>
        <w:spacing w:before="160" w:after="80" w:line="312" w:lineRule="auto"/>
        <w:ind w:firstLine="0"/>
        <w:jc w:val="left"/>
      </w:pPr>
      <w:r>
        <w:rPr>
          <w:rFonts w:ascii="Times New Roman" w:hAnsi="Times New Roman"/>
          <w:b/>
          <w:color w:val="000000"/>
          <w:sz w:val="27"/>
        </w:rPr>
        <w:t>1. Mục đích và phạm vi áp dụng</w:t>
      </w:r>
    </w:p>
    <w:p>
      <w:pPr>
        <w:spacing w:before="0" w:after="120" w:line="312" w:lineRule="auto"/>
        <w:ind w:firstLine="720"/>
        <w:jc w:val="both"/>
      </w:pPr>
      <w:r>
        <w:rPr>
          <w:rFonts w:ascii="Times New Roman" w:hAnsi="Times New Roman"/>
          <w:b w:val="0"/>
          <w:i w:val="0"/>
          <w:color w:val="000000"/>
          <w:sz w:val="27"/>
        </w:rPr>
        <w:t>a) Văn bản này quy định khung tư duy, phương pháp ra lệnh (Prompt Engineering) và cung cấp bộ 50 câu lệnh mẫu đã được chuẩn hóa phục vụ công tác điều hành, quản trị và tác nghiệp nghiệp vụ chuyên môn hàng ngày.</w:t>
      </w:r>
    </w:p>
    <w:p>
      <w:pPr>
        <w:spacing w:before="0" w:after="120" w:line="312" w:lineRule="auto"/>
        <w:ind w:firstLine="720"/>
        <w:jc w:val="both"/>
      </w:pPr>
      <w:r>
        <w:rPr>
          <w:rFonts w:ascii="Times New Roman" w:hAnsi="Times New Roman"/>
          <w:b w:val="0"/>
          <w:i w:val="0"/>
          <w:color w:val="000000"/>
          <w:sz w:val="27"/>
        </w:rPr>
        <w:t>b) Đối tượng áp dụng bao gồm: Cán bộ lãnh đạo, nhà quản lý, trưởng/phó bộ phận và toàn thể nhân sự thuộc các phòng ban chức năng: Tổ chức - Hành chính, Kế hoạch - Vận hành, Sản xuất - Quản lý chất lượng, Kỹ thuật - Cơ điện, Tài chính - Kế toán và Kinh doanh - Marketing.</w:t>
      </w:r>
    </w:p>
    <w:p>
      <w:pPr>
        <w:spacing w:before="0" w:after="120" w:line="312" w:lineRule="auto"/>
        <w:ind w:firstLine="720"/>
        <w:jc w:val="both"/>
      </w:pPr>
      <w:r>
        <w:rPr>
          <w:rFonts w:ascii="Times New Roman" w:hAnsi="Times New Roman"/>
          <w:b w:val="0"/>
          <w:i w:val="0"/>
          <w:color w:val="000000"/>
          <w:sz w:val="27"/>
        </w:rPr>
        <w:t>c) Phạm vi công nghệ áp dụng: Các mô hình ngôn ngữ lớn (LLMs) phổ biến và công cụ trợ lý AI hiện đại bao gồm: OpenAI ChatGPT, Google Gemini, Anthropic Claude, Microsoft Copilot và nền tảng quản trị tri thức bảo mật Google NotebookLM.</w:t>
      </w:r>
    </w:p>
    <w:p>
      <w:pPr>
        <w:keepNext/>
        <w:spacing w:before="160" w:after="80" w:line="312" w:lineRule="auto"/>
        <w:ind w:firstLine="0"/>
        <w:jc w:val="left"/>
      </w:pPr>
      <w:r>
        <w:rPr>
          <w:rFonts w:ascii="Times New Roman" w:hAnsi="Times New Roman"/>
          <w:b/>
          <w:color w:val="000000"/>
          <w:sz w:val="27"/>
        </w:rPr>
        <w:t>2. Nguyên tắc an toàn thông tin và bảo mật dữ liệu doanh nghiệp</w:t>
      </w:r>
    </w:p>
    <w:p>
      <w:pPr>
        <w:spacing w:before="0" w:after="120" w:line="312" w:lineRule="auto"/>
        <w:ind w:firstLine="720"/>
        <w:jc w:val="both"/>
      </w:pPr>
      <w:r>
        <w:rPr>
          <w:rFonts w:ascii="Times New Roman" w:hAnsi="Times New Roman"/>
          <w:b w:val="0"/>
          <w:i w:val="0"/>
          <w:color w:val="000000"/>
          <w:sz w:val="27"/>
        </w:rPr>
        <w:t>a) Nguyên tắc phân loại và bảo vệ dữ liệu mật: Tuyệt đối không nhập các thông tin thuộc danh mục bí mật kinh doanh, thông tin tài chính nội bộ chưa công bố, bí mật công nghệ, mật khẩu, khóa API hoặc dữ liệu cá nhân nhạy cảm của khách hàng (số định danh cá nhân CCCD/CMND, số tài khoản ngân hàng, hồ sơ bệnh án) vào các nền tảng AI công cộng chưa được cấu hình chế độ bảo vệ quyền riêng tư.</w:t>
      </w:r>
    </w:p>
    <w:p>
      <w:pPr>
        <w:spacing w:before="0" w:after="120" w:line="312" w:lineRule="auto"/>
        <w:ind w:firstLine="720"/>
        <w:jc w:val="both"/>
      </w:pPr>
      <w:r>
        <w:rPr>
          <w:rFonts w:ascii="Times New Roman" w:hAnsi="Times New Roman"/>
          <w:b w:val="0"/>
          <w:i w:val="0"/>
          <w:color w:val="000000"/>
          <w:sz w:val="27"/>
        </w:rPr>
        <w:t>b) Nguyên tắc kiểm chứng thông tin (Fact-Checking): Trí tuệ nhân tạo là công cụ hỗ trợ tư duy, dự thảo và tổng hợp; không thể thay thế năng lực ra quyết định và trách nhiệm pháp lý của con người. Người sử dụng có nghĩa vụ kiểm tra, rà soát lại toàn bộ số liệu, thể thức và căn cứ pháp lý trước khi phát hành tài liệu.</w:t>
      </w:r>
    </w:p>
    <w:p>
      <w:pPr>
        <w:spacing w:before="0" w:after="120" w:line="312" w:lineRule="auto"/>
        <w:ind w:firstLine="720"/>
        <w:jc w:val="both"/>
      </w:pPr>
      <w:r>
        <w:rPr>
          <w:rFonts w:ascii="Times New Roman" w:hAnsi="Times New Roman"/>
          <w:b w:val="0"/>
          <w:i w:val="0"/>
          <w:color w:val="000000"/>
          <w:sz w:val="27"/>
        </w:rPr>
        <w:t>c) Ứng dụng Google NotebookLM trong quản trị tri thức cô lập: Khuyến khích các phòng ban sử dụng nền tảng Google NotebookLM để xây dựng 'Bộ não số' nội bộ. Nền tảng này chỉ truy xuất và tổng hợp câu trả lời dựa trên kho tài liệu đã tải lên (file PDF quy chế, SOP, hợp đồng mẫu, báo cáo kỹ thuật), đảm bảo độ chính xác tuyệt đối kèm trích dẫn số trang nguồn, không chia sẻ dữ liệu ra bên ngoài.</w:t>
      </w:r>
    </w:p>
    <w:p>
      <w:pPr>
        <w:keepNext/>
        <w:spacing w:before="160" w:after="80" w:line="312" w:lineRule="auto"/>
        <w:ind w:firstLine="0"/>
        <w:jc w:val="left"/>
      </w:pPr>
      <w:r>
        <w:rPr>
          <w:rFonts w:ascii="Times New Roman" w:hAnsi="Times New Roman"/>
          <w:b/>
          <w:color w:val="000000"/>
          <w:sz w:val="27"/>
        </w:rPr>
        <w:t>3. Framework ra lệnh chuẩn doanh nghiệp: R-C-T-C-F</w:t>
      </w:r>
    </w:p>
    <w:p>
      <w:pPr>
        <w:spacing w:before="0" w:after="120" w:line="312" w:lineRule="auto"/>
        <w:ind w:firstLine="720"/>
        <w:jc w:val="both"/>
      </w:pPr>
      <w:r>
        <w:rPr>
          <w:rFonts w:ascii="Times New Roman" w:hAnsi="Times New Roman"/>
          <w:b w:val="0"/>
          <w:i w:val="0"/>
          <w:color w:val="000000"/>
          <w:sz w:val="27"/>
        </w:rPr>
        <w:t>Để loại bỏ hiện tượng AI trả lời chung chung, thiếu ngữ cảnh hoặc phát sinh thông tin sai lệch (ảo giác AI - Hallucination), mọi câu lệnh của cán bộ nhân viên phải được cấu trúc đầy đủ theo 5 thành tố bắt buộc sau:</w:t>
      </w:r>
    </w:p>
    <w:p>
      <w:pPr>
        <w:spacing w:before="0" w:after="120" w:line="312" w:lineRule="auto"/>
        <w:ind w:firstLine="850"/>
        <w:jc w:val="both"/>
      </w:pPr>
      <w:r>
        <w:rPr>
          <w:rFonts w:ascii="Times New Roman" w:hAnsi="Times New Roman"/>
          <w:b w:val="0"/>
          <w:i w:val="0"/>
          <w:color w:val="000000"/>
          <w:sz w:val="27"/>
        </w:rPr>
        <w:t>• R - Role (Vai trò): Xác lập tư cách chuyên gia cụ thể của AI (Ví dụ: Giám đốc Nhân sự 15 năm kinh nghiệm, Kỹ sư Quản lý chất lượng Senior, Chuyên viên Pháp chế doanh nghiệp).</w:t>
      </w:r>
    </w:p>
    <w:p>
      <w:pPr>
        <w:spacing w:before="0" w:after="120" w:line="312" w:lineRule="auto"/>
        <w:ind w:firstLine="850"/>
        <w:jc w:val="both"/>
      </w:pPr>
      <w:r>
        <w:rPr>
          <w:rFonts w:ascii="Times New Roman" w:hAnsi="Times New Roman"/>
          <w:b w:val="0"/>
          <w:i w:val="0"/>
          <w:color w:val="000000"/>
          <w:sz w:val="27"/>
        </w:rPr>
        <w:t>• C - Context (Bối cảnh): Mô tả rõ quy mô doanh nghiệp, lĩnh vực kinh doanh, ngành nghề hoạt động, đối tượng tiếp nhận văn bản và tình huống thực tế đang phát sinh.</w:t>
      </w:r>
    </w:p>
    <w:p>
      <w:pPr>
        <w:spacing w:before="0" w:after="120" w:line="312" w:lineRule="auto"/>
        <w:ind w:firstLine="850"/>
        <w:jc w:val="both"/>
      </w:pPr>
      <w:r>
        <w:rPr>
          <w:rFonts w:ascii="Times New Roman" w:hAnsi="Times New Roman"/>
          <w:b w:val="0"/>
          <w:i w:val="0"/>
          <w:color w:val="000000"/>
          <w:sz w:val="27"/>
        </w:rPr>
        <w:t>• T - Task (Nhiệm vụ): Nêu rõ hành động cần thực hiện và mục tiêu cụ thể cần đạt được (Ví dụ: Soạn thảo quy chế, lập bảng phân tích ma trận RACI, xây dựng quy trình SOP).</w:t>
      </w:r>
    </w:p>
    <w:p>
      <w:pPr>
        <w:spacing w:before="0" w:after="120" w:line="312" w:lineRule="auto"/>
        <w:ind w:firstLine="850"/>
        <w:jc w:val="both"/>
      </w:pPr>
      <w:r>
        <w:rPr>
          <w:rFonts w:ascii="Times New Roman" w:hAnsi="Times New Roman"/>
          <w:b w:val="0"/>
          <w:i w:val="0"/>
          <w:color w:val="000000"/>
          <w:sz w:val="27"/>
        </w:rPr>
        <w:t>• C - Constraints (Ràng buộc): Giới hạn các tiêu chí kỹ thuật: độ dài tối đa, tông giọng (trang trọng, khách quan, súc tích), các nội dung bắt buộc phải có và các điều cấm kỵ.</w:t>
      </w:r>
    </w:p>
    <w:p>
      <w:pPr>
        <w:spacing w:before="0" w:after="120" w:line="312" w:lineRule="auto"/>
        <w:ind w:firstLine="850"/>
        <w:jc w:val="both"/>
      </w:pPr>
      <w:r>
        <w:rPr>
          <w:rFonts w:ascii="Times New Roman" w:hAnsi="Times New Roman"/>
          <w:b w:val="0"/>
          <w:i w:val="0"/>
          <w:color w:val="000000"/>
          <w:sz w:val="27"/>
        </w:rPr>
        <w:t>• F - Format (Định dạng): Chỉ định cấu trúc kết quả đầu ra: bảng biểu kẻ cột chi tiết, gạch đầu dòng phân cấp, thể thức văn bản hành chính theo Nghị định 30/2020/NĐ-CP hoặc dạng mã nguồn.</w:t>
      </w:r>
    </w:p>
    <w:p>
      <w:pPr>
        <w:keepNext/>
        <w:spacing w:before="240" w:after="120" w:line="312" w:lineRule="auto"/>
        <w:ind w:firstLine="0"/>
        <w:jc w:val="left"/>
      </w:pPr>
      <w:r>
        <w:rPr>
          <w:rFonts w:ascii="Times New Roman" w:hAnsi="Times New Roman"/>
          <w:b/>
          <w:color w:val="000000"/>
          <w:sz w:val="28"/>
        </w:rPr>
        <w:t>Phần II</w:t>
        <w:br/>
        <w:t>BỘ 50 CẤU TRÚC CÂU LỆNH (PROMPT) CHUẨN HÓA THEO PHÒNG BAN CHỨC NĂNG</w:t>
      </w:r>
    </w:p>
    <w:p>
      <w:pPr>
        <w:spacing w:before="0" w:after="120" w:line="312" w:lineRule="auto"/>
        <w:ind w:firstLine="720"/>
        <w:jc w:val="both"/>
      </w:pPr>
      <w:r>
        <w:rPr>
          <w:rFonts w:ascii="Times New Roman" w:hAnsi="Times New Roman"/>
          <w:b w:val="0"/>
          <w:i w:val="0"/>
          <w:color w:val="000000"/>
          <w:sz w:val="27"/>
        </w:rPr>
        <w:t>Các cấu trúc câu lệnh dưới đây đã được tinh chỉnh, thử nghiệm thực tế và tối ưu hóa cho môi trường vận hành doanh nghiệp. Người sử dụng điền thông tin cụ thể vào các phần trong dấu ngoặc vuông [...] trước khi gửi lệnh cho hệ thống AI.</w:t>
      </w:r>
    </w:p>
    <w:p>
      <w:pPr>
        <w:keepNext/>
        <w:spacing w:before="160" w:after="80" w:line="312" w:lineRule="auto"/>
        <w:ind w:firstLine="0"/>
        <w:jc w:val="left"/>
      </w:pPr>
      <w:r>
        <w:rPr>
          <w:rFonts w:ascii="Times New Roman" w:hAnsi="Times New Roman"/>
          <w:b/>
          <w:color w:val="000000"/>
          <w:sz w:val="27"/>
        </w:rPr>
        <w:t>1. Bảng cấu trúc Prompt cho Phòng Tổ chức - Hành chính &amp; Nhân sự</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680"/>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STT</w:t>
            </w:r>
          </w:p>
        </w:tc>
        <w:tc>
          <w:tcPr>
            <w:tcW w:type="dxa" w:w="1247"/>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Mã hiệu</w:t>
            </w:r>
          </w:p>
        </w:tc>
        <w:tc>
          <w:tcPr>
            <w:tcW w:type="dxa" w:w="5443"/>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Cấu trúc câu lệnh chuẩn hóa (Prompt Master)</w:t>
            </w:r>
          </w:p>
        </w:tc>
        <w:tc>
          <w:tcPr>
            <w:tcW w:type="dxa" w:w="1984"/>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Kết quả kỳ vọng</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1</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TCHC-01</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Soạn thảo Quy chế &amp; Quy định nội bộ</w:t>
              <w:br/>
            </w:r>
            <w:r>
              <w:rPr>
                <w:rFonts w:ascii="Times New Roman" w:hAnsi="Times New Roman"/>
                <w:i w:val="0"/>
                <w:sz w:val="23"/>
              </w:rPr>
              <w:t>Bạn là Trưởng phòng Pháp chế và Hành chính doanh nghiệp 15 năm kinh nghiệm. Bối cảnh: Doanh nghiệp chúng tôi hoạt động trong lĩnh vực [Ngành nghề], quy mô [Số nhân sự]. Hãy soạn thảo [Tên văn bản: vd Quy chế làm việc / Quy chế sử dụng tài sản] đảm bảo: (1) Căn cứ Bộ luật Lao động và điều lệ công ty; (2) Trình bày đủ 4 phần: Quy định chung, Quy định cụ thể, Khen thưởng - Xử lý vi phạm, và Điều khoản thi hành; (3) Ngôn từ pháp lý trang trọng, chặt chẽ.</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Văn bản quy chế hoàn chỉnh, phân cấp Điều khoản rõ ràng, sẵn sàng ký ban hành.</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2</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TCHC-02</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Soạn Thông báo / Công văn hành chính</w:t>
              <w:br/>
            </w:r>
            <w:r>
              <w:rPr>
                <w:rFonts w:ascii="Times New Roman" w:hAnsi="Times New Roman"/>
                <w:i w:val="0"/>
                <w:sz w:val="23"/>
              </w:rPr>
              <w:t>Đóng vai Chuyên viên Hành chính văn phòng. Hãy soạn thảo Thông báo về việc [Nội dung thông báo: vd Lịch nghỉ Tết Nguyên đán / Di dời văn phòng làm việc]. Yêu cầu tuân thủ đúng thể thức văn bản hành chính theo Nghị định 30/2020/NĐ-CP: có nơi nhận, số hiệu, trích yếu, căn cứ ban hành, các mốc thời gian chi tiết và phân công trách nhiệm thi hành.</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Thông báo chuẩn thể thức Nghị định 30, lời văn súc tích, chuyên nghiệp.</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3</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TCHC-03</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Xây dựng Bản mô tả công việc (JD)</w:t>
              <w:br/>
            </w:r>
            <w:r>
              <w:rPr>
                <w:rFonts w:ascii="Times New Roman" w:hAnsi="Times New Roman"/>
                <w:i w:val="0"/>
                <w:sz w:val="23"/>
              </w:rPr>
              <w:t>Bạn là Giám đốc Nhân sự (CHRO). Hãy xây dựng bản mô tả công việc (JD) tiêu chuẩn cho vị trí [Tên vị trí, ví dụ: Trưởng phòng Kế hoạch]. Bao gồm: Mục tiêu vị trí, 5 trách nhiệm chính, các quyền hạn được phân cấp, 4 chỉ số KPI đo lường hiệu suất và khung năng lực ASK (Thái độ, Kỹ năng, Kiến thức) yêu cầu.</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Bản JD chuyên nghiệp, chuẩn mực quốc tế, thu hút ứng viên chất lượng cao.</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4</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TCHC-04</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Thiết kế Bộ câu hỏi phỏng vấn theo năng lực</w:t>
              <w:br/>
            </w:r>
            <w:r>
              <w:rPr>
                <w:rFonts w:ascii="Times New Roman" w:hAnsi="Times New Roman"/>
                <w:i w:val="0"/>
                <w:sz w:val="23"/>
              </w:rPr>
              <w:t>Dựa trên bản mô tả công việc của vị trí [Tên vị trí], hãy thiết kế bộ 6 câu hỏi phỏng vấn theo phương pháp STAR (Situation - Task - Action - Result). Kèm theo đó là bảng tiêu chí Rubric đánh giá câu trả lời ứng viên theo 3 mức độ: Xuất sắc, Đạt yêu cầu và Không đạt.</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Bộ câu hỏi phỏng vấn sắc bén và bảng rubric chấm điểm khách quan.</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5</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TCHC-05</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Kế hoạch đào tạo &amp; Onboarding nhân sự mới</w:t>
              <w:br/>
            </w:r>
            <w:r>
              <w:rPr>
                <w:rFonts w:ascii="Times New Roman" w:hAnsi="Times New Roman"/>
                <w:i w:val="0"/>
                <w:sz w:val="23"/>
              </w:rPr>
              <w:t>Hãy lập lộ trình Onboarding (hội nhập văn hóa và bàn giao công việc) trong 30 ngày cho nhân sự mới tại vị trí [Tên vị trí]. Phân bổ theo 4 tuần: Tuần 1 (Làm quen &amp; Văn hóa), Tuần 2 (Quy trình &amp; Đào tạo nghiệp vụ), Tuần 3 (Thực chiến có kèm cặp), Tuần 4 (Đánh giá thử việc và giao chỉ tiêu độc lập).</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Lộ trình đào tạo 30 ngày chi tiết theo dạng bảng biểu, kèm checklist bàn giao.</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6</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TCHC-06</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Soạn Biên bản cuộc họp &amp; Kết luận chỉ đạo</w:t>
              <w:br/>
            </w:r>
            <w:r>
              <w:rPr>
                <w:rFonts w:ascii="Times New Roman" w:hAnsi="Times New Roman"/>
                <w:i w:val="0"/>
                <w:sz w:val="23"/>
              </w:rPr>
              <w:t>Dưới đây là các ý kiến thảo luận thô được ghi chép trong cuộc họp giao ban tuần: [Dán nội dung ghi chú cuộc họp]. Hãy chuyển đổi thành Biên bản cuộc họp chính thức gồm: Thành phần tham dự, Các nội dung đã biểu quyết thông qua, Kết luận chỉ đạo của Chủ tọa và Bảng phân công công việc (Task, Người phụ trách, Hạn hoàn thành).</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Biên bản họp chuẩn chỉnh, bảng phân công nhiệm vụ rõ người, rõ việc, rõ deadline.</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7</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TCHC-07</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Xây dựng Khung đánh giá hiệu suất KPI/OKR</w:t>
              <w:br/>
            </w:r>
            <w:r>
              <w:rPr>
                <w:rFonts w:ascii="Times New Roman" w:hAnsi="Times New Roman"/>
                <w:i w:val="0"/>
                <w:sz w:val="23"/>
              </w:rPr>
              <w:t>Đóng vai Chuyên gia Quản trị Hiệu suất. Hãy thiết lập bảng chỉ số KPI tháng cho bộ phận [Tên bộ phận: vd Hành chính Nhân sự] gồm 5 chỉ số cốt lõi: Tên chỉ số, Công thức tính toán, Trọng số (%), Chỉ tiêu mục tiêu và Nguồn dữ liệu kiểm chứng.</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Bảng KPI cân bằng, đo lường được định lượng, không gây tranh cãi nội bộ.</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8</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TCHC-08</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Soạn Thư khen ngợi &amp; Thư kỷ luật lao động</w:t>
              <w:br/>
            </w:r>
            <w:r>
              <w:rPr>
                <w:rFonts w:ascii="Times New Roman" w:hAnsi="Times New Roman"/>
                <w:i w:val="0"/>
                <w:sz w:val="23"/>
              </w:rPr>
              <w:t>Hãy soạn thảo 2 mẫu thư hành chính: (1) Thư khen ngợi và trao giải thưởng nhân viên xuất sắc tháng; (2) Thông báo nhắc nhở / biên bản xử lý kỷ luật vi phạm nội quy công ty đối với hành vi [Mô tả hành vi]. Lời văn vừa giữ tính nhân văn vừa đảm bảo tính nghiêm minh của pháp chế nội bộ.</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2 mẫu văn bản truyền thông nội bộ mẫu mực, đúng quy định lao động.</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9</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TCHC-09</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Khảo sát mức độ gắn kết nhân viên (eNPS)</w:t>
              <w:br/>
            </w:r>
            <w:r>
              <w:rPr>
                <w:rFonts w:ascii="Times New Roman" w:hAnsi="Times New Roman"/>
                <w:i w:val="0"/>
                <w:sz w:val="23"/>
              </w:rPr>
              <w:t>Hãy thiết kế bảng khảo sát mức độ hài lòng và gắn kết của nhân viên (Employee Net Promoter Score) gồm 10 câu hỏi trắc nghiệm thang điểm 1-10 và 2 câu hỏi mở, tập trung vào 4 trụ cột: Môi trường làm việc, Sự ghi nhận của cấp trên, Cơ hội phát triển và Thu nhập đãi ngộ.</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Bảng câu hỏi khảo sát chuyên nghiệp, sẵn sàng đưa lên Google Forms.</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10</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TCHC-10</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Quy trình xử lý khiếu nại &amp; Mâu thuẫn nội bộ</w:t>
              <w:br/>
            </w:r>
            <w:r>
              <w:rPr>
                <w:rFonts w:ascii="Times New Roman" w:hAnsi="Times New Roman"/>
                <w:i w:val="0"/>
                <w:sz w:val="23"/>
              </w:rPr>
              <w:t>Hãy xây dựng quy trình tiếp nhận, xác minh và hòa giải khiếu nại/mâu thuẫn giữa các cá nhân/phòng ban trong doanh nghiệp. Trình bày thành 5 bước với thời hạn xử lý cụ thể từng bước, quy định rõ thẩm quyền giải quyết và nguyên tắc bảo mật thông tin người tố giác.</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Quy trình giải quyết tranh chấp nội bộ văn minh, minh bạch, giảm thiểu rủi ro.</w:t>
            </w:r>
          </w:p>
        </w:tc>
      </w:tr>
    </w:tbl>
    <w:p>
      <w:pPr>
        <w:spacing w:before="80" w:after="160"/>
      </w:pPr>
    </w:p>
    <w:p>
      <w:pPr>
        <w:keepNext/>
        <w:spacing w:before="160" w:after="80" w:line="312" w:lineRule="auto"/>
        <w:ind w:firstLine="0"/>
        <w:jc w:val="left"/>
      </w:pPr>
      <w:r>
        <w:rPr>
          <w:rFonts w:ascii="Times New Roman" w:hAnsi="Times New Roman"/>
          <w:b/>
          <w:color w:val="000000"/>
          <w:sz w:val="27"/>
        </w:rPr>
        <w:t>2. Bảng cấu trúc Prompt cho Phòng Kế hoạch, Quản trị dự án &amp; Vận hành</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680"/>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STT</w:t>
            </w:r>
          </w:p>
        </w:tc>
        <w:tc>
          <w:tcPr>
            <w:tcW w:type="dxa" w:w="1247"/>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Mã hiệu</w:t>
            </w:r>
          </w:p>
        </w:tc>
        <w:tc>
          <w:tcPr>
            <w:tcW w:type="dxa" w:w="5443"/>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Cấu trúc câu lệnh chuẩn hóa (Prompt Master)</w:t>
            </w:r>
          </w:p>
        </w:tc>
        <w:tc>
          <w:tcPr>
            <w:tcW w:type="dxa" w:w="1984"/>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Kết quả kỳ vọng</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11</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KHVH-01</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Lập Cấu trúc phân rã công việc (WBS)</w:t>
              <w:br/>
            </w:r>
            <w:r>
              <w:rPr>
                <w:rFonts w:ascii="Times New Roman" w:hAnsi="Times New Roman"/>
                <w:i w:val="0"/>
                <w:sz w:val="23"/>
              </w:rPr>
              <w:t>Bạn là Chuyên gia Quản lý Dự án PMP. Chúng tôi đang triển khai dự án [Tên dự án] trong thời gian [Số tháng]. Hãy phân rã dự án thành cấu trúc cây WBS (Work Breakdown Structure) 3 cấp độ: Cấp 1 (Các giai đoạn lớn), Cấp 2 (Gói công việc), Cấp 3 (Các tác vụ hành động cụ thể), kèm ước lượng thời gian cần thiết.</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Cấu trúc WBS toàn diện, logic, bao quát toàn bộ phạm vi dự án.</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12</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KHVH-02</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Thiết lập Ma trận trách nhiệm RACI</w:t>
              <w:br/>
            </w:r>
            <w:r>
              <w:rPr>
                <w:rFonts w:ascii="Times New Roman" w:hAnsi="Times New Roman"/>
                <w:i w:val="0"/>
                <w:sz w:val="23"/>
              </w:rPr>
              <w:t>Dựa trên các gói công việc của dự án [Tên dự án], hãy xuất ra bảng Ma trận phân công trách nhiệm RACI (Responsible, Accountable, Consulted, Informed) đối với 5 phòng ban liên quan: Ban Giám đốc, Kế hoạch, Sản xuất, Kỹ thuật và Kinh doanh.</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Bảng ma trận RACI rõ ràng, triệt tiêu tình trạng đùn đẩy trách nhiệm.</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13</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KHVH-03</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Đánh giá rủi ro &amp; Kế hoạch ứng phó (Contingency)</w:t>
              <w:br/>
            </w:r>
            <w:r>
              <w:rPr>
                <w:rFonts w:ascii="Times New Roman" w:hAnsi="Times New Roman"/>
                <w:i w:val="0"/>
                <w:sz w:val="23"/>
              </w:rPr>
              <w:t>Hãy phân tích 5 rủi ro lớn nhất có khả năng xảy ra đối với kế hoạch [Tên kế hoạch/dự án] thuộc các nhóm: Tiến độ, Ngân sách, Nguồn nhân lực, Chuỗi cung ứng và Kỹ thuật. Đánh giá Mức độ ảnh hưởng (1-5), Khả năng xảy ra (1-5), và đề xuất Biện pháp giảm thiểu chủ động cùng Kịch bản ứng phó khẩn cấp.</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Bảng quản trị rủi ro chuyên sâu (Risk Register) theo tiêu chuẩn quốc tế.</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14</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KHVH-04</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Tối ưu hóa lịch trình tuần &amp; Phân bổ nguồn lực</w:t>
              <w:br/>
            </w:r>
            <w:r>
              <w:rPr>
                <w:rFonts w:ascii="Times New Roman" w:hAnsi="Times New Roman"/>
                <w:i w:val="0"/>
                <w:sz w:val="23"/>
              </w:rPr>
              <w:t>Dưới đây là danh sách 15 công việc cần hoàn thành trong tuần của bộ phận: [Dán danh sách việc, deadline và người đảm nhận]. Hãy sắp xếp lại theo ma trận Eisenhower (Khẩn cấp/Quan trọng) và đề xuất lịch trình phân bổ nhân lực tối ưu từng ngày từ Thứ 2 đến Thứ 7.</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Kế hoạch tuần khoa học, giải phóng nút thắt cổ chai và giảm làm việc ngoài giờ.</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15</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KHVH-05</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Thiết lập Chỉ số hiệu suất vận hành (Ops KPIs)</w:t>
              <w:br/>
            </w:r>
            <w:r>
              <w:rPr>
                <w:rFonts w:ascii="Times New Roman" w:hAnsi="Times New Roman"/>
                <w:i w:val="0"/>
                <w:sz w:val="23"/>
              </w:rPr>
              <w:t>Hãy xây dựng bộ 6 chỉ số đo lường hiệu suất vận hành cốt lõi (Operational KPIs) cho khối sản xuất/vận hành, bao gồm các chỉ số về: Tỷ lệ giao hàng đúng hạn (OTIF), Năng suất lao động bình quân, Tỷ lệ thời gian dừng máy ngoài kế hoạch, và Chi phí vận hành trên mỗi đơn vị thành phẩm.</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Hệ thống chỉ số vận hành tinh gọn, phục vụ báo cáo giám sát hàng ngày.</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16</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KHVH-06</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Soạn thảo Đề xuất cải tiến quy trình (Kaizen)</w:t>
              <w:br/>
            </w:r>
            <w:r>
              <w:rPr>
                <w:rFonts w:ascii="Times New Roman" w:hAnsi="Times New Roman"/>
                <w:i w:val="0"/>
                <w:sz w:val="23"/>
              </w:rPr>
              <w:t>Hiện tại quy trình [Tên quy trình, vd: Bàn giao hàng hóa giữa xưởng và kho] đang gặp vấn đề: [Mô tả sự chậm trễ/thất thoát]. Hãy áp dụng tư duy Lean/Kaizen để soạn thảo bản Đề xuất cải tiến: Hiện trạng, Điểm lãng phí (Muda), Quy trình đề xuất mới (giảm bao nhiêu bước) và Lợi ích định lượng kỳ vọng.</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Bản đề xuất Kaizen thuyết phục, có số liệu minh chứng, dễ phê duyệt.</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17</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KHVH-07</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Phân tích đường găng dự án (CPM Analysis)</w:t>
              <w:br/>
            </w:r>
            <w:r>
              <w:rPr>
                <w:rFonts w:ascii="Times New Roman" w:hAnsi="Times New Roman"/>
                <w:i w:val="0"/>
                <w:sz w:val="23"/>
              </w:rPr>
              <w:t>Dự án [Tên dự án] đang bị chậm tiến độ 5 ngày tại công đoạn [Tên công đoạn]. Hãy phân tích chuỗi đường găng (Critical Path Method) và đề xuất 3 phương án phục hồi tiến độ khả thi (Fast-tracking hoặc Crashing), đồng thời tính toán chi phí và rủi ro gia tăng của từng phương án.</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Phương án phục hồi tiến độ dự án sắc sảo, giúp cán mốc đúng hạn cam kết.</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18</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KHVH-08</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Lập Báo cáo nghiệm thu giai đoạn dự án</w:t>
              <w:br/>
            </w:r>
            <w:r>
              <w:rPr>
                <w:rFonts w:ascii="Times New Roman" w:hAnsi="Times New Roman"/>
                <w:i w:val="0"/>
                <w:sz w:val="23"/>
              </w:rPr>
              <w:t>Hãy soạn thảo Biên bản nghiệm thu hoàn thành giai đoạn 1 của dự án [Tên dự án]. Cấu trúc gồm: Mục tiêu giai đoạn, Kết quả thực tế bàn giao đối chiếu với kế hoạch đã duyệt, Danh mục biên bản kiểm tra kỹ thuật đính kèm, Các tồn đọng cần khắc phục và Ý kiến phê duyệt chuyển giai đoạn 2.</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Biên bản nghiệm thu dự án trang trọng, pháp lý minh bạch, đúng cam kết.</w:t>
            </w:r>
          </w:p>
        </w:tc>
      </w:tr>
    </w:tbl>
    <w:p>
      <w:pPr>
        <w:spacing w:before="80" w:after="160"/>
      </w:pPr>
    </w:p>
    <w:p>
      <w:pPr>
        <w:keepNext/>
        <w:spacing w:before="160" w:after="80" w:line="312" w:lineRule="auto"/>
        <w:ind w:firstLine="0"/>
        <w:jc w:val="left"/>
      </w:pPr>
      <w:r>
        <w:rPr>
          <w:rFonts w:ascii="Times New Roman" w:hAnsi="Times New Roman"/>
          <w:b/>
          <w:color w:val="000000"/>
          <w:sz w:val="27"/>
        </w:rPr>
        <w:t>3. Bảng cấu trúc Prompt cho Phòng Sản xuất, Quản lý chất lượng &amp; An toàn</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680"/>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STT</w:t>
            </w:r>
          </w:p>
        </w:tc>
        <w:tc>
          <w:tcPr>
            <w:tcW w:type="dxa" w:w="1247"/>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Mã hiệu</w:t>
            </w:r>
          </w:p>
        </w:tc>
        <w:tc>
          <w:tcPr>
            <w:tcW w:type="dxa" w:w="5443"/>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Cấu trúc câu lệnh chuẩn hóa (Prompt Master)</w:t>
            </w:r>
          </w:p>
        </w:tc>
        <w:tc>
          <w:tcPr>
            <w:tcW w:type="dxa" w:w="1984"/>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Kết quả kỳ vọng</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19</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SXQC-01</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Soạn Quy trình thao tác chuẩn (SOP)</w:t>
              <w:br/>
            </w:r>
            <w:r>
              <w:rPr>
                <w:rFonts w:ascii="Times New Roman" w:hAnsi="Times New Roman"/>
                <w:i w:val="0"/>
                <w:sz w:val="23"/>
              </w:rPr>
              <w:t>Bạn là Kỹ sư trưởng Quản lý Chất lượng (QA/QC Manager). Dựa trên mô tả công đoạn [Tên công đoạn sản xuất], hãy soạn thảo quy trình thao tác chuẩn (SOP) gồm: Mục đích, Phạm vi áp dụng, Trang thiết bị và bảo hộ yêu cầu, Các bước thực hiện tuần tự kèm hình ảnh minh họa giả định, Tiêu chuẩn nghiệm thu sản phẩm đạt/lỗi và Cảnh báo an toàn.</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Tài liệu SOP chi tiết, công nhân đọc là thao tác được ngay, hạn chế sai sót.</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20</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SXQC-02</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Phân tích nguyên nhân gốc rễ bằng 5 Whys</w:t>
              <w:br/>
            </w:r>
            <w:r>
              <w:rPr>
                <w:rFonts w:ascii="Times New Roman" w:hAnsi="Times New Roman"/>
                <w:i w:val="0"/>
                <w:sz w:val="23"/>
              </w:rPr>
              <w:t>Dây chuyền sản xuất vừa ghi nhận lỗi nghiêm trọng: [Mô tả chi tiết lỗi phát sinh trên sản phẩm hoặc máy móc]. Hãy áp dụng phương pháp 5 Whys (5 câu hỏi Tại sao liên hoàn) để đào sâu tìm nguyên nhân gốc rễ; phân tích đồng thời yếu tố Con người, Thiết bị, Phương pháp và Nguyên vật liệu.</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Báo cáo phân tích 5 Whys sâu sắc, chạm đúng bản chất vấn đề cốt lõi.</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21</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SXQC-03</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Biểu đồ xương cá Ishikawa phân tích lỗi</w:t>
              <w:br/>
            </w:r>
            <w:r>
              <w:rPr>
                <w:rFonts w:ascii="Times New Roman" w:hAnsi="Times New Roman"/>
                <w:i w:val="0"/>
                <w:sz w:val="23"/>
              </w:rPr>
              <w:t>Hãy phân tích bài toán lỗi tỷ lệ phế phẩm tăng cao tại chuyền [Tên chuyền] theo mô hình Biểu đồ xương cá 6M (Man, Machine, Material, Method, Measurement, Milieu). Với mỗi nhánh chữ M, chỉ ra 2 giả thuyết nguyên nhân có khả năng cao nhất và cách kiểm chứng thực nghiệm.</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Sơ đồ phân tích nguyên nhân hệ thống, logic, làm căn cứ họp kỹ thuật.</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22</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SXQC-04</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Thiết lập Bảng kiểm tra chất lượng (QC Checklist)</w:t>
              <w:br/>
            </w:r>
            <w:r>
              <w:rPr>
                <w:rFonts w:ascii="Times New Roman" w:hAnsi="Times New Roman"/>
                <w:i w:val="0"/>
                <w:sz w:val="23"/>
              </w:rPr>
              <w:t>Hãy thiết kế Bảng kiểm tra chất lượng xuất xưởng (OQC Checklist) cho dòng sản phẩm [Tên sản phẩm]. Bảng gồm các cột: Hạng mục kiểm tra, Tiêu chuẩn kỹ thuật/Dung sai cho phép, Phương pháp kiểm tra (Bằng mắt/Bằng thước kẹp/Đo điện áp), Tần suất lấy mẫu (AQL) và Kết luận (Pass/Fail).</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Bảng checklist kiểm soát chất lượng chuẩn xác, tinh gọn cho nhân viên KCS/QC.</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23</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SXQC-05</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Soạn Kế hoạch hành động khắc phục CAPA</w:t>
              <w:br/>
            </w:r>
            <w:r>
              <w:rPr>
                <w:rFonts w:ascii="Times New Roman" w:hAnsi="Times New Roman"/>
                <w:i w:val="0"/>
                <w:sz w:val="23"/>
              </w:rPr>
              <w:t>Xuất phát từ sự cố khiếu nại khách hàng về [Nội dung lỗi], hãy lập Kế hoạch hành động khắc phục và phòng ngừa tái diễn (CAPA) theo tiêu chuẩn ISO 9001: Hành động sửa sai tức thì, Hành động triệt tiêu nguyên nhân gốc rễ, Người chịu trách nhiệm, Thời hạn hoàn thành và Phương pháp đánh giá hiệu quả sau 30 ngày.</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Báo cáo CAPA chuẩn hóa quốc tế, đáp ứng các kỳ thanh tra, đánh giá chứng chỉ.</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24</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SXQC-06</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Quy chuẩn An toàn vệ sinh lao động &amp; PPE</w:t>
              <w:br/>
            </w:r>
            <w:r>
              <w:rPr>
                <w:rFonts w:ascii="Times New Roman" w:hAnsi="Times New Roman"/>
                <w:i w:val="0"/>
                <w:sz w:val="23"/>
              </w:rPr>
              <w:t>Hãy soạn thảo Bản nội quy an toàn lao động và hướng dẫn sử dụng trang thiết bị bảo hộ cá nhân (PPE) tại khu vực xưởng [Tên xưởng, ví dụ: Xưởng cơ khí / Xưởng hóa chất]. Nêu rõ các rủi ro nguy hiểm, mức xử phạt khi không tuân thủ và quy trình cấp cứu khi xảy ra tai nạn lao động.</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Bản nội quy an toàn lao động ngắn gọn, dễ nhớ, phòng ngừa tai nạn triệt để.</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25</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SXQC-07</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Báo cáo tỷ lệ hao hụt nguyên vật liệu</w:t>
              <w:br/>
            </w:r>
            <w:r>
              <w:rPr>
                <w:rFonts w:ascii="Times New Roman" w:hAnsi="Times New Roman"/>
                <w:i w:val="0"/>
                <w:sz w:val="23"/>
              </w:rPr>
              <w:t>Dưới đây là bảng số liệu xuất nhập nguyên vật liệu tháng vừa qua: [Dán dữ liệu thô]. Hãy tính toán tỷ lệ hao hụt thực tế so với định mức kỹ thuật đã ban hành, xếp hạng các loại nguyên vật liệu có mức lãng phí cao nhất và đề xuất 3 giải pháp công nghệ/quản lý để cắt giảm tỷ lệ hao hụt trong tháng tới.</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Báo cáo phân tích định mức vật tư sắc bén, tiết kiệm hàng trăm triệu chi phí.</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26</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SXQC-08</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Tiêu chuẩn đánh giá và lựa chọn nhà cung cấp</w:t>
              <w:br/>
            </w:r>
            <w:r>
              <w:rPr>
                <w:rFonts w:ascii="Times New Roman" w:hAnsi="Times New Roman"/>
                <w:i w:val="0"/>
                <w:sz w:val="23"/>
              </w:rPr>
              <w:t>Hãy xây dựng Bảng tiêu chí đánh giá năng lực nhà cung cấp nguyên vật liệu (Vendor Evaluation Form) theo thang điểm 100, chia thành 4 nhóm trọng số: Chất lượng sản phẩm (40%), Tiến độ giao hàng (25%), Giá thành &amp; Điều khoản thanh toán (20%), Năng lực hỗ trợ kỹ thuật và bảo hành (15%).</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Bảng đánh giá nhà cung cấp minh bạch, khách quan, phòng chống tiêu cực.</w:t>
            </w:r>
          </w:p>
        </w:tc>
      </w:tr>
    </w:tbl>
    <w:p>
      <w:pPr>
        <w:spacing w:before="80" w:after="160"/>
      </w:pPr>
    </w:p>
    <w:p>
      <w:pPr>
        <w:keepNext/>
        <w:spacing w:before="160" w:after="80" w:line="312" w:lineRule="auto"/>
        <w:ind w:firstLine="0"/>
        <w:jc w:val="left"/>
      </w:pPr>
      <w:r>
        <w:rPr>
          <w:rFonts w:ascii="Times New Roman" w:hAnsi="Times New Roman"/>
          <w:b/>
          <w:color w:val="000000"/>
          <w:sz w:val="27"/>
        </w:rPr>
        <w:t>4. Bảng cấu trúc Prompt cho Phòng Kỹ thuật, Cơ điện &amp; Bảo trì bảo dưỡng</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680"/>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STT</w:t>
            </w:r>
          </w:p>
        </w:tc>
        <w:tc>
          <w:tcPr>
            <w:tcW w:type="dxa" w:w="1247"/>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Mã hiệu</w:t>
            </w:r>
          </w:p>
        </w:tc>
        <w:tc>
          <w:tcPr>
            <w:tcW w:type="dxa" w:w="5443"/>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Cấu trúc câu lệnh chuẩn hóa (Prompt Master)</w:t>
            </w:r>
          </w:p>
        </w:tc>
        <w:tc>
          <w:tcPr>
            <w:tcW w:type="dxa" w:w="1984"/>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Kết quả kỳ vọng</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27</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CDBT-01</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Lập Lịch trình bảo trì phòng ngừa định kỳ (PM)</w:t>
              <w:br/>
            </w:r>
            <w:r>
              <w:rPr>
                <w:rFonts w:ascii="Times New Roman" w:hAnsi="Times New Roman"/>
                <w:i w:val="0"/>
                <w:sz w:val="23"/>
              </w:rPr>
              <w:t>Bạn là Kỹ sư Cơ điện trưởng. Hãy lập kế hoạch bảo trì phòng ngừa định kỳ (Preventive Maintenance Schedule) cho hệ thống [Tên thiết bị, vd: Trạm biến áp / Hệ thống máy nén khí trục vít / Dây chuyền chiết rót tự động]. Trình bày thành bảng: Hạng mục kiểm tra, Chu kỳ (Ngày/Tuần/Tháng/Quý/Năm), Tiêu chuẩn thông số kỹ thuật, Dụng cụ đo lường và Người phụ trách.</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Lịch trình bảo trì toàn diện, giúp ngăn chặn triệt để sự cố dừng máy đột ngột.</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28</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CDBT-02</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Sổ tay tra cứu xử lý sự cố nhanh (Troubleshooting)</w:t>
              <w:br/>
            </w:r>
            <w:r>
              <w:rPr>
                <w:rFonts w:ascii="Times New Roman" w:hAnsi="Times New Roman"/>
                <w:i w:val="0"/>
                <w:sz w:val="23"/>
              </w:rPr>
              <w:t>Hãy xây dựng cẩm nang xử lý sự cố khẩn cấp dạng bảng tra cứu nhanh cho máy [Tên máy móc]. Bảng gồm 3 cột: (1) Hiện tượng bất thường quan sát được (tiếng rít, nhiệt độ quá cao, rung lắc, mã lỗi màn hình PLC); (2) Nguyên nhân kỹ thuật tiềm ẩn; (3) Các bước cô lập và xử lý sự cố an toàn từng bước cho công nhân.</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Sổ tay xử lý sự cố trực quan, rút ngắn 60% thời gian xử lý hỏng hóc máy móc.</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29</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CDBT-03</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Quy trình bàn giao ca và kiểm tra thông số máy</w:t>
              <w:br/>
            </w:r>
            <w:r>
              <w:rPr>
                <w:rFonts w:ascii="Times New Roman" w:hAnsi="Times New Roman"/>
                <w:i w:val="0"/>
                <w:sz w:val="23"/>
              </w:rPr>
              <w:t>Hãy thiết kế Biên bản bàn giao ca máy móc (Machine Shift Handover Sheet). Bao gồm: Kiểm tra mức dầu bôi trơn, áp suất khí nén, nhiệt độ động cơ, số giờ vận hành (Running hours), tình trạng vệ sinh công nghiệp và các lưu ý đặc biệt cho kíp trực sau.</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Phiếu giao ca chuyên nghiệp, đảm bảo tính liên tục và trách nhiệm thiết bị.</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30</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CDBT-04</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Định mức dự phòng vật tư phụ tùng (Spare-parts)</w:t>
              <w:br/>
            </w:r>
            <w:r>
              <w:rPr>
                <w:rFonts w:ascii="Times New Roman" w:hAnsi="Times New Roman"/>
                <w:i w:val="0"/>
                <w:sz w:val="23"/>
              </w:rPr>
              <w:t>Dựa trên danh mục thiết bị của nhà máy, hãy phân loại phụ tùng thay thế thành 3 nhóm theo phân tích ABC/VED: Nhóm tối quan trọng (Critical - bắt buộc có sẵn trong kho), Nhóm hao mòn định kỳ (Wear &amp; Tear) và Nhóm phụ tùng thông dụng. Xác định mức tồn kho tối thiểu (Min-Max) để không gián đoạn sản xuất.</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Chiến lược quản trị phụ tùng tối ưu, không ứ đọng vốn nhưng không đứt gãy vật tư.</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31</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CDBT-05</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Quy chuẩn an toàn điện &amp; Khóa thẻ cảnh báo (LOTO)</w:t>
              <w:br/>
            </w:r>
            <w:r>
              <w:rPr>
                <w:rFonts w:ascii="Times New Roman" w:hAnsi="Times New Roman"/>
                <w:i w:val="0"/>
                <w:sz w:val="23"/>
              </w:rPr>
              <w:t>Hãy soạn thảo Quy trình Khóa thẻ cảnh báo nguồn năng lượng nguy hiểm (Lockout/Tagout - LOTO) khi tiến hành sửa chữa, bảo dưỡng thiết bị điện máy công nghiệp. Nêu rõ 6 bước chuẩn bị, cô lập nguồn điện, khóa chốt, gắn thẻ cảnh báo, giải phóng năng lượng dư và kiểm tra trước khi thao tác.</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Quy trình LOTO chuẩn quốc tế OSHA, bảo vệ tính mạng công nhân kỹ thuật.</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32</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CDBT-06</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Kế hoạch nâng cấp &amp; Bảo dưỡng đại tu hàng năm</w:t>
              <w:br/>
            </w:r>
            <w:r>
              <w:rPr>
                <w:rFonts w:ascii="Times New Roman" w:hAnsi="Times New Roman"/>
                <w:i w:val="0"/>
                <w:sz w:val="23"/>
              </w:rPr>
              <w:t>Hãy lập Dự thảo Kế hoạch đại tu nhà xưởng và thiết bị vào dịp cuối năm (Turnaround Maintenance Plan). Nội dung gồm: Phạm vi công việc đại tu, Dự toán thời gian dừng máy tổng thể (Downtime), Bố trí nhân lực nội bộ và nhà thầu phụ, Kế hoạch chạy thử không tải/có tải và Dự trù ngân sách chi tiết.</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Kế hoạch đại tu bài bản, đảm bảo an toàn tuyệt đối và đúng hạn khởi động lại.</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33</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CDBT-07</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Phân tích chỉ số độ tin cậy máy móc (MTBF &amp; MTTR)</w:t>
              <w:br/>
            </w:r>
            <w:r>
              <w:rPr>
                <w:rFonts w:ascii="Times New Roman" w:hAnsi="Times New Roman"/>
                <w:i w:val="0"/>
                <w:sz w:val="23"/>
              </w:rPr>
              <w:t>Dưới đây là nhật ký vận hành và sự cố của hệ thống máy móc trong quý vừa qua: [Dán số liệu thời gian chạy và thời gian dừng máy sửa chữa]. Hãy tính toán chỉ số Thời gian trung bình giữa các sự cố (MTBF) và Thời gian trung bình để sửa chữa (MTTR). Rút ra nhận định về độ tin cậy của thiết bị và đề xuất giải pháp cải thiện.</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Báo cáo độ tin cậy thiết bị bằng số liệu định lượng, chỉ rõ giải pháp nâng cao hiệu suất.</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34</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CDBT-08</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Kiểm toán tiêu hao năng lượng &amp; Tiết kiệm điện</w:t>
              <w:br/>
            </w:r>
            <w:r>
              <w:rPr>
                <w:rFonts w:ascii="Times New Roman" w:hAnsi="Times New Roman"/>
                <w:i w:val="0"/>
                <w:sz w:val="23"/>
              </w:rPr>
              <w:t>Hãy phân tích hóa đơn điện năng và biểu đồ phụ tải sử dụng điện của nhà máy trong 6 tháng qua: [Dán số liệu]. Đề xuất 4 giải pháp kỹ thuật để cắt giảm tiêu thụ điện năng trong giờ cao điểm, tối ưu hóa hệ số công suất Cos Phi và giảm thiểu tổn thất điện năng không cần thiết.</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Đề án tiết kiệm năng lượng cụ thể, có tính toán thời gian thu hồi vốn đầu tư.</w:t>
            </w:r>
          </w:p>
        </w:tc>
      </w:tr>
    </w:tbl>
    <w:p>
      <w:pPr>
        <w:spacing w:before="80" w:after="160"/>
      </w:pPr>
    </w:p>
    <w:p>
      <w:pPr>
        <w:keepNext/>
        <w:spacing w:before="160" w:after="80" w:line="312" w:lineRule="auto"/>
        <w:ind w:firstLine="0"/>
        <w:jc w:val="left"/>
      </w:pPr>
      <w:r>
        <w:rPr>
          <w:rFonts w:ascii="Times New Roman" w:hAnsi="Times New Roman"/>
          <w:b/>
          <w:color w:val="000000"/>
          <w:sz w:val="27"/>
        </w:rPr>
        <w:t>5. Bảng cấu trúc Prompt cho Ban Giám đốc, Báo cáo điều hành &amp; Tài chính</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680"/>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STT</w:t>
            </w:r>
          </w:p>
        </w:tc>
        <w:tc>
          <w:tcPr>
            <w:tcW w:type="dxa" w:w="1247"/>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Mã hiệu</w:t>
            </w:r>
          </w:p>
        </w:tc>
        <w:tc>
          <w:tcPr>
            <w:tcW w:type="dxa" w:w="5443"/>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Cấu trúc câu lệnh chuẩn hóa (Prompt Master)</w:t>
            </w:r>
          </w:p>
        </w:tc>
        <w:tc>
          <w:tcPr>
            <w:tcW w:type="dxa" w:w="1984"/>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Kết quả kỳ vọng</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35</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BCTC-01</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Báo cáo Tóm tắt điều hành 1 trang (Executive Summary)</w:t>
              <w:br/>
            </w:r>
            <w:r>
              <w:rPr>
                <w:rFonts w:ascii="Times New Roman" w:hAnsi="Times New Roman"/>
                <w:i w:val="0"/>
                <w:sz w:val="23"/>
              </w:rPr>
              <w:t>Đóng vai Trợ lý Chiến lược của Tổng Giám đốc. Dưới đây là các số liệu thô về kết quả sản xuất kinh doanh tuần này: [Dán dữ liệu/báo cáo thô]. Hãy xuất ra bản Báo cáo tóm tắt điều hành đúng 1 trang A4 gồm: (1) 3 điểm sáng nổi bật; (2) 2 điểm nghẽn nghiêm trọng cần sự can thiệp của Ban Giám đốc; (3) Tỷ lệ hoàn thành kế hoạch doanh thu/sản lượng; (4) 3 quyết sách đề xuất cho tuần tới.</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Bản Executive Summary súc tích, đắt giá, giúp lãnh đạo nắm trọn tình hình trong 3 phút.</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36</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BCTC-02</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Phát hiện bất thường chi phí (Anomaly Detection)</w:t>
              <w:br/>
            </w:r>
            <w:r>
              <w:rPr>
                <w:rFonts w:ascii="Times New Roman" w:hAnsi="Times New Roman"/>
                <w:i w:val="0"/>
                <w:sz w:val="23"/>
              </w:rPr>
              <w:t>Hãy đóng vai Chuyên gia Kiểm soát nội bộ. Phân tích bảng dữ liệu chi phí vận hành và tiêu hao vật tư tháng này so với trung bình 3 tháng trước: [Dán bảng số liệu]. Chỉ ra tất cả các khoản chi phí biến động bất thường vượt quá dung sai 15%, phân tích nguyên nhân nghi vấn và đề xuất biện pháp siết chặt kiểm soát.</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Báo cáo cảnh báo bất thường chi phí, bảo vệ dòng tiền và chống thất thoát tài sản.</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37</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BCTC-03</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Phân tích điểm hòa vốn dự án mới (Break-even)</w:t>
              <w:br/>
            </w:r>
            <w:r>
              <w:rPr>
                <w:rFonts w:ascii="Times New Roman" w:hAnsi="Times New Roman"/>
                <w:i w:val="0"/>
                <w:sz w:val="23"/>
              </w:rPr>
              <w:t>Chúng tôi đang thẩm định dự án đầu tư dây chuyền mới với Tổng chi phí cố định (Định phí) là [Số tiền] và Biến phí trên mỗi đơn vị sản phẩm là [Số tiền], giá bán dự kiến là [Số tiền]. Hãy tính toán sản lượng hòa vốn, doanh thu hòa vốn và lập bảng phân tích độ nhạy khi giá bán hoặc biến phí dao động +/- 10%.</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Mô hình tài chính phân tích điểm hòa vốn chuẩn xác, hỗ trợ ra quyết định đầu tư an toàn.</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38</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BCTC-04</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Rút trích chỉ số sức khỏe tài chính &amp; Dòng tiền</w:t>
              <w:br/>
            </w:r>
            <w:r>
              <w:rPr>
                <w:rFonts w:ascii="Times New Roman" w:hAnsi="Times New Roman"/>
                <w:i w:val="0"/>
                <w:sz w:val="23"/>
              </w:rPr>
              <w:t>Từ bảng Báo cáo lưu chuyển tiền tệ và Kết quả hoạt động kinh doanh sau: [Dán bảng số liệu], hãy trích xuất 5 chỉ số tài chính trọng yếu: Tỷ suất lợi nhuận gộp, Tỷ suất lợi nhuận ròng, Chỉ số thanh toán hiện hành, Vòng quay hàng tồn kho và Dòng tiền thuần từ hoạt động kinh doanh (Operating Cash Flow). Đưa ra nhận xét sức khỏe doanh nghiệp.</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Bức tranh toàn cảnh sức khỏe tài chính doanh nghiệp rõ ràng, dễ hiểu cho mọi lãnh đạo.</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39</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BCTC-05</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Kịch bản dự báo doanh thu &amp; Chi phí (Scenario Analysis)</w:t>
              <w:br/>
            </w:r>
            <w:r>
              <w:rPr>
                <w:rFonts w:ascii="Times New Roman" w:hAnsi="Times New Roman"/>
                <w:i w:val="0"/>
                <w:sz w:val="23"/>
              </w:rPr>
              <w:t>Hãy xây dựng mô hình dự báo tài chính quý tới theo 3 kịch bản: Kịch bản cơ sở (Base case), Kịch bản tích cực (Best case - tăng trưởng 20%) và Kịch bản thận trọng (Worst case - sụt giảm 15% do biến động thị trường). Nêu rõ dòng tiền thặng dư/thâm hụt trong từng kịch bản và kế hoạch dự phòng dòng tiền.</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Kịch bản tài chính đa chiều, giúp Ban Điều hành chủ động trước mọi biến động thị trường.</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40</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BCTC-06</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Soạn Tờ trình xin phê duyệt ngân sách đầu tư</w:t>
              <w:br/>
            </w:r>
            <w:r>
              <w:rPr>
                <w:rFonts w:ascii="Times New Roman" w:hAnsi="Times New Roman"/>
                <w:i w:val="0"/>
                <w:sz w:val="23"/>
              </w:rPr>
              <w:t>Hãy soạn thảo Tờ trình gửi Hội đồng Quản trị/Ban Giám đốc xin phê duyệt kinh phí mua sắm thiết bị [Tên thiết bị, ngân sách dự kiến]. Cấu trúc gồm: Sự cần thiết đầu tư, Đánh giá hiệu quả kinh tế (thời gian hoàn vốn ROI, năng suất tăng thêm), Phương án lựa chọn nhà cung cấp và Kế hoạch thanh toán theo tiến độ.</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Tờ trình chặt chẽ, đầy đủ luận chứng kinh tế kỹ thuật, tỷ lệ được duyệt cao.</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41</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BCTC-07</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Báo cáo kiểm soát &amp; Đôn đốc thu hồi công nợ</w:t>
              <w:br/>
            </w:r>
            <w:r>
              <w:rPr>
                <w:rFonts w:ascii="Times New Roman" w:hAnsi="Times New Roman"/>
                <w:i w:val="0"/>
                <w:sz w:val="23"/>
              </w:rPr>
              <w:t>Dưới đây là danh sách công nợ khách hàng phân loại theo tuổi nợ (Dưới 30 ngày, 30-60 ngày, 60-90 ngày, trên 90 ngày): [Dán danh sách]. Hãy lập báo cáo phân tích rủi ro nợ khó đòi, phân loại nhóm khách hàng cần áp dụng biện pháp đôn đốc thu nợ và soạn thảo mẫu Thư đối chiếu công nợ/Thông báo nhắc nợ trang trọng nhưng kiên quyết.</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Kế hoạch thu hồi công nợ chi tiết kèm mẫu công văn nhắc nợ chuẩn mực pháp lý.</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42</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BCTC-08</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Phân tích chênh lệch ngân sách (Variance Analysis)</w:t>
              <w:br/>
            </w:r>
            <w:r>
              <w:rPr>
                <w:rFonts w:ascii="Times New Roman" w:hAnsi="Times New Roman"/>
                <w:i w:val="0"/>
                <w:sz w:val="23"/>
              </w:rPr>
              <w:t>Hãy so sánh Bảng ngân sách kế hoạch đã duyệt đầu năm với Chi phí thực tế phát sinh trong 6 tháng qua của doanh nghiệp: [Dán số liệu]. Tính toán tỷ lệ chênh lệch tuyệt đối và tương đối, chỉ ra 3 trung tâm chi phí (Cost Centers) đang bội chi nặng nhất và yêu cầu giải trình nguyên nhân cụ thể.</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Báo cáo phân tích chênh lệch ngân sách sắc sảo, công cụ đắc lực cho Giám đốc Tài chính (CFO).</w:t>
            </w:r>
          </w:p>
        </w:tc>
      </w:tr>
    </w:tbl>
    <w:p>
      <w:pPr>
        <w:spacing w:before="80" w:after="160"/>
      </w:pPr>
    </w:p>
    <w:p>
      <w:pPr>
        <w:keepNext/>
        <w:spacing w:before="160" w:after="80" w:line="312" w:lineRule="auto"/>
        <w:ind w:firstLine="0"/>
        <w:jc w:val="left"/>
      </w:pPr>
      <w:r>
        <w:rPr>
          <w:rFonts w:ascii="Times New Roman" w:hAnsi="Times New Roman"/>
          <w:b/>
          <w:color w:val="000000"/>
          <w:sz w:val="27"/>
        </w:rPr>
        <w:t>6. Bảng cấu trúc Prompt cho Khối Kinh doanh, Chăm sóc khách hàng &amp; Marketing</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680"/>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STT</w:t>
            </w:r>
          </w:p>
        </w:tc>
        <w:tc>
          <w:tcPr>
            <w:tcW w:type="dxa" w:w="1247"/>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Mã hiệu</w:t>
            </w:r>
          </w:p>
        </w:tc>
        <w:tc>
          <w:tcPr>
            <w:tcW w:type="dxa" w:w="5443"/>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Cấu trúc câu lệnh chuẩn hóa (Prompt Master)</w:t>
            </w:r>
          </w:p>
        </w:tc>
        <w:tc>
          <w:tcPr>
            <w:tcW w:type="dxa" w:w="1984"/>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Kết quả kỳ vọng</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43</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MKS-01</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Xây dựng Chân dung khách hàng mục tiêu (Buyer Persona)</w:t>
              <w:br/>
            </w:r>
            <w:r>
              <w:rPr>
                <w:rFonts w:ascii="Times New Roman" w:hAnsi="Times New Roman"/>
                <w:i w:val="0"/>
                <w:sz w:val="23"/>
              </w:rPr>
              <w:t>Bạn là Giám đốc Tiếp thị (CMO). Sản phẩm của chúng tôi là [Tên sản phẩm/dịch vụ, vd: Khóa đào tạo Trợ lý AI cho Doanh nghiệp]. Hãy xây dựng hồ sơ chân dung khách hàng mục tiêu lý tưởng (Buyer Persona) chi tiết gồm: Nhân khẩu học, Vị trí công tác, Nỗi đau lớn nhất trong công việc (Pains), Khát khao kỳ vọng (Gains), Các rào cản tâm lý khi mua hàng và Kênh truyền thông họ hay tiếp cận nhất.</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Hồ sơ khách hàng mục tiêu sống động, định hướng chính xác cho chiến dịch Marketing.</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44</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MKS-02</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Kịch bản tư vấn và chốt sales qua điện thoại (Telesales)</w:t>
              <w:br/>
            </w:r>
            <w:r>
              <w:rPr>
                <w:rFonts w:ascii="Times New Roman" w:hAnsi="Times New Roman"/>
                <w:i w:val="0"/>
                <w:sz w:val="23"/>
              </w:rPr>
              <w:t>Hãy xây dựng Kịch bản tư vấn bán hàng Telesales 5 bước chuyên nghiệp cho nhân viên kinh doanh tiếp cận khách hàng tiềm năng: (1) 15 giây mở đầu gây ấn tượng; (2) Bộ 3 câu hỏi khai thác nỗi đau thực tế; (3) Giới thiệu giải pháp tạo sự khác biệt; (4) Trình bày ưu đãi có giới hạn; (5) Lời kêu gọi hành động (Call To Action) chốt lịch hẹn tư vấn chuyên sâu.</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Kịch bản Telesales tự nhiên, cuốn hút, nâng cao tỷ lệ chuyển đổi cuộc gọi lên 35%.</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45</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MKS-03</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Kịch bản xử lý từ chối của khách hàng (Handling Objections)</w:t>
              <w:br/>
            </w:r>
            <w:r>
              <w:rPr>
                <w:rFonts w:ascii="Times New Roman" w:hAnsi="Times New Roman"/>
                <w:i w:val="0"/>
                <w:sz w:val="23"/>
              </w:rPr>
              <w:t>Hãy thiết kế bảng kịch bản xử lý 5 lời từ chối phổ biến nhất của khách hàng đối với sản phẩm [Tên sản phẩm]: (1) 'Giá bên em cao quá'; (2) 'Để anh suy nghĩ thêm / chưa có nhu cầu lúc này'; (3) 'Bên anh đã có đối tác khác đang cung cấp'; (4) 'Sợ nhân sự không biết dùng / công nghệ phức tạp'; (5) 'Để anh hỏi lại ý kiến Ban Giám đốc'. Với mỗi lời từ chối, đưa ra nguyên tắc đồng cảm và câu thoại hóa giải thuyết phục.</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Bộ cẩm nang hóa giải từ chối đắc lực cho đội ngũ chuyên viên kinh doanh.</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46</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MKS-04</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Soạn Email tiếp cận doanh nghiệp B2B (Cold Outreach)</w:t>
              <w:br/>
            </w:r>
            <w:r>
              <w:rPr>
                <w:rFonts w:ascii="Times New Roman" w:hAnsi="Times New Roman"/>
                <w:i w:val="0"/>
                <w:sz w:val="23"/>
              </w:rPr>
              <w:t>Đóng vai Chuyên gia Phát triển Kinh doanh B2B. Hãy soạn thảo chuỗi 3 email tiếp cận gửi đến Tổng Giám đốc / Giám đốc Nhân sự các doanh nghiệp giới thiệu giải pháp [Tên giải pháp]: Email 1 (Đánh vào nỗi đau lãng phí chi phí nhân sự và đề xuất giải pháp); Email 2 (Gửi tài liệu nghiên cứu tình huống Case-study thành công sau 3 ngày); Email 3 (Thư chia tay lịch sự nhắc nhở cơ hội cuối cùng).</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Chuỗi Email B2B trang trọng, giá trị cao, tăng tỷ lệ phản hồi mở thư trên 45%.</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47</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MKS-05</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Lập Kế hoạch nội dung đa kênh 30 ngày (Content Calendar)</w:t>
              <w:br/>
            </w:r>
            <w:r>
              <w:rPr>
                <w:rFonts w:ascii="Times New Roman" w:hAnsi="Times New Roman"/>
                <w:i w:val="0"/>
                <w:sz w:val="23"/>
              </w:rPr>
              <w:t>Hãy xây dựng Bảng kế hoạch nội dung mạng xã hội (Facebook, LinkedIn, Zalo OA) trong 30 ngày cho thương hiệu [Tên thương hiệu] theo công thức 4-3-2-1: 40% Chia sẻ kiến thức chuyên môn hữu ích; 30% Bằng chứng uy tín (Feedback học viên, hình ảnh doanh nghiệp đã đào tạo); 20% Câu chuyện văn hóa và hậu trường; 10% Kêu gọi hành động bán hàng trực tiếp. Bảng gồm các cột: Ngày đăng, Chủ đề, Góc nhìn khai thác, Định dạng (Ảnh/Video/Carousel) và Thông điệp chính.</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Lịch biên tập nội dung 30 ngày đa dạng, duy trì tương tác cao và xây dựng uy tín thương hiệu.</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48</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MKS-06</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Thư cảm ơn &amp; Khảo sát hài lòng sau bán hàng (CSAT)</w:t>
              <w:br/>
            </w:r>
            <w:r>
              <w:rPr>
                <w:rFonts w:ascii="Times New Roman" w:hAnsi="Times New Roman"/>
                <w:i w:val="0"/>
                <w:sz w:val="23"/>
              </w:rPr>
              <w:t>Hãy soạn thảo Mẫu thư điện tử cảm ơn khách hàng đã hoàn thành khóa học/mua sản phẩm, kèm theo bảng khảo sát mức độ hài lòng (Customer Satisfaction Score - CSAT) gồm 5 tiêu chí: Chất lượng nội dung giảng dạy, Sự nhiệt tình hỗ trợ của giảng viên/mentor, Cơ sở vật chất/nền tảng học tập, Mức độ ứng dụng vào công việc và Đề xuất cải tiến. Kèm lời kêu gọi giới thiệu bạn bè/đối tác tham gia.</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Thông điệp chăm sóc khách hàng ấm áp, chuyên nghiệp, kích thích giới thiệu khách hàng mới.</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49</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MKS-07</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Phân tích đối thủ cạnh tranh bằng Ma trận SWOT</w:t>
              <w:br/>
            </w:r>
            <w:r>
              <w:rPr>
                <w:rFonts w:ascii="Times New Roman" w:hAnsi="Times New Roman"/>
                <w:i w:val="0"/>
                <w:sz w:val="23"/>
              </w:rPr>
              <w:t>Chúng tôi đang kinh doanh dịch vụ [Tên dịch vụ] trong phân khúc [Phân khúc thị trường]. Hãy phân tích so sánh vị thế của chúng tôi với 2 đối thủ cạnh tranh chính dựa trên Ma trận SWOT (Strengths - Điểm mạnh, Weaknesses - Điểm yếu, Opportunities - Cơ hội, Threats - Thách thức). Đề xuất chiến lược Định vị độc bản (Unique Value Proposition) để chiếm lĩnh thị phần ngách.</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Báo cáo định vị cạnh tranh sâu sắc, làm kim chỉ nam cho chiến lược marketing tổng thể.</w:t>
            </w:r>
          </w:p>
        </w:tc>
      </w:tr>
      <w:tr>
        <w:tc>
          <w:tcPr>
            <w:tcW w:type="dxa" w:w="68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sz w:val="23"/>
              </w:rPr>
              <w:t>50</w:t>
            </w:r>
          </w:p>
        </w:tc>
        <w:tc>
          <w:tcPr>
            <w:tcW w:type="dxa" w:w="1247"/>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jc w:val="center"/>
            </w:pPr>
            <w:r>
              <w:rPr>
                <w:rFonts w:ascii="Times New Roman" w:hAnsi="Times New Roman"/>
                <w:b/>
                <w:sz w:val="23"/>
              </w:rPr>
              <w:t>MKS-08</w:t>
            </w:r>
          </w:p>
        </w:tc>
        <w:tc>
          <w:tcPr>
            <w:tcW w:type="dxa" w:w="5443"/>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both"/>
            </w:pPr>
            <w:r>
              <w:rPr>
                <w:rFonts w:ascii="Times New Roman" w:hAnsi="Times New Roman"/>
                <w:b/>
                <w:sz w:val="24"/>
              </w:rPr>
              <w:t>Nghiệp vụ: Kịch bản phản hồi khủng hoảng truyền thông &amp; Khiếu nại</w:t>
              <w:br/>
            </w:r>
            <w:r>
              <w:rPr>
                <w:rFonts w:ascii="Times New Roman" w:hAnsi="Times New Roman"/>
                <w:i w:val="0"/>
                <w:sz w:val="23"/>
              </w:rPr>
              <w:t>Giả định có một khách hàng đăng tải bài viết phản hồi tiêu cực trên mạng xã hội về [Nội dung phàn nàn về dịch vụ/sản phẩm]. Hãy soạn thảo quy trình xử lý khủng hoảng gồm 4 bước khẩn cấp: (1) Phản hồi sơ bộ công khai thể hiện sự cầu thị trong 15 phút đầu; (2) Kịch bản gọi điện thoại lắng nghe và xác minh sự việc; (3) Phương án bồi thường thỏa đáng; (4) Thông cáo báo chí / Thông báo giải quyết chính thức sau khi xử lý xong.</w:t>
            </w:r>
          </w:p>
        </w:tc>
        <w:tc>
          <w:tcPr>
            <w:tcW w:type="dxa" w:w="1984"/>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spacing w:before="40" w:after="40" w:line="288" w:lineRule="auto"/>
              <w:jc w:val="left"/>
            </w:pPr>
            <w:r>
              <w:rPr>
                <w:rFonts w:ascii="Times New Roman" w:hAnsi="Times New Roman"/>
                <w:sz w:val="23"/>
              </w:rPr>
              <w:t>Kịch bản quản trị khủng hoảng chuyên nghiệp, biến rủi ro truyền thông thành cơ hội khẳng định uy tín.</w:t>
            </w:r>
          </w:p>
        </w:tc>
      </w:tr>
    </w:tbl>
    <w:p>
      <w:pPr>
        <w:spacing w:before="80" w:after="160"/>
      </w:pPr>
    </w:p>
    <w:p>
      <w:pPr>
        <w:keepNext/>
        <w:spacing w:before="240" w:after="120" w:line="312" w:lineRule="auto"/>
        <w:ind w:firstLine="0"/>
        <w:jc w:val="left"/>
      </w:pPr>
      <w:r>
        <w:rPr>
          <w:rFonts w:ascii="Times New Roman" w:hAnsi="Times New Roman"/>
          <w:b/>
          <w:color w:val="000000"/>
          <w:sz w:val="28"/>
        </w:rPr>
        <w:t>Phần III</w:t>
        <w:br/>
        <w:t>QUY TRÌNH 4 BƯỚC TRIỂN KHAI VÀ ĐÓNG GÓI HỆ THỐNG TRỢ LÝ AI TẠI DOANH NGHIỆP</w:t>
      </w:r>
    </w:p>
    <w:p>
      <w:pPr>
        <w:spacing w:before="0" w:after="120" w:line="312" w:lineRule="auto"/>
        <w:ind w:firstLine="720"/>
        <w:jc w:val="both"/>
      </w:pPr>
      <w:r>
        <w:rPr>
          <w:rFonts w:ascii="Times New Roman" w:hAnsi="Times New Roman"/>
          <w:b w:val="0"/>
          <w:i w:val="0"/>
          <w:color w:val="000000"/>
          <w:sz w:val="27"/>
        </w:rPr>
        <w:t>Nhằm bảo đảm việc ứng dụng Trí tuệ nhân tạo đi vào thực chất, mang lại giá trị gia tăng định lượng và tránh hình thức lãng phí, Học viện AI khuyến nghị các doanh nghiệp áp dụng lộ trình chuyển đổi 4 bước chuẩn hóa sau:</w:t>
      </w:r>
    </w:p>
    <w:p>
      <w:pPr>
        <w:keepNext/>
        <w:spacing w:before="160" w:after="80" w:line="312" w:lineRule="auto"/>
        <w:ind w:firstLine="0"/>
        <w:jc w:val="left"/>
      </w:pPr>
      <w:r>
        <w:rPr>
          <w:rFonts w:ascii="Times New Roman" w:hAnsi="Times New Roman"/>
          <w:b/>
          <w:color w:val="000000"/>
          <w:sz w:val="27"/>
        </w:rPr>
        <w:t>Bước 1: Khảo sát và chuẩn đoán điểm nghẽn quy trình (Process &amp; Bottleneck Audit)</w:t>
      </w:r>
    </w:p>
    <w:p>
      <w:pPr>
        <w:spacing w:before="0" w:after="120" w:line="312" w:lineRule="auto"/>
        <w:ind w:firstLine="720"/>
        <w:jc w:val="both"/>
      </w:pPr>
      <w:r>
        <w:rPr>
          <w:rFonts w:ascii="Times New Roman" w:hAnsi="Times New Roman"/>
          <w:b w:val="0"/>
          <w:i w:val="0"/>
          <w:color w:val="000000"/>
          <w:sz w:val="27"/>
        </w:rPr>
        <w:t>• Trưởng các bộ phận chủ trì rà soát toàn bộ các công việc thường nhật của nhân viên; nhận diện chính xác 3 công việc đang tiêu tốn nhiều thời gian nhất, mang tính lặp đi lặp lại hoặc dễ xảy ra sai sót con người (như: soạn công văn, lập báo cáo tuần, trích xuất dữ liệu, kiểm tra lỗi kỹ thuật).</w:t>
      </w:r>
    </w:p>
    <w:p>
      <w:pPr>
        <w:spacing w:before="0" w:after="120" w:line="312" w:lineRule="auto"/>
        <w:ind w:firstLine="720"/>
        <w:jc w:val="both"/>
      </w:pPr>
      <w:r>
        <w:rPr>
          <w:rFonts w:ascii="Times New Roman" w:hAnsi="Times New Roman"/>
          <w:b w:val="0"/>
          <w:i w:val="0"/>
          <w:color w:val="000000"/>
          <w:sz w:val="27"/>
        </w:rPr>
        <w:t>• Đo lường tổng số giờ công lao động tiêu tốn cho từng đầu việc trước khi áp dụng công nghệ để làm cơ sở đối chiếu hiệu quả sau này.</w:t>
      </w:r>
    </w:p>
    <w:p>
      <w:pPr>
        <w:keepNext/>
        <w:spacing w:before="160" w:after="80" w:line="312" w:lineRule="auto"/>
        <w:ind w:firstLine="0"/>
        <w:jc w:val="left"/>
      </w:pPr>
      <w:r>
        <w:rPr>
          <w:rFonts w:ascii="Times New Roman" w:hAnsi="Times New Roman"/>
          <w:b/>
          <w:color w:val="000000"/>
          <w:sz w:val="27"/>
        </w:rPr>
        <w:t>Bước 2: Chuẩn hóa thư viện câu lệnh mẫu nội bộ (Enterprise Prompt Library)</w:t>
      </w:r>
    </w:p>
    <w:p>
      <w:pPr>
        <w:spacing w:before="0" w:after="120" w:line="312" w:lineRule="auto"/>
        <w:ind w:firstLine="720"/>
        <w:jc w:val="both"/>
      </w:pPr>
      <w:r>
        <w:rPr>
          <w:rFonts w:ascii="Times New Roman" w:hAnsi="Times New Roman"/>
          <w:b w:val="0"/>
          <w:i w:val="0"/>
          <w:color w:val="000000"/>
          <w:sz w:val="27"/>
        </w:rPr>
        <w:t>• Căn cứ vào bộ 50 cấu trúc Prompt ban hành kèm Hướng dẫn này, các phòng ban tiến hành điền ngữ cảnh thực tế của doanh nghiệp, thử nghiệm và đóng gói thành 'Sổ tay câu lệnh nội bộ' của riêng đơn vị mình.</w:t>
      </w:r>
    </w:p>
    <w:p>
      <w:pPr>
        <w:spacing w:before="0" w:after="120" w:line="312" w:lineRule="auto"/>
        <w:ind w:firstLine="720"/>
        <w:jc w:val="both"/>
      </w:pPr>
      <w:r>
        <w:rPr>
          <w:rFonts w:ascii="Times New Roman" w:hAnsi="Times New Roman"/>
          <w:b w:val="0"/>
          <w:i w:val="0"/>
          <w:color w:val="000000"/>
          <w:sz w:val="27"/>
        </w:rPr>
        <w:t>• Thiết lập các quy định bắt buộc về thể thức và giới hạn thông tin nhằm duy trì tính nhất quán trong văn phong giao tiếp và hồ sơ tài liệu của công ty.</w:t>
      </w:r>
    </w:p>
    <w:p>
      <w:pPr>
        <w:keepNext/>
        <w:spacing w:before="160" w:after="80" w:line="312" w:lineRule="auto"/>
        <w:ind w:firstLine="0"/>
        <w:jc w:val="left"/>
      </w:pPr>
      <w:r>
        <w:rPr>
          <w:rFonts w:ascii="Times New Roman" w:hAnsi="Times New Roman"/>
          <w:b/>
          <w:color w:val="000000"/>
          <w:sz w:val="27"/>
        </w:rPr>
        <w:t>Bước 3: Đóng gói Trợ lý AI chuyên biệt và nạp tri thức nội bộ (Custom Agents &amp; NotebookLM)</w:t>
      </w:r>
    </w:p>
    <w:p>
      <w:pPr>
        <w:spacing w:before="0" w:after="120" w:line="312" w:lineRule="auto"/>
        <w:ind w:firstLine="720"/>
        <w:jc w:val="both"/>
      </w:pPr>
      <w:r>
        <w:rPr>
          <w:rFonts w:ascii="Times New Roman" w:hAnsi="Times New Roman"/>
          <w:b w:val="0"/>
          <w:i w:val="0"/>
          <w:color w:val="000000"/>
          <w:sz w:val="27"/>
        </w:rPr>
        <w:t>• Đóng gói các Trợ lý AI chuyên trách cho từng phòng ban (Custom GPTs, Gemini Gems) với bản hướng dẫn vai trò được cài đặt cố định theo đúng quy chế doanh nghiệp.</w:t>
      </w:r>
    </w:p>
    <w:p>
      <w:pPr>
        <w:spacing w:before="0" w:after="120" w:line="312" w:lineRule="auto"/>
        <w:ind w:firstLine="720"/>
        <w:jc w:val="both"/>
      </w:pPr>
      <w:r>
        <w:rPr>
          <w:rFonts w:ascii="Times New Roman" w:hAnsi="Times New Roman"/>
          <w:b w:val="0"/>
          <w:i w:val="0"/>
          <w:color w:val="000000"/>
          <w:sz w:val="27"/>
        </w:rPr>
        <w:t>• Tải các file tài liệu nghiệp vụ, quy chế quản trị, cẩm nang đào tạo và quy chuẩn SOP lên không gian làm việc an toàn của Google NotebookLM để tạo lập hệ thống tra cứu hỏi đáp tự động, đảm bảo tuyệt đối không lộ bí mật kinh doanh ra môi trường công cộng.</w:t>
      </w:r>
    </w:p>
    <w:p>
      <w:pPr>
        <w:keepNext/>
        <w:spacing w:before="160" w:after="80" w:line="312" w:lineRule="auto"/>
        <w:ind w:firstLine="0"/>
        <w:jc w:val="left"/>
      </w:pPr>
      <w:r>
        <w:rPr>
          <w:rFonts w:ascii="Times New Roman" w:hAnsi="Times New Roman"/>
          <w:b/>
          <w:color w:val="000000"/>
          <w:sz w:val="27"/>
        </w:rPr>
        <w:t>Bước 4: Đào tạo thực chiến, kèm cặp trực tiếp và đo lường ROI (Training &amp; Scaling)</w:t>
      </w:r>
    </w:p>
    <w:p>
      <w:pPr>
        <w:spacing w:before="0" w:after="120" w:line="312" w:lineRule="auto"/>
        <w:ind w:firstLine="720"/>
        <w:jc w:val="both"/>
      </w:pPr>
      <w:r>
        <w:rPr>
          <w:rFonts w:ascii="Times New Roman" w:hAnsi="Times New Roman"/>
          <w:b w:val="0"/>
          <w:i w:val="0"/>
          <w:color w:val="000000"/>
          <w:sz w:val="27"/>
        </w:rPr>
        <w:t>• Tổ chức các khóa huấn luyện thực chiến 'Cầm tay chỉ việc' cho toàn thể cán bộ nhân viên; yêu cầu mỗi học viên phải hoàn thành việc đóng gói tối thiểu 01 Trợ lý AI phục vụ trực tiếp công việc chuyên môn của mình ngay trong khóa học.</w:t>
      </w:r>
    </w:p>
    <w:p>
      <w:pPr>
        <w:spacing w:before="0" w:after="120" w:line="312" w:lineRule="auto"/>
        <w:ind w:firstLine="720"/>
        <w:jc w:val="both"/>
      </w:pPr>
      <w:r>
        <w:rPr>
          <w:rFonts w:ascii="Times New Roman" w:hAnsi="Times New Roman"/>
          <w:b w:val="0"/>
          <w:i w:val="0"/>
          <w:color w:val="000000"/>
          <w:sz w:val="27"/>
        </w:rPr>
        <w:t>• Đánh giá định kỳ tỷ lệ tiết kiệm thời gian (mục tiêu giải phóng tối thiểu 30% - 50% thời gian xử lý sự vụ) và ghi nhận, khen thưởng các sáng kiến ứng dụng AI xuất sắc.</w:t>
      </w:r>
    </w:p>
    <w:p>
      <w:pPr>
        <w:keepNext/>
        <w:spacing w:before="240" w:after="120" w:line="312" w:lineRule="auto"/>
        <w:ind w:firstLine="0"/>
        <w:jc w:val="left"/>
      </w:pPr>
      <w:r>
        <w:rPr>
          <w:rFonts w:ascii="Times New Roman" w:hAnsi="Times New Roman"/>
          <w:b/>
          <w:color w:val="000000"/>
          <w:sz w:val="28"/>
        </w:rPr>
        <w:t>Phần IV</w:t>
        <w:br/>
        <w:t>TỔ CHỨC THỰC HIỆN VÀ CÁC CHƯƠNG TRÌNH HỖ TRỢ ĐÀO TẠO DOANH NGHIỆP</w:t>
      </w:r>
    </w:p>
    <w:p>
      <w:pPr>
        <w:keepNext/>
        <w:spacing w:before="160" w:after="80" w:line="312" w:lineRule="auto"/>
        <w:ind w:firstLine="0"/>
        <w:jc w:val="left"/>
      </w:pPr>
      <w:r>
        <w:rPr>
          <w:rFonts w:ascii="Times New Roman" w:hAnsi="Times New Roman"/>
          <w:b/>
          <w:color w:val="000000"/>
          <w:sz w:val="27"/>
        </w:rPr>
        <w:t>1. Trách nhiệm thực hiện</w:t>
      </w:r>
    </w:p>
    <w:p>
      <w:pPr>
        <w:spacing w:before="0" w:after="120" w:line="312" w:lineRule="auto"/>
        <w:ind w:firstLine="720"/>
        <w:jc w:val="both"/>
      </w:pPr>
      <w:r>
        <w:rPr>
          <w:rFonts w:ascii="Times New Roman" w:hAnsi="Times New Roman"/>
          <w:b w:val="0"/>
          <w:i w:val="0"/>
          <w:color w:val="000000"/>
          <w:sz w:val="27"/>
        </w:rPr>
        <w:t>a) Thủ trưởng các cơ quan, đơn vị, doanh nghiệp có trách nhiệm quán triệt nội dung Hướng dẫn này đến toàn thể cán bộ, nhân viên thuộc quyền quản lý; tạo điều kiện thuận lợi về trang thiết bị công nghệ và thời gian để nhân sự tiếp cận, thực hành.</w:t>
      </w:r>
    </w:p>
    <w:p>
      <w:pPr>
        <w:spacing w:before="0" w:after="120" w:line="312" w:lineRule="auto"/>
        <w:ind w:firstLine="720"/>
        <w:jc w:val="both"/>
      </w:pPr>
      <w:r>
        <w:rPr>
          <w:rFonts w:ascii="Times New Roman" w:hAnsi="Times New Roman"/>
          <w:b w:val="0"/>
          <w:i w:val="0"/>
          <w:color w:val="000000"/>
          <w:sz w:val="27"/>
        </w:rPr>
        <w:t>b) Phòng Tổ chức - Hành chính chủ trì phối hợp với bộ phận Công nghệ thông tin theo dõi, đôn đốc và giám sát việc tuân thủ các quy định về an toàn bảo mật thông tin khi khai thác AI.</w:t>
      </w:r>
    </w:p>
    <w:p>
      <w:pPr>
        <w:keepNext/>
        <w:spacing w:before="160" w:after="80" w:line="312" w:lineRule="auto"/>
        <w:ind w:firstLine="0"/>
        <w:jc w:val="left"/>
      </w:pPr>
      <w:r>
        <w:rPr>
          <w:rFonts w:ascii="Times New Roman" w:hAnsi="Times New Roman"/>
          <w:b/>
          <w:color w:val="000000"/>
          <w:sz w:val="27"/>
        </w:rPr>
        <w:t>2. Các chương trình đào tạo và chuyển giao của Học viện AI (AIVA Group)</w:t>
      </w:r>
    </w:p>
    <w:p>
      <w:pPr>
        <w:spacing w:before="0" w:after="120" w:line="312" w:lineRule="auto"/>
        <w:ind w:firstLine="720"/>
        <w:jc w:val="both"/>
      </w:pPr>
      <w:r>
        <w:rPr>
          <w:rFonts w:ascii="Times New Roman" w:hAnsi="Times New Roman"/>
          <w:b w:val="0"/>
          <w:i w:val="0"/>
          <w:color w:val="000000"/>
          <w:sz w:val="27"/>
        </w:rPr>
        <w:t>Học viện AI — đơn vị tiên phong với kinh nghiệm đào tạo trên 80.000 học viên và chuyển giao cho hơn 1.000 doanh nghiệp hàng đầu (Toyota, Bảo Việt, LPBank, PetroVietnam, Mytel, NEU, PTI, Yody...) — sẵn sàng đồng hành cùng quý đơn vị thông qua các chương trình đào tạo thực chiến:</w:t>
      </w:r>
    </w:p>
    <w:p>
      <w:pPr>
        <w:spacing w:before="0" w:after="120" w:line="312" w:lineRule="auto"/>
        <w:ind w:firstLine="720"/>
        <w:jc w:val="both"/>
      </w:pPr>
      <w:r>
        <w:rPr>
          <w:rFonts w:ascii="Times New Roman" w:hAnsi="Times New Roman"/>
          <w:b/>
          <w:i w:val="0"/>
          <w:color w:val="000000"/>
          <w:sz w:val="27"/>
        </w:rPr>
        <w:t>a) Khóa đào tạo nền tảng: 'AI FOR BUSINESS — XÂY DỰNG HỆ THỐNG TRỢ LÝ AI DOANH NGHIỆP'</w:t>
      </w:r>
    </w:p>
    <w:p>
      <w:pPr>
        <w:spacing w:before="0" w:after="120" w:line="312" w:lineRule="auto"/>
        <w:ind w:firstLine="720"/>
        <w:jc w:val="both"/>
      </w:pPr>
      <w:r>
        <w:rPr>
          <w:rFonts w:ascii="Times New Roman" w:hAnsi="Times New Roman"/>
          <w:b w:val="0"/>
          <w:i w:val="0"/>
          <w:color w:val="000000"/>
          <w:sz w:val="27"/>
        </w:rPr>
        <w:t>• Thời lượng: 02 buổi chuyên sâu (Trực tiếp hoặc Trực tuyến chất lượng cao).</w:t>
      </w:r>
    </w:p>
    <w:p>
      <w:pPr>
        <w:spacing w:before="0" w:after="120" w:line="312" w:lineRule="auto"/>
        <w:ind w:firstLine="720"/>
        <w:jc w:val="both"/>
      </w:pPr>
      <w:r>
        <w:rPr>
          <w:rFonts w:ascii="Times New Roman" w:hAnsi="Times New Roman"/>
          <w:b w:val="0"/>
          <w:i w:val="0"/>
          <w:color w:val="000000"/>
          <w:sz w:val="27"/>
        </w:rPr>
        <w:t>• Phương pháp đào tạo: Đào tạo thực chiến với 2 Giảng viên chính chuyên gia + Đội ngũ Mentor hỗ trợ kỹ thuật trực tiếp tại chỗ (tỷ lệ 1 Mentor kèm 5-7 học viên). Cam kết 100% học viên đóng gói được Trợ lý AI chạy ngay trong buổi học.</w:t>
      </w:r>
    </w:p>
    <w:p>
      <w:pPr>
        <w:spacing w:before="0" w:after="120" w:line="312" w:lineRule="auto"/>
        <w:ind w:firstLine="720"/>
        <w:jc w:val="both"/>
      </w:pPr>
      <w:r>
        <w:rPr>
          <w:rFonts w:ascii="Times New Roman" w:hAnsi="Times New Roman"/>
          <w:b/>
          <w:i w:val="0"/>
          <w:color w:val="000000"/>
          <w:sz w:val="27"/>
        </w:rPr>
        <w:t>b) Các chương trình chuyên sâu theo phân nhánh kỹ thuật &amp; ứng dụng cao cấp:</w:t>
      </w:r>
    </w:p>
    <w:p>
      <w:pPr>
        <w:spacing w:before="0" w:after="120" w:line="312" w:lineRule="auto"/>
        <w:ind w:firstLine="720"/>
        <w:jc w:val="both"/>
      </w:pPr>
      <w:r>
        <w:rPr>
          <w:rFonts w:ascii="Times New Roman" w:hAnsi="Times New Roman"/>
          <w:b w:val="0"/>
          <w:i w:val="0"/>
          <w:color w:val="000000"/>
          <w:sz w:val="27"/>
        </w:rPr>
        <w:t>• Khóa Đào tạo Viết App / Tool AI Ứng dụng: Hướng dẫn nhân sự tự tạo các phần mềm, công cụ tiện ích tự động hóa công việc văn phòng mà không cần biết viết mã lập trình phức tạp.</w:t>
      </w:r>
    </w:p>
    <w:p>
      <w:pPr>
        <w:spacing w:before="0" w:after="120" w:line="312" w:lineRule="auto"/>
        <w:ind w:firstLine="720"/>
        <w:jc w:val="both"/>
      </w:pPr>
      <w:r>
        <w:rPr>
          <w:rFonts w:ascii="Times New Roman" w:hAnsi="Times New Roman"/>
          <w:b w:val="0"/>
          <w:i w:val="0"/>
          <w:color w:val="000000"/>
          <w:sz w:val="27"/>
        </w:rPr>
        <w:t>• Khóa Xây dựng Hệ thống Chatbot AI Đa Kênh: Tự động hóa khâu tư vấn bán hàng, giải đáp thắc mắc và chăm sóc khách hàng 24/7 trên nền tảng Website, Fanpage, Zalo.</w:t>
      </w:r>
    </w:p>
    <w:p>
      <w:pPr>
        <w:spacing w:before="0" w:after="120" w:line="312" w:lineRule="auto"/>
        <w:ind w:firstLine="720"/>
        <w:jc w:val="both"/>
      </w:pPr>
      <w:r>
        <w:rPr>
          <w:rFonts w:ascii="Times New Roman" w:hAnsi="Times New Roman"/>
          <w:b w:val="0"/>
          <w:i w:val="0"/>
          <w:color w:val="000000"/>
          <w:sz w:val="27"/>
        </w:rPr>
        <w:t>• Khóa Thiết kế Website &amp; Landing Page Chuyển đổi cao bằng AI: Ứng dụng AI thiết kế trang web và trang bán hàng chuẩn SEO, tối ưu giao diện và tỷ lệ chuyển đổi chỉ trong 60 phút.</w:t>
      </w:r>
    </w:p>
    <w:p>
      <w:pPr>
        <w:keepNext/>
        <w:spacing w:before="160" w:after="80" w:line="312" w:lineRule="auto"/>
        <w:ind w:firstLine="0"/>
        <w:jc w:val="left"/>
      </w:pPr>
      <w:r>
        <w:rPr>
          <w:rFonts w:ascii="Times New Roman" w:hAnsi="Times New Roman"/>
          <w:b/>
          <w:color w:val="000000"/>
          <w:sz w:val="27"/>
        </w:rPr>
        <w:t>3. Chính sách học phí ưu đãi và hình thức tổ chức</w:t>
      </w:r>
    </w:p>
    <w:tbl>
      <w:tblPr>
        <w:tblW w:type="auto" w:w="0"/>
        <w:jc w:val="center"/>
        <w:tblLook w:firstColumn="1" w:firstRow="1" w:lastColumn="0" w:lastRow="0" w:noHBand="0" w:noVBand="1" w:val="04A0"/>
      </w:tblPr>
      <w:tblGrid>
        <w:gridCol w:w="2339"/>
        <w:gridCol w:w="2339"/>
        <w:gridCol w:w="2339"/>
        <w:gridCol w:w="2339"/>
      </w:tblGrid>
      <w:tr>
        <w:tc>
          <w:tcPr>
            <w:tcW w:type="dxa" w:w="850"/>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STT</w:t>
            </w:r>
          </w:p>
        </w:tc>
        <w:tc>
          <w:tcPr>
            <w:tcW w:type="dxa" w:w="3118"/>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Gói chương trình đào tạo</w:t>
            </w:r>
          </w:p>
        </w:tc>
        <w:tc>
          <w:tcPr>
            <w:tcW w:type="dxa" w:w="2551"/>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Mức học phí ưu đãi</w:t>
            </w:r>
          </w:p>
        </w:tc>
        <w:tc>
          <w:tcPr>
            <w:tcW w:type="dxa" w:w="2835"/>
            <w:shd w:fill="F2F2F2"/>
            <w:tcMar>
              <w:top w:w="120" w:type="dxa"/>
              <w:bottom w:w="120" w:type="dxa"/>
              <w:left w:w="100" w:type="dxa"/>
              <w:right w:w="100" w:type="dxa"/>
            </w:tcMar>
            <w:tcBorders>
              <w:top w:sz="4" w:val="single" w:color="000000"/>
              <w:left w:sz="4" w:val="single" w:color="000000"/>
              <w:bottom w:sz="6" w:val="single" w:color="000000"/>
              <w:right w:sz="4" w:val="single" w:color="000000"/>
            </w:tcBorders>
          </w:tcPr>
          <w:p>
            <w:pPr>
              <w:spacing w:before="40" w:after="40"/>
              <w:jc w:val="center"/>
            </w:pPr>
            <w:r>
              <w:rPr>
                <w:rFonts w:ascii="Times New Roman" w:hAnsi="Times New Roman"/>
                <w:b/>
                <w:sz w:val="24"/>
              </w:rPr>
              <w:t>Quyền lợi và Quy mô</w:t>
            </w:r>
          </w:p>
        </w:tc>
      </w:tr>
      <w:tr>
        <w:tc>
          <w:tcPr>
            <w:tcW w:type="dxa" w:w="85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jc w:val="center"/>
            </w:pPr>
            <w:r>
              <w:rPr>
                <w:rFonts w:ascii="Times New Roman" w:hAnsi="Times New Roman"/>
                <w:sz w:val="24"/>
              </w:rPr>
              <w:t>1</w:t>
            </w:r>
          </w:p>
        </w:tc>
        <w:tc>
          <w:tcPr>
            <w:tcW w:type="dxa" w:w="3118"/>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jc w:val="left"/>
            </w:pPr>
            <w:r>
              <w:rPr>
                <w:rFonts w:ascii="Times New Roman" w:hAnsi="Times New Roman"/>
                <w:b/>
                <w:sz w:val="24"/>
              </w:rPr>
              <w:t>Vé Cá nhân chuyên sâu</w:t>
              <w:br/>
              <w:t>(Dành cho Lãnh đạo / Quản lý)</w:t>
            </w:r>
          </w:p>
        </w:tc>
        <w:tc>
          <w:tcPr>
            <w:tcW w:type="dxa" w:w="2551"/>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jc w:val="center"/>
            </w:pPr>
            <w:r>
              <w:rPr>
                <w:rFonts w:ascii="Times New Roman" w:hAnsi="Times New Roman"/>
                <w:b/>
                <w:sz w:val="24"/>
              </w:rPr>
              <w:t>6.000.000 VNĐ / người</w:t>
            </w:r>
          </w:p>
        </w:tc>
        <w:tc>
          <w:tcPr>
            <w:tcW w:type="dxa" w:w="2835"/>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jc w:val="both"/>
            </w:pPr>
            <w:r>
              <w:rPr>
                <w:rFonts w:ascii="Times New Roman" w:hAnsi="Times New Roman"/>
                <w:sz w:val="23"/>
              </w:rPr>
              <w:t>Tham gia 02 buổi thực chiến, bộ tài liệu bản quyền, cấp chứng nhận tốt nghiệp.</w:t>
            </w:r>
          </w:p>
        </w:tc>
      </w:tr>
      <w:tr>
        <w:tc>
          <w:tcPr>
            <w:tcW w:type="dxa" w:w="85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jc w:val="center"/>
            </w:pPr>
            <w:r>
              <w:rPr>
                <w:rFonts w:ascii="Times New Roman" w:hAnsi="Times New Roman"/>
                <w:sz w:val="24"/>
              </w:rPr>
              <w:t>2</w:t>
            </w:r>
          </w:p>
        </w:tc>
        <w:tc>
          <w:tcPr>
            <w:tcW w:type="dxa" w:w="3118"/>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jc w:val="left"/>
            </w:pPr>
            <w:r>
              <w:rPr>
                <w:rFonts w:ascii="Times New Roman" w:hAnsi="Times New Roman"/>
                <w:b/>
                <w:sz w:val="24"/>
              </w:rPr>
              <w:t>Vé Cặp đôi Chiến lược</w:t>
              <w:br/>
              <w:t>(Sếp + 01 Trợ lý / Quản lý đi cùng)</w:t>
            </w:r>
          </w:p>
        </w:tc>
        <w:tc>
          <w:tcPr>
            <w:tcW w:type="dxa" w:w="2551"/>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jc w:val="center"/>
            </w:pPr>
            <w:r>
              <w:rPr>
                <w:rFonts w:ascii="Times New Roman" w:hAnsi="Times New Roman"/>
                <w:b/>
                <w:sz w:val="24"/>
              </w:rPr>
              <w:t>9.900.000 VNĐ / cặp</w:t>
              <w:br/>
              <w:t>(Tiết kiệm 2.100.000 VNĐ)</w:t>
            </w:r>
          </w:p>
        </w:tc>
        <w:tc>
          <w:tcPr>
            <w:tcW w:type="dxa" w:w="2835"/>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jc w:val="both"/>
            </w:pPr>
            <w:r>
              <w:rPr>
                <w:rFonts w:ascii="Times New Roman" w:hAnsi="Times New Roman"/>
                <w:sz w:val="23"/>
              </w:rPr>
              <w:t>Kèm cặp song hành, đồng bộ tư duy chỉ đạo và kỹ thuật thực thi, hỗ trợ sau khóa học 6 tháng.</w:t>
            </w:r>
          </w:p>
        </w:tc>
      </w:tr>
      <w:tr>
        <w:tc>
          <w:tcPr>
            <w:tcW w:type="dxa" w:w="850"/>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jc w:val="center"/>
            </w:pPr>
            <w:r>
              <w:rPr>
                <w:rFonts w:ascii="Times New Roman" w:hAnsi="Times New Roman"/>
                <w:sz w:val="24"/>
              </w:rPr>
              <w:t>3</w:t>
            </w:r>
          </w:p>
        </w:tc>
        <w:tc>
          <w:tcPr>
            <w:tcW w:type="dxa" w:w="3118"/>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jc w:val="left"/>
            </w:pPr>
            <w:r>
              <w:rPr>
                <w:rFonts w:ascii="Times New Roman" w:hAnsi="Times New Roman"/>
                <w:b/>
                <w:sz w:val="24"/>
              </w:rPr>
              <w:t>Gói Đào tạo Doanh nghiệp In-House</w:t>
              <w:br/>
              <w:t>(Đoàn từ 10 đến 20 nhân sự)</w:t>
            </w:r>
          </w:p>
        </w:tc>
        <w:tc>
          <w:tcPr>
            <w:tcW w:type="dxa" w:w="2551"/>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jc w:val="center"/>
            </w:pPr>
            <w:r>
              <w:rPr>
                <w:rFonts w:ascii="Times New Roman" w:hAnsi="Times New Roman"/>
                <w:b/>
                <w:sz w:val="24"/>
              </w:rPr>
              <w:t>28.000.000 VNĐ / lớp</w:t>
              <w:br/>
              <w:t>(Trọn gói chuyển giao)</w:t>
            </w:r>
          </w:p>
        </w:tc>
        <w:tc>
          <w:tcPr>
            <w:tcW w:type="dxa" w:w="2835"/>
            <w:tcMar>
              <w:top w:w="100" w:type="dxa"/>
              <w:bottom w:w="100" w:type="dxa"/>
              <w:left w:w="100" w:type="dxa"/>
              <w:right w:w="100" w:type="dxa"/>
            </w:tcMar>
            <w:tcBorders>
              <w:top w:sz="4" w:val="single" w:color="D3D3D3"/>
              <w:left w:sz="4" w:val="single" w:color="D3D3D3"/>
              <w:bottom w:sz="4" w:val="single" w:color="D3D3D3"/>
              <w:right w:sz="4" w:val="single" w:color="D3D3D3"/>
            </w:tcBorders>
          </w:tcPr>
          <w:p>
            <w:pPr>
              <w:jc w:val="both"/>
            </w:pPr>
            <w:r>
              <w:rPr>
                <w:rFonts w:ascii="Times New Roman" w:hAnsi="Times New Roman"/>
                <w:sz w:val="23"/>
              </w:rPr>
              <w:t>May đo giáo trình theo đúng ngành nghề, khảo sát hiện trạng trước đào tạo, Mentor kèm tận tay tại trụ sở.</w:t>
            </w:r>
          </w:p>
        </w:tc>
      </w:tr>
    </w:tbl>
    <w:p>
      <w:pPr>
        <w:spacing w:before="80" w:after="160"/>
      </w:pPr>
    </w:p>
    <w:p>
      <w:pPr>
        <w:keepNext/>
        <w:spacing w:before="160" w:after="80" w:line="312" w:lineRule="auto"/>
        <w:ind w:firstLine="0"/>
        <w:jc w:val="left"/>
      </w:pPr>
      <w:r>
        <w:rPr>
          <w:rFonts w:ascii="Times New Roman" w:hAnsi="Times New Roman"/>
          <w:b/>
          <w:color w:val="000000"/>
          <w:sz w:val="27"/>
        </w:rPr>
        <w:t>4. Thông tin liên hệ và kênh tiếp nhận hỗ trợ</w:t>
      </w:r>
    </w:p>
    <w:p>
      <w:pPr>
        <w:spacing w:before="0" w:after="120" w:line="312" w:lineRule="auto"/>
        <w:ind w:firstLine="720"/>
        <w:jc w:val="both"/>
      </w:pPr>
      <w:r>
        <w:rPr>
          <w:rFonts w:ascii="Times New Roman" w:hAnsi="Times New Roman"/>
          <w:b w:val="0"/>
          <w:i w:val="0"/>
          <w:color w:val="000000"/>
          <w:sz w:val="27"/>
        </w:rPr>
        <w:t>Quý cơ quan, tổ chức và quý doanh nghiệp có nhu cầu đăng ký tham dự khóa đào tạo hoặc yêu cầu thiết kế chương trình chuyển giao riêng vui lòng liên hệ Ban Thư ký Đào tạo:</w:t>
      </w:r>
    </w:p>
    <w:p>
      <w:pPr>
        <w:spacing w:before="0" w:after="120" w:line="312" w:lineRule="auto"/>
        <w:ind w:firstLine="720"/>
        <w:jc w:val="both"/>
      </w:pPr>
      <w:r>
        <w:rPr>
          <w:rFonts w:ascii="Times New Roman" w:hAnsi="Times New Roman"/>
          <w:b/>
          <w:i w:val="0"/>
          <w:color w:val="000000"/>
          <w:sz w:val="27"/>
        </w:rPr>
        <w:t>• Tên tổ chức: HỌC VIỆN AI — TRỰC THUỘC TẬP ĐOÀN AIVA GROUP</w:t>
      </w:r>
    </w:p>
    <w:p>
      <w:pPr>
        <w:spacing w:before="0" w:after="120" w:line="312" w:lineRule="auto"/>
        <w:ind w:firstLine="720"/>
        <w:jc w:val="both"/>
      </w:pPr>
      <w:r>
        <w:rPr>
          <w:rFonts w:ascii="Times New Roman" w:hAnsi="Times New Roman"/>
          <w:b w:val="0"/>
          <w:i w:val="0"/>
          <w:color w:val="000000"/>
          <w:sz w:val="27"/>
        </w:rPr>
        <w:t>• Slogan Học viện AI: 'Làm chủ AI — Kiến tạo tương lai' | Slogan AIVA Group: 'Hạnh phúc từ trí tuệ'</w:t>
      </w:r>
    </w:p>
    <w:p>
      <w:pPr>
        <w:spacing w:before="0" w:after="120" w:line="312" w:lineRule="auto"/>
        <w:ind w:firstLine="720"/>
        <w:jc w:val="both"/>
      </w:pPr>
      <w:r>
        <w:rPr>
          <w:rFonts w:ascii="Times New Roman" w:hAnsi="Times New Roman"/>
          <w:b w:val="0"/>
          <w:i w:val="0"/>
          <w:color w:val="000000"/>
          <w:sz w:val="27"/>
        </w:rPr>
        <w:t>• Địa chỉ trụ sở: Tầng 5 Tòa nhà Golden Field, số 24 Nguyễn Cơ Thạch, phường Mỹ Đình 2, quận Nam Từ Liêm, TP. Hà Nội.</w:t>
      </w:r>
    </w:p>
    <w:p>
      <w:pPr>
        <w:spacing w:before="0" w:after="120" w:line="312" w:lineRule="auto"/>
        <w:ind w:firstLine="720"/>
        <w:jc w:val="both"/>
      </w:pPr>
      <w:r>
        <w:rPr>
          <w:rFonts w:ascii="Times New Roman" w:hAnsi="Times New Roman"/>
          <w:b w:val="0"/>
          <w:i w:val="0"/>
          <w:color w:val="000000"/>
          <w:sz w:val="27"/>
        </w:rPr>
        <w:t>• Đường dây nóng (Hotline tư vấn 24/7): 0966 399 303</w:t>
      </w:r>
    </w:p>
    <w:p>
      <w:pPr>
        <w:spacing w:before="0" w:after="120" w:line="312" w:lineRule="auto"/>
        <w:ind w:firstLine="720"/>
        <w:jc w:val="both"/>
      </w:pPr>
      <w:r>
        <w:rPr>
          <w:rFonts w:ascii="Times New Roman" w:hAnsi="Times New Roman"/>
          <w:b w:val="0"/>
          <w:i w:val="0"/>
          <w:color w:val="000000"/>
          <w:sz w:val="27"/>
        </w:rPr>
        <w:t>• Cổng thông tin điện tử &amp; Nền tảng công nghệ: https://hocvienai.com  |  https://app.aiva.vn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4252"/>
            <w:tcMar>
              <w:top w:w="120" w:type="dxa"/>
              <w:bottom w:w="0" w:type="dxa"/>
              <w:left w:w="0" w:type="dxa"/>
              <w:right w:w="0" w:type="dxa"/>
            </w:tcMar>
          </w:tcPr>
          <w:p>
            <w:pPr>
              <w:spacing w:before="0" w:after="40"/>
              <w:jc w:val="left"/>
            </w:pPr>
            <w:r>
              <w:rPr>
                <w:rFonts w:ascii="Times New Roman" w:hAnsi="Times New Roman"/>
                <w:b/>
                <w:i/>
                <w:sz w:val="24"/>
              </w:rPr>
              <w:t>Nơi nhận:</w:t>
            </w:r>
          </w:p>
          <w:p>
            <w:pPr>
              <w:spacing w:before="0" w:after="20" w:line="276" w:lineRule="auto"/>
              <w:jc w:val="left"/>
            </w:pPr>
            <w:r>
              <w:rPr>
                <w:rFonts w:ascii="Times New Roman" w:hAnsi="Times New Roman"/>
                <w:sz w:val="22"/>
              </w:rPr>
              <w:t>- Ban Lãnh đạo AIVA Group (để b/c);</w:t>
            </w:r>
          </w:p>
          <w:p>
            <w:pPr>
              <w:spacing w:before="0" w:after="20" w:line="276" w:lineRule="auto"/>
              <w:jc w:val="left"/>
            </w:pPr>
            <w:r>
              <w:rPr>
                <w:rFonts w:ascii="Times New Roman" w:hAnsi="Times New Roman"/>
                <w:sz w:val="22"/>
              </w:rPr>
              <w:t>- Các phòng ban, đơn vị thành viên;</w:t>
            </w:r>
          </w:p>
          <w:p>
            <w:pPr>
              <w:spacing w:before="0" w:after="20" w:line="276" w:lineRule="auto"/>
              <w:jc w:val="left"/>
            </w:pPr>
            <w:r>
              <w:rPr>
                <w:rFonts w:ascii="Times New Roman" w:hAnsi="Times New Roman"/>
                <w:sz w:val="22"/>
              </w:rPr>
              <w:t>- Quý Cơ quan, Doanh nghiệp học viên;</w:t>
            </w:r>
          </w:p>
          <w:p>
            <w:pPr>
              <w:spacing w:before="0" w:after="20" w:line="276" w:lineRule="auto"/>
              <w:jc w:val="left"/>
            </w:pPr>
            <w:r>
              <w:rPr>
                <w:rFonts w:ascii="Times New Roman" w:hAnsi="Times New Roman"/>
                <w:sz w:val="22"/>
              </w:rPr>
              <w:t>- Ban Cố vấn &amp; Đội ngũ Giảng viên;</w:t>
            </w:r>
          </w:p>
          <w:p>
            <w:pPr>
              <w:spacing w:before="0" w:after="20" w:line="276" w:lineRule="auto"/>
              <w:jc w:val="left"/>
            </w:pPr>
            <w:r>
              <w:rPr>
                <w:rFonts w:ascii="Times New Roman" w:hAnsi="Times New Roman"/>
                <w:sz w:val="22"/>
              </w:rPr>
              <w:t>- Lưu: VT, Đào tạo, HVAI.</w:t>
            </w:r>
          </w:p>
        </w:tc>
        <w:tc>
          <w:tcPr>
            <w:tcW w:type="dxa" w:w="5102"/>
            <w:tcMar>
              <w:top w:w="120" w:type="dxa"/>
              <w:bottom w:w="0" w:type="dxa"/>
              <w:left w:w="0" w:type="dxa"/>
              <w:right w:w="0" w:type="dxa"/>
            </w:tcMar>
          </w:tcPr>
          <w:p>
            <w:pPr>
              <w:spacing w:before="0" w:after="40"/>
              <w:jc w:val="center"/>
            </w:pPr>
            <w:r>
              <w:rPr>
                <w:rFonts w:ascii="Times New Roman" w:hAnsi="Times New Roman"/>
                <w:b/>
                <w:sz w:val="24"/>
              </w:rPr>
              <w:t>VIỆN TRƯỞNG VIỆN THỰC CHIẾN TPAI</w:t>
              <w:br/>
            </w:r>
            <w:r>
              <w:rPr>
                <w:rFonts w:ascii="Times New Roman" w:hAnsi="Times New Roman"/>
                <w:b/>
                <w:sz w:val="22"/>
              </w:rPr>
              <w:t>CHUYÊN GIA TRƯỞNG HỌC VIỆN AI</w:t>
            </w:r>
          </w:p>
          <w:p>
            <w:pPr>
              <w:spacing w:before="720" w:after="0"/>
            </w:pPr>
          </w:p>
          <w:p>
            <w:pPr>
              <w:spacing w:before="0" w:after="40"/>
              <w:jc w:val="center"/>
            </w:pPr>
            <w:r>
              <w:rPr>
                <w:rFonts w:ascii="Times New Roman" w:hAnsi="Times New Roman"/>
                <w:b/>
                <w:sz w:val="28"/>
              </w:rPr>
              <w:t>Thầy Tuấn Phạm</w:t>
            </w:r>
          </w:p>
          <w:p>
            <w:pPr>
              <w:spacing w:before="80" w:after="0"/>
              <w:jc w:val="center"/>
            </w:pPr>
            <w:r>
              <w:rPr>
                <w:rFonts w:ascii="Times New Roman" w:hAnsi="Times New Roman"/>
                <w:i/>
                <w:sz w:val="24"/>
              </w:rPr>
              <w:t>Đồng ký duyệt: Chủ tịch AIVA Group</w:t>
              <w:br/>
              <w:t>Thầy Cao Xuân Hoài Vương</w:t>
            </w:r>
          </w:p>
        </w:tc>
      </w:tr>
    </w:tbl>
    <w:sectPr w:rsidR="00FC693F" w:rsidRPr="0006063C" w:rsidSect="00034616">
      <w:headerReference w:type="default" r:id="rId9"/>
      <w:pgSz w:w="11906" w:h="16838"/>
      <w:pgMar w:top="1134" w:right="850"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color w:val="000000"/>
        <w:sz w:val="2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