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7E9C" w:rsidRDefault="00CF7E9C" w:rsidP="00CF7E9C">
      <w:pPr>
        <w:pStyle w:val="NormalWeb"/>
        <w:shd w:val="clear" w:color="auto" w:fill="FFFFFF"/>
        <w:spacing w:before="0" w:beforeAutospacing="0"/>
        <w:jc w:val="center"/>
        <w:rPr>
          <w:rFonts w:ascii="Arial" w:hAnsi="Arial" w:cs="Arial"/>
          <w:color w:val="373A3C"/>
        </w:rPr>
      </w:pPr>
      <w:r>
        <w:rPr>
          <w:rFonts w:ascii="Arial" w:hAnsi="Arial" w:cs="Arial"/>
          <w:b/>
          <w:bCs/>
          <w:color w:val="373A3C"/>
          <w:lang w:val="en-GB"/>
        </w:rPr>
        <w:t xml:space="preserve">Converting Monoliths to </w:t>
      </w:r>
      <w:proofErr w:type="spellStart"/>
      <w:r>
        <w:rPr>
          <w:rFonts w:ascii="Arial" w:hAnsi="Arial" w:cs="Arial"/>
          <w:b/>
          <w:bCs/>
          <w:color w:val="373A3C"/>
          <w:lang w:val="en-GB"/>
        </w:rPr>
        <w:t>Microservices</w:t>
      </w:r>
      <w:proofErr w:type="spellEnd"/>
    </w:p>
    <w:p w:rsidR="00CF7E9C" w:rsidRDefault="00CF7E9C" w:rsidP="00CF7E9C">
      <w:pPr>
        <w:pStyle w:val="NormalWeb"/>
        <w:shd w:val="clear" w:color="auto" w:fill="FFFFFF"/>
        <w:spacing w:before="0" w:beforeAutospacing="0"/>
        <w:jc w:val="center"/>
        <w:rPr>
          <w:rFonts w:ascii="Arial" w:hAnsi="Arial" w:cs="Arial"/>
          <w:color w:val="373A3C"/>
        </w:rPr>
      </w:pPr>
      <w:r>
        <w:rPr>
          <w:rFonts w:ascii="Arial" w:hAnsi="Arial" w:cs="Arial"/>
          <w:color w:val="373A3C"/>
          <w:lang w:val="en-GB"/>
        </w:rPr>
        <w:t xml:space="preserve">A monolith application is </w:t>
      </w:r>
      <w:proofErr w:type="gramStart"/>
      <w:r>
        <w:rPr>
          <w:rFonts w:ascii="Arial" w:hAnsi="Arial" w:cs="Arial"/>
          <w:color w:val="373A3C"/>
          <w:lang w:val="en-GB"/>
        </w:rPr>
        <w:t>an</w:t>
      </w:r>
      <w:proofErr w:type="gramEnd"/>
      <w:r>
        <w:rPr>
          <w:rFonts w:ascii="Arial" w:hAnsi="Arial" w:cs="Arial"/>
          <w:color w:val="373A3C"/>
          <w:lang w:val="en-GB"/>
        </w:rPr>
        <w:t xml:space="preserve"> the one in which functions are tightly coupled with the data access codes and user interface integrated to form a single program (Mishra et al. 2018). The application consists of a database, client-side user interface, and server-side application combined into a single executable program. The primary challenges of monolith applications include limited reuse and difficulties in achieving operational agility. Additionally, scaling monolith applications can be challenging because developers must build updated versions to make changes to the system. Contrarily, </w:t>
      </w:r>
      <w:proofErr w:type="spellStart"/>
      <w:r>
        <w:rPr>
          <w:rFonts w:ascii="Arial" w:hAnsi="Arial" w:cs="Arial"/>
          <w:color w:val="373A3C"/>
          <w:lang w:val="en-GB"/>
        </w:rPr>
        <w:t>microservice</w:t>
      </w:r>
      <w:proofErr w:type="spellEnd"/>
      <w:r>
        <w:rPr>
          <w:rFonts w:ascii="Arial" w:hAnsi="Arial" w:cs="Arial"/>
          <w:color w:val="373A3C"/>
          <w:lang w:val="en-GB"/>
        </w:rPr>
        <w:t xml:space="preserve"> architecture delivers scalability and flexibility in the development of service-based applications since the architecture enables each service to be responsible for a specific part of the functionality. However, enabling monolith applications to operate as </w:t>
      </w:r>
      <w:proofErr w:type="spellStart"/>
      <w:r>
        <w:rPr>
          <w:rFonts w:ascii="Arial" w:hAnsi="Arial" w:cs="Arial"/>
          <w:color w:val="373A3C"/>
          <w:lang w:val="en-GB"/>
        </w:rPr>
        <w:t>microservice</w:t>
      </w:r>
      <w:proofErr w:type="spellEnd"/>
      <w:r>
        <w:rPr>
          <w:rFonts w:ascii="Arial" w:hAnsi="Arial" w:cs="Arial"/>
          <w:color w:val="373A3C"/>
          <w:lang w:val="en-GB"/>
        </w:rPr>
        <w:t xml:space="preserve"> can be challenging since </w:t>
      </w:r>
      <w:proofErr w:type="spellStart"/>
      <w:r>
        <w:rPr>
          <w:rFonts w:ascii="Arial" w:hAnsi="Arial" w:cs="Arial"/>
          <w:color w:val="373A3C"/>
          <w:lang w:val="en-GB"/>
        </w:rPr>
        <w:t>microservice</w:t>
      </w:r>
      <w:proofErr w:type="spellEnd"/>
      <w:r>
        <w:rPr>
          <w:rFonts w:ascii="Arial" w:hAnsi="Arial" w:cs="Arial"/>
          <w:color w:val="373A3C"/>
          <w:lang w:val="en-GB"/>
        </w:rPr>
        <w:t xml:space="preserve"> architecture has more granularity. For instance, for a monolith application to be enabled to function as a </w:t>
      </w:r>
      <w:proofErr w:type="spellStart"/>
      <w:r>
        <w:rPr>
          <w:rFonts w:ascii="Arial" w:hAnsi="Arial" w:cs="Arial"/>
          <w:color w:val="373A3C"/>
          <w:lang w:val="en-GB"/>
        </w:rPr>
        <w:t>microservice</w:t>
      </w:r>
      <w:proofErr w:type="spellEnd"/>
      <w:r>
        <w:rPr>
          <w:rFonts w:ascii="Arial" w:hAnsi="Arial" w:cs="Arial"/>
          <w:color w:val="373A3C"/>
          <w:lang w:val="en-GB"/>
        </w:rPr>
        <w:t xml:space="preserve">, one must identify the domains and subdomains of the application and understand the dependencies within the codebase (Faustino et al. 2022). Another challenge in enabling monolith applications to function as </w:t>
      </w:r>
      <w:proofErr w:type="spellStart"/>
      <w:r>
        <w:rPr>
          <w:rFonts w:ascii="Arial" w:hAnsi="Arial" w:cs="Arial"/>
          <w:color w:val="373A3C"/>
          <w:lang w:val="en-GB"/>
        </w:rPr>
        <w:t>microservice</w:t>
      </w:r>
      <w:proofErr w:type="spellEnd"/>
      <w:r>
        <w:rPr>
          <w:rFonts w:ascii="Arial" w:hAnsi="Arial" w:cs="Arial"/>
          <w:color w:val="373A3C"/>
          <w:lang w:val="en-GB"/>
        </w:rPr>
        <w:t xml:space="preserve"> is finding shared mutable data. This is particularly important since shared mutable data must be modelled as a </w:t>
      </w:r>
      <w:proofErr w:type="spellStart"/>
      <w:r>
        <w:rPr>
          <w:rFonts w:ascii="Arial" w:hAnsi="Arial" w:cs="Arial"/>
          <w:color w:val="373A3C"/>
          <w:lang w:val="en-GB"/>
        </w:rPr>
        <w:t>microservice</w:t>
      </w:r>
      <w:proofErr w:type="spellEnd"/>
      <w:r>
        <w:rPr>
          <w:rFonts w:ascii="Arial" w:hAnsi="Arial" w:cs="Arial"/>
          <w:color w:val="373A3C"/>
          <w:lang w:val="en-GB"/>
        </w:rPr>
        <w:t xml:space="preserve"> in the monolith-</w:t>
      </w:r>
      <w:proofErr w:type="spellStart"/>
      <w:r>
        <w:rPr>
          <w:rFonts w:ascii="Arial" w:hAnsi="Arial" w:cs="Arial"/>
          <w:color w:val="373A3C"/>
          <w:lang w:val="en-GB"/>
        </w:rPr>
        <w:t>microservice</w:t>
      </w:r>
      <w:proofErr w:type="spellEnd"/>
      <w:r>
        <w:rPr>
          <w:rFonts w:ascii="Arial" w:hAnsi="Arial" w:cs="Arial"/>
          <w:color w:val="373A3C"/>
          <w:lang w:val="en-GB"/>
        </w:rPr>
        <w:t xml:space="preserve"> architecture migration (</w:t>
      </w:r>
      <w:proofErr w:type="spellStart"/>
      <w:r>
        <w:rPr>
          <w:rFonts w:ascii="Arial" w:hAnsi="Arial" w:cs="Arial"/>
          <w:color w:val="373A3C"/>
          <w:lang w:val="en-GB"/>
        </w:rPr>
        <w:t>Kazanavicius</w:t>
      </w:r>
      <w:proofErr w:type="spellEnd"/>
      <w:r>
        <w:rPr>
          <w:rFonts w:ascii="Arial" w:hAnsi="Arial" w:cs="Arial"/>
          <w:color w:val="373A3C"/>
          <w:lang w:val="en-GB"/>
        </w:rPr>
        <w:t xml:space="preserve"> et al. 2022). Additionally, static data like supported currencies and country codes in a monolith e-commerce application can be slow to manage or change thus creating further challenges in enabling monolith application to function as a </w:t>
      </w:r>
      <w:proofErr w:type="spellStart"/>
      <w:r>
        <w:rPr>
          <w:rFonts w:ascii="Arial" w:hAnsi="Arial" w:cs="Arial"/>
          <w:color w:val="373A3C"/>
          <w:lang w:val="en-GB"/>
        </w:rPr>
        <w:t>microservice</w:t>
      </w:r>
      <w:proofErr w:type="spellEnd"/>
      <w:r>
        <w:rPr>
          <w:rFonts w:ascii="Arial" w:hAnsi="Arial" w:cs="Arial"/>
          <w:color w:val="373A3C"/>
          <w:lang w:val="en-GB"/>
        </w:rPr>
        <w:t>.</w:t>
      </w:r>
    </w:p>
    <w:p w:rsidR="00CF7E9C" w:rsidRDefault="00CF7E9C" w:rsidP="00CF7E9C">
      <w:pPr>
        <w:pStyle w:val="NormalWeb"/>
        <w:shd w:val="clear" w:color="auto" w:fill="FFFFFF"/>
        <w:spacing w:before="0" w:beforeAutospacing="0"/>
        <w:jc w:val="center"/>
        <w:rPr>
          <w:rFonts w:ascii="Arial" w:hAnsi="Arial" w:cs="Arial"/>
          <w:color w:val="373A3C"/>
        </w:rPr>
      </w:pPr>
      <w:r>
        <w:rPr>
          <w:rFonts w:ascii="Arial" w:hAnsi="Arial" w:cs="Arial"/>
          <w:color w:val="373A3C"/>
          <w:lang w:val="en-GB"/>
        </w:rPr>
        <w:t xml:space="preserve">A monolith application like an e-commerce application can be enabled to function as a </w:t>
      </w:r>
      <w:proofErr w:type="spellStart"/>
      <w:r>
        <w:rPr>
          <w:rFonts w:ascii="Arial" w:hAnsi="Arial" w:cs="Arial"/>
          <w:color w:val="373A3C"/>
          <w:lang w:val="en-GB"/>
        </w:rPr>
        <w:t>microservice</w:t>
      </w:r>
      <w:proofErr w:type="spellEnd"/>
      <w:r>
        <w:rPr>
          <w:rFonts w:ascii="Arial" w:hAnsi="Arial" w:cs="Arial"/>
          <w:color w:val="373A3C"/>
          <w:lang w:val="en-GB"/>
        </w:rPr>
        <w:t xml:space="preserve"> by duplicating static data for different modules or services to their databases to be modelled as separate </w:t>
      </w:r>
      <w:proofErr w:type="spellStart"/>
      <w:r>
        <w:rPr>
          <w:rFonts w:ascii="Arial" w:hAnsi="Arial" w:cs="Arial"/>
          <w:color w:val="373A3C"/>
          <w:lang w:val="en-GB"/>
        </w:rPr>
        <w:t>microservices</w:t>
      </w:r>
      <w:proofErr w:type="spellEnd"/>
      <w:r>
        <w:rPr>
          <w:rFonts w:ascii="Arial" w:hAnsi="Arial" w:cs="Arial"/>
          <w:color w:val="373A3C"/>
          <w:lang w:val="en-GB"/>
        </w:rPr>
        <w:t xml:space="preserve">. In addition, monolith applications can be enabled to function as a </w:t>
      </w:r>
      <w:proofErr w:type="spellStart"/>
      <w:r>
        <w:rPr>
          <w:rFonts w:ascii="Arial" w:hAnsi="Arial" w:cs="Arial"/>
          <w:color w:val="373A3C"/>
          <w:lang w:val="en-GB"/>
        </w:rPr>
        <w:t>microservice</w:t>
      </w:r>
      <w:proofErr w:type="spellEnd"/>
      <w:r>
        <w:rPr>
          <w:rFonts w:ascii="Arial" w:hAnsi="Arial" w:cs="Arial"/>
          <w:color w:val="373A3C"/>
          <w:lang w:val="en-GB"/>
        </w:rPr>
        <w:t xml:space="preserve"> through code analysis to discover monolithic APIs and group the API endpoints according to their resources (Janes and Russo 2019). In this approach, the group endpoints can be designed as a </w:t>
      </w:r>
      <w:proofErr w:type="spellStart"/>
      <w:r>
        <w:rPr>
          <w:rFonts w:ascii="Arial" w:hAnsi="Arial" w:cs="Arial"/>
          <w:color w:val="373A3C"/>
          <w:lang w:val="en-GB"/>
        </w:rPr>
        <w:t>microservice</w:t>
      </w:r>
      <w:proofErr w:type="spellEnd"/>
      <w:r>
        <w:rPr>
          <w:rFonts w:ascii="Arial" w:hAnsi="Arial" w:cs="Arial"/>
          <w:color w:val="373A3C"/>
          <w:lang w:val="en-GB"/>
        </w:rPr>
        <w:t xml:space="preserve">. With these developments, the e-commerce monolith application example would function as a </w:t>
      </w:r>
      <w:proofErr w:type="spellStart"/>
      <w:r>
        <w:rPr>
          <w:rFonts w:ascii="Arial" w:hAnsi="Arial" w:cs="Arial"/>
          <w:color w:val="373A3C"/>
          <w:lang w:val="en-GB"/>
        </w:rPr>
        <w:t>microservice</w:t>
      </w:r>
      <w:proofErr w:type="spellEnd"/>
      <w:r>
        <w:rPr>
          <w:rFonts w:ascii="Arial" w:hAnsi="Arial" w:cs="Arial"/>
          <w:color w:val="373A3C"/>
          <w:lang w:val="en-GB"/>
        </w:rPr>
        <w:t xml:space="preserve"> by allowing the Order, Shipping and Payment </w:t>
      </w:r>
      <w:proofErr w:type="spellStart"/>
      <w:r>
        <w:rPr>
          <w:rFonts w:ascii="Arial" w:hAnsi="Arial" w:cs="Arial"/>
          <w:color w:val="373A3C"/>
          <w:lang w:val="en-GB"/>
        </w:rPr>
        <w:t>microservices</w:t>
      </w:r>
      <w:proofErr w:type="spellEnd"/>
      <w:r>
        <w:rPr>
          <w:rFonts w:ascii="Arial" w:hAnsi="Arial" w:cs="Arial"/>
          <w:color w:val="373A3C"/>
          <w:lang w:val="en-GB"/>
        </w:rPr>
        <w:t xml:space="preserve"> to utilize the APIs of the customer Shopping Status </w:t>
      </w:r>
      <w:proofErr w:type="spellStart"/>
      <w:r>
        <w:rPr>
          <w:rFonts w:ascii="Arial" w:hAnsi="Arial" w:cs="Arial"/>
          <w:color w:val="373A3C"/>
          <w:lang w:val="en-GB"/>
        </w:rPr>
        <w:t>microservice</w:t>
      </w:r>
      <w:proofErr w:type="spellEnd"/>
      <w:r>
        <w:rPr>
          <w:rFonts w:ascii="Arial" w:hAnsi="Arial" w:cs="Arial"/>
          <w:color w:val="373A3C"/>
          <w:lang w:val="en-GB"/>
        </w:rPr>
        <w:t xml:space="preserve">, since services exist independent of others in </w:t>
      </w:r>
      <w:proofErr w:type="spellStart"/>
      <w:r>
        <w:rPr>
          <w:rFonts w:ascii="Arial" w:hAnsi="Arial" w:cs="Arial"/>
          <w:color w:val="373A3C"/>
          <w:lang w:val="en-GB"/>
        </w:rPr>
        <w:t>microservices</w:t>
      </w:r>
      <w:proofErr w:type="spellEnd"/>
      <w:r>
        <w:rPr>
          <w:rFonts w:ascii="Arial" w:hAnsi="Arial" w:cs="Arial"/>
          <w:color w:val="373A3C"/>
          <w:lang w:val="en-GB"/>
        </w:rPr>
        <w:t xml:space="preserve"> architecture.</w:t>
      </w:r>
    </w:p>
    <w:p w:rsidR="00CF7E9C" w:rsidRDefault="00CF7E9C" w:rsidP="00CF7E9C">
      <w:pPr>
        <w:pStyle w:val="NormalWeb"/>
        <w:shd w:val="clear" w:color="auto" w:fill="FFFFFF"/>
        <w:spacing w:before="0" w:beforeAutospacing="0"/>
        <w:jc w:val="center"/>
        <w:rPr>
          <w:rFonts w:ascii="Arial" w:hAnsi="Arial" w:cs="Arial"/>
          <w:color w:val="373A3C"/>
        </w:rPr>
      </w:pPr>
      <w:r>
        <w:rPr>
          <w:rFonts w:ascii="Arial" w:hAnsi="Arial" w:cs="Arial"/>
          <w:b/>
          <w:bCs/>
          <w:color w:val="373A3C"/>
          <w:lang w:val="en-GB"/>
        </w:rPr>
        <w:t> </w:t>
      </w:r>
    </w:p>
    <w:p w:rsidR="00CF7E9C" w:rsidRDefault="00CF7E9C" w:rsidP="00CF7E9C">
      <w:pPr>
        <w:pStyle w:val="NormalWeb"/>
        <w:shd w:val="clear" w:color="auto" w:fill="FFFFFF"/>
        <w:spacing w:before="0" w:beforeAutospacing="0"/>
        <w:jc w:val="center"/>
        <w:rPr>
          <w:rFonts w:ascii="Arial" w:hAnsi="Arial" w:cs="Arial"/>
          <w:color w:val="373A3C"/>
        </w:rPr>
      </w:pPr>
      <w:r>
        <w:rPr>
          <w:rFonts w:ascii="Arial" w:hAnsi="Arial" w:cs="Arial"/>
          <w:b/>
          <w:bCs/>
          <w:color w:val="373A3C"/>
          <w:lang w:val="en-GB"/>
        </w:rPr>
        <w:t>Reference List</w:t>
      </w:r>
    </w:p>
    <w:p w:rsidR="00CF7E9C" w:rsidRDefault="00CF7E9C" w:rsidP="00CF7E9C">
      <w:pPr>
        <w:pStyle w:val="NormalWeb"/>
        <w:shd w:val="clear" w:color="auto" w:fill="FFFFFF"/>
        <w:spacing w:before="0" w:beforeAutospacing="0"/>
        <w:rPr>
          <w:rFonts w:ascii="Arial" w:hAnsi="Arial" w:cs="Arial"/>
          <w:color w:val="373A3C"/>
        </w:rPr>
      </w:pPr>
      <w:r>
        <w:rPr>
          <w:rFonts w:ascii="Arial" w:hAnsi="Arial" w:cs="Arial"/>
          <w:color w:val="373A3C"/>
          <w:lang w:val="en-GB"/>
        </w:rPr>
        <w:t xml:space="preserve">Faustino, D., </w:t>
      </w:r>
      <w:proofErr w:type="spellStart"/>
      <w:r>
        <w:rPr>
          <w:rFonts w:ascii="Arial" w:hAnsi="Arial" w:cs="Arial"/>
          <w:color w:val="373A3C"/>
          <w:lang w:val="en-GB"/>
        </w:rPr>
        <w:t>Gonçalves</w:t>
      </w:r>
      <w:proofErr w:type="spellEnd"/>
      <w:r>
        <w:rPr>
          <w:rFonts w:ascii="Arial" w:hAnsi="Arial" w:cs="Arial"/>
          <w:color w:val="373A3C"/>
          <w:lang w:val="en-GB"/>
        </w:rPr>
        <w:t xml:space="preserve">, N., </w:t>
      </w:r>
      <w:proofErr w:type="spellStart"/>
      <w:r>
        <w:rPr>
          <w:rFonts w:ascii="Arial" w:hAnsi="Arial" w:cs="Arial"/>
          <w:color w:val="373A3C"/>
          <w:lang w:val="en-GB"/>
        </w:rPr>
        <w:t>Portela</w:t>
      </w:r>
      <w:proofErr w:type="spellEnd"/>
      <w:r>
        <w:rPr>
          <w:rFonts w:ascii="Arial" w:hAnsi="Arial" w:cs="Arial"/>
          <w:color w:val="373A3C"/>
          <w:lang w:val="en-GB"/>
        </w:rPr>
        <w:t xml:space="preserve">, M. and Silva, A.R., 2022. Stepwise Migration of a Monolith to a </w:t>
      </w:r>
      <w:proofErr w:type="spellStart"/>
      <w:r>
        <w:rPr>
          <w:rFonts w:ascii="Arial" w:hAnsi="Arial" w:cs="Arial"/>
          <w:color w:val="373A3C"/>
          <w:lang w:val="en-GB"/>
        </w:rPr>
        <w:t>Microservices</w:t>
      </w:r>
      <w:proofErr w:type="spellEnd"/>
      <w:r>
        <w:rPr>
          <w:rFonts w:ascii="Arial" w:hAnsi="Arial" w:cs="Arial"/>
          <w:color w:val="373A3C"/>
          <w:lang w:val="en-GB"/>
        </w:rPr>
        <w:t xml:space="preserve"> Architecture: Performance and Migration Effort Evaluation. </w:t>
      </w:r>
      <w:proofErr w:type="spellStart"/>
      <w:r>
        <w:rPr>
          <w:rFonts w:ascii="Arial" w:hAnsi="Arial" w:cs="Arial"/>
          <w:i/>
          <w:iCs/>
          <w:color w:val="373A3C"/>
          <w:lang w:val="en-GB"/>
        </w:rPr>
        <w:t>arXiv</w:t>
      </w:r>
      <w:proofErr w:type="spellEnd"/>
      <w:r>
        <w:rPr>
          <w:rFonts w:ascii="Arial" w:hAnsi="Arial" w:cs="Arial"/>
          <w:i/>
          <w:iCs/>
          <w:color w:val="373A3C"/>
          <w:lang w:val="en-GB"/>
        </w:rPr>
        <w:t xml:space="preserve"> preprint arXiv:2201.07226</w:t>
      </w:r>
      <w:r>
        <w:rPr>
          <w:rFonts w:ascii="Arial" w:hAnsi="Arial" w:cs="Arial"/>
          <w:color w:val="373A3C"/>
          <w:lang w:val="en-GB"/>
        </w:rPr>
        <w:t>.</w:t>
      </w:r>
    </w:p>
    <w:p w:rsidR="00CF7E9C" w:rsidRDefault="00CF7E9C" w:rsidP="00CF7E9C">
      <w:pPr>
        <w:pStyle w:val="NormalWeb"/>
        <w:shd w:val="clear" w:color="auto" w:fill="FFFFFF"/>
        <w:spacing w:before="0" w:beforeAutospacing="0"/>
        <w:rPr>
          <w:rFonts w:ascii="Arial" w:hAnsi="Arial" w:cs="Arial"/>
          <w:color w:val="373A3C"/>
        </w:rPr>
      </w:pPr>
      <w:proofErr w:type="spellStart"/>
      <w:r>
        <w:rPr>
          <w:rFonts w:ascii="Arial" w:hAnsi="Arial" w:cs="Arial"/>
          <w:color w:val="373A3C"/>
          <w:lang w:val="en-GB"/>
        </w:rPr>
        <w:t>Kazanavičius</w:t>
      </w:r>
      <w:proofErr w:type="spellEnd"/>
      <w:r>
        <w:rPr>
          <w:rFonts w:ascii="Arial" w:hAnsi="Arial" w:cs="Arial"/>
          <w:color w:val="373A3C"/>
          <w:lang w:val="en-GB"/>
        </w:rPr>
        <w:t xml:space="preserve">, J., </w:t>
      </w:r>
      <w:proofErr w:type="spellStart"/>
      <w:r>
        <w:rPr>
          <w:rFonts w:ascii="Arial" w:hAnsi="Arial" w:cs="Arial"/>
          <w:color w:val="373A3C"/>
          <w:lang w:val="en-GB"/>
        </w:rPr>
        <w:t>Mažeika</w:t>
      </w:r>
      <w:proofErr w:type="spellEnd"/>
      <w:r>
        <w:rPr>
          <w:rFonts w:ascii="Arial" w:hAnsi="Arial" w:cs="Arial"/>
          <w:color w:val="373A3C"/>
          <w:lang w:val="en-GB"/>
        </w:rPr>
        <w:t xml:space="preserve">, D. and </w:t>
      </w:r>
      <w:proofErr w:type="spellStart"/>
      <w:r>
        <w:rPr>
          <w:rFonts w:ascii="Arial" w:hAnsi="Arial" w:cs="Arial"/>
          <w:color w:val="373A3C"/>
          <w:lang w:val="en-GB"/>
        </w:rPr>
        <w:t>Kalibatienė</w:t>
      </w:r>
      <w:proofErr w:type="spellEnd"/>
      <w:r>
        <w:rPr>
          <w:rFonts w:ascii="Arial" w:hAnsi="Arial" w:cs="Arial"/>
          <w:color w:val="373A3C"/>
          <w:lang w:val="en-GB"/>
        </w:rPr>
        <w:t xml:space="preserve">, D., 2022. An Approach to Migrate a Monolith Database into Multi-Model Polyglot Persistence Based on </w:t>
      </w:r>
      <w:proofErr w:type="spellStart"/>
      <w:r>
        <w:rPr>
          <w:rFonts w:ascii="Arial" w:hAnsi="Arial" w:cs="Arial"/>
          <w:color w:val="373A3C"/>
          <w:lang w:val="en-GB"/>
        </w:rPr>
        <w:t>Microservice</w:t>
      </w:r>
      <w:proofErr w:type="spellEnd"/>
      <w:r>
        <w:rPr>
          <w:rFonts w:ascii="Arial" w:hAnsi="Arial" w:cs="Arial"/>
          <w:color w:val="373A3C"/>
          <w:lang w:val="en-GB"/>
        </w:rPr>
        <w:t xml:space="preserve"> Architecture: A Case Study for Mainframe Database. </w:t>
      </w:r>
      <w:r>
        <w:rPr>
          <w:rFonts w:ascii="Arial" w:hAnsi="Arial" w:cs="Arial"/>
          <w:i/>
          <w:iCs/>
          <w:color w:val="373A3C"/>
          <w:lang w:val="en-GB"/>
        </w:rPr>
        <w:t>Applied Sciences</w:t>
      </w:r>
      <w:r>
        <w:rPr>
          <w:rFonts w:ascii="Arial" w:hAnsi="Arial" w:cs="Arial"/>
          <w:color w:val="373A3C"/>
          <w:lang w:val="en-GB"/>
        </w:rPr>
        <w:t>, </w:t>
      </w:r>
      <w:r>
        <w:rPr>
          <w:rFonts w:ascii="Arial" w:hAnsi="Arial" w:cs="Arial"/>
          <w:i/>
          <w:iCs/>
          <w:color w:val="373A3C"/>
          <w:lang w:val="en-GB"/>
        </w:rPr>
        <w:t>12</w:t>
      </w:r>
      <w:r>
        <w:rPr>
          <w:rFonts w:ascii="Arial" w:hAnsi="Arial" w:cs="Arial"/>
          <w:color w:val="373A3C"/>
          <w:lang w:val="en-GB"/>
        </w:rPr>
        <w:t>(12), p.6189.</w:t>
      </w:r>
    </w:p>
    <w:p w:rsidR="00CF7E9C" w:rsidRDefault="00CF7E9C" w:rsidP="00CF7E9C">
      <w:pPr>
        <w:pStyle w:val="NormalWeb"/>
        <w:shd w:val="clear" w:color="auto" w:fill="FFFFFF"/>
        <w:spacing w:before="0" w:beforeAutospacing="0"/>
        <w:rPr>
          <w:rFonts w:ascii="Arial" w:hAnsi="Arial" w:cs="Arial"/>
          <w:color w:val="373A3C"/>
        </w:rPr>
      </w:pPr>
      <w:r>
        <w:rPr>
          <w:rFonts w:ascii="Arial" w:hAnsi="Arial" w:cs="Arial"/>
          <w:color w:val="373A3C"/>
          <w:lang w:val="en-GB"/>
        </w:rPr>
        <w:lastRenderedPageBreak/>
        <w:t xml:space="preserve">Mishra, M., </w:t>
      </w:r>
      <w:proofErr w:type="spellStart"/>
      <w:r>
        <w:rPr>
          <w:rFonts w:ascii="Arial" w:hAnsi="Arial" w:cs="Arial"/>
          <w:color w:val="373A3C"/>
          <w:lang w:val="en-GB"/>
        </w:rPr>
        <w:t>Kunde</w:t>
      </w:r>
      <w:proofErr w:type="spellEnd"/>
      <w:r>
        <w:rPr>
          <w:rFonts w:ascii="Arial" w:hAnsi="Arial" w:cs="Arial"/>
          <w:color w:val="373A3C"/>
          <w:lang w:val="en-GB"/>
        </w:rPr>
        <w:t xml:space="preserve">, S. and </w:t>
      </w:r>
      <w:proofErr w:type="spellStart"/>
      <w:r>
        <w:rPr>
          <w:rFonts w:ascii="Arial" w:hAnsi="Arial" w:cs="Arial"/>
          <w:color w:val="373A3C"/>
          <w:lang w:val="en-GB"/>
        </w:rPr>
        <w:t>Nambiar</w:t>
      </w:r>
      <w:proofErr w:type="spellEnd"/>
      <w:r>
        <w:rPr>
          <w:rFonts w:ascii="Arial" w:hAnsi="Arial" w:cs="Arial"/>
          <w:color w:val="373A3C"/>
          <w:lang w:val="en-GB"/>
        </w:rPr>
        <w:t>, M., 2018, September. Cracking the monolith: Challenges in data transitioning to cloud native architectures. In </w:t>
      </w:r>
      <w:r>
        <w:rPr>
          <w:rFonts w:ascii="Arial" w:hAnsi="Arial" w:cs="Arial"/>
          <w:i/>
          <w:iCs/>
          <w:color w:val="373A3C"/>
          <w:lang w:val="en-GB"/>
        </w:rPr>
        <w:t>Proceedings of the 12th European Conference on Software Architecture: Companion Proceedings</w:t>
      </w:r>
      <w:r>
        <w:rPr>
          <w:rFonts w:ascii="Arial" w:hAnsi="Arial" w:cs="Arial"/>
          <w:color w:val="373A3C"/>
          <w:lang w:val="en-GB"/>
        </w:rPr>
        <w:t> (pp. 1-4).</w:t>
      </w:r>
    </w:p>
    <w:p w:rsidR="00CF7E9C" w:rsidRDefault="00CF7E9C" w:rsidP="00CF7E9C">
      <w:pPr>
        <w:pStyle w:val="NormalWeb"/>
        <w:shd w:val="clear" w:color="auto" w:fill="FFFFFF"/>
        <w:spacing w:before="0" w:beforeAutospacing="0"/>
        <w:rPr>
          <w:rFonts w:ascii="Arial" w:hAnsi="Arial" w:cs="Arial"/>
          <w:color w:val="373A3C"/>
        </w:rPr>
      </w:pPr>
      <w:r>
        <w:rPr>
          <w:rFonts w:ascii="Arial" w:hAnsi="Arial" w:cs="Arial"/>
          <w:color w:val="373A3C"/>
          <w:lang w:val="en-GB"/>
        </w:rPr>
        <w:t xml:space="preserve">Janes, A. and Russo, B., 2019, October. Automatic performance monitoring and regression testing during the transition from monolith to </w:t>
      </w:r>
      <w:proofErr w:type="spellStart"/>
      <w:r>
        <w:rPr>
          <w:rFonts w:ascii="Arial" w:hAnsi="Arial" w:cs="Arial"/>
          <w:color w:val="373A3C"/>
          <w:lang w:val="en-GB"/>
        </w:rPr>
        <w:t>microservices</w:t>
      </w:r>
      <w:proofErr w:type="spellEnd"/>
      <w:r>
        <w:rPr>
          <w:rFonts w:ascii="Arial" w:hAnsi="Arial" w:cs="Arial"/>
          <w:color w:val="373A3C"/>
          <w:lang w:val="en-GB"/>
        </w:rPr>
        <w:t>. In </w:t>
      </w:r>
      <w:r>
        <w:rPr>
          <w:rFonts w:ascii="Arial" w:hAnsi="Arial" w:cs="Arial"/>
          <w:i/>
          <w:iCs/>
          <w:color w:val="373A3C"/>
          <w:lang w:val="en-GB"/>
        </w:rPr>
        <w:t>2019 IEEE International Symposium on Software Reliability Engineering Workshops (ISSREW)</w:t>
      </w:r>
      <w:r>
        <w:rPr>
          <w:rFonts w:ascii="Arial" w:hAnsi="Arial" w:cs="Arial"/>
          <w:color w:val="373A3C"/>
          <w:lang w:val="en-GB"/>
        </w:rPr>
        <w:t> (pp. 163-168). IEEE.</w:t>
      </w:r>
    </w:p>
    <w:p w:rsidR="00CF7E9C" w:rsidRDefault="00CF7E9C" w:rsidP="00CF7E9C">
      <w:pPr>
        <w:pStyle w:val="NormalWeb"/>
        <w:shd w:val="clear" w:color="auto" w:fill="FFFFFF"/>
        <w:spacing w:before="0" w:beforeAutospacing="0"/>
        <w:rPr>
          <w:rFonts w:ascii="Arial" w:hAnsi="Arial" w:cs="Arial"/>
          <w:color w:val="373A3C"/>
        </w:rPr>
      </w:pPr>
      <w:r>
        <w:rPr>
          <w:rFonts w:ascii="Arial" w:hAnsi="Arial" w:cs="Arial"/>
          <w:color w:val="373A3C"/>
          <w:lang w:val="en-GB"/>
        </w:rPr>
        <w:t> </w:t>
      </w:r>
    </w:p>
    <w:p w:rsidR="00DC1EB2" w:rsidRDefault="00DC1EB2">
      <w:bookmarkStart w:id="0" w:name="_GoBack"/>
      <w:bookmarkEnd w:id="0"/>
    </w:p>
    <w:sectPr w:rsidR="00DC1E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32E"/>
    <w:rsid w:val="0067332E"/>
    <w:rsid w:val="00CF7E9C"/>
    <w:rsid w:val="00DC1E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5E4FC5-FCA9-431E-8FA1-42849E915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7E9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1213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525</Words>
  <Characters>2998</Characters>
  <Application>Microsoft Office Word</Application>
  <DocSecurity>0</DocSecurity>
  <Lines>24</Lines>
  <Paragraphs>7</Paragraphs>
  <ScaleCrop>false</ScaleCrop>
  <Company/>
  <LinksUpToDate>false</LinksUpToDate>
  <CharactersWithSpaces>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QNB</cp:lastModifiedBy>
  <cp:revision>2</cp:revision>
  <dcterms:created xsi:type="dcterms:W3CDTF">2022-09-01T04:30:00Z</dcterms:created>
  <dcterms:modified xsi:type="dcterms:W3CDTF">2022-09-01T04:30:00Z</dcterms:modified>
</cp:coreProperties>
</file>