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7D" w:rsidRPr="00D8767D" w:rsidRDefault="00D8767D" w:rsidP="00D8767D">
      <w:pPr>
        <w:shd w:val="clear" w:color="auto" w:fill="FFFFFF"/>
        <w:spacing w:after="300" w:line="240" w:lineRule="auto"/>
        <w:outlineLvl w:val="1"/>
        <w:rPr>
          <w:rFonts w:ascii="Arial" w:eastAsia="Times New Roman" w:hAnsi="Arial" w:cs="Arial"/>
          <w:b/>
          <w:bCs/>
          <w:color w:val="373A3C"/>
          <w:sz w:val="36"/>
          <w:szCs w:val="36"/>
        </w:rPr>
      </w:pPr>
      <w:r w:rsidRPr="00D8767D">
        <w:rPr>
          <w:rFonts w:ascii="Arial" w:eastAsia="Times New Roman" w:hAnsi="Arial" w:cs="Arial"/>
          <w:b/>
          <w:bCs/>
          <w:color w:val="373A3C"/>
          <w:sz w:val="36"/>
          <w:szCs w:val="36"/>
        </w:rPr>
        <w:t>Unit 11: The Expert Witness</w:t>
      </w:r>
    </w:p>
    <w:p w:rsidR="00D8767D" w:rsidRPr="00D8767D" w:rsidRDefault="00D8767D" w:rsidP="00D8767D">
      <w:pPr>
        <w:shd w:val="clear" w:color="auto" w:fill="FFFFFF"/>
        <w:spacing w:after="100" w:afterAutospacing="1" w:line="240" w:lineRule="auto"/>
        <w:rPr>
          <w:rFonts w:ascii="Arial" w:eastAsia="Times New Roman" w:hAnsi="Arial" w:cs="Arial"/>
          <w:color w:val="373A3C"/>
          <w:sz w:val="24"/>
          <w:szCs w:val="24"/>
        </w:rPr>
      </w:pPr>
      <w:r w:rsidRPr="00D8767D">
        <w:rPr>
          <w:rFonts w:ascii="Arial" w:eastAsia="Times New Roman" w:hAnsi="Arial" w:cs="Arial"/>
          <w:color w:val="373A3C"/>
          <w:sz w:val="24"/>
          <w:szCs w:val="24"/>
        </w:rPr>
        <w:t>Welcome to Week 11.</w:t>
      </w:r>
    </w:p>
    <w:p w:rsidR="00D8767D" w:rsidRPr="00D8767D" w:rsidRDefault="00D8767D" w:rsidP="00D8767D">
      <w:pPr>
        <w:shd w:val="clear" w:color="auto" w:fill="FFFFFF"/>
        <w:spacing w:after="100" w:afterAutospacing="1" w:line="240" w:lineRule="auto"/>
        <w:rPr>
          <w:rFonts w:ascii="Arial" w:eastAsia="Times New Roman" w:hAnsi="Arial" w:cs="Arial"/>
          <w:color w:val="373A3C"/>
          <w:sz w:val="24"/>
          <w:szCs w:val="24"/>
        </w:rPr>
      </w:pPr>
      <w:r w:rsidRPr="00D8767D">
        <w:rPr>
          <w:rFonts w:ascii="Arial" w:eastAsia="Times New Roman" w:hAnsi="Arial" w:cs="Arial"/>
          <w:color w:val="373A3C"/>
          <w:sz w:val="24"/>
          <w:szCs w:val="24"/>
        </w:rPr>
        <w:t>This week’s learning explores concerns related to the digital expert witness. The learning should lead you towards the questioning of bias and accuracy, as well as expertise. You will look at some of the following aspects, implications and issues:</w:t>
      </w:r>
    </w:p>
    <w:p w:rsidR="00D8767D" w:rsidRPr="00D8767D" w:rsidRDefault="00D8767D" w:rsidP="00D8767D">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8767D">
        <w:rPr>
          <w:rFonts w:ascii="Arial" w:eastAsia="Times New Roman" w:hAnsi="Arial" w:cs="Arial"/>
          <w:color w:val="373A3C"/>
          <w:sz w:val="24"/>
          <w:szCs w:val="24"/>
        </w:rPr>
        <w:t>Rules around expert evidence in different jurisdictions.</w:t>
      </w:r>
    </w:p>
    <w:p w:rsidR="00D8767D" w:rsidRPr="00D8767D" w:rsidRDefault="00D8767D" w:rsidP="00D8767D">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8767D">
        <w:rPr>
          <w:rFonts w:ascii="Arial" w:eastAsia="Times New Roman" w:hAnsi="Arial" w:cs="Arial"/>
          <w:color w:val="373A3C"/>
          <w:sz w:val="24"/>
          <w:szCs w:val="24"/>
        </w:rPr>
        <w:t>Presenting your findings.</w:t>
      </w:r>
    </w:p>
    <w:p w:rsidR="00D8767D" w:rsidRPr="00D8767D" w:rsidRDefault="00D8767D" w:rsidP="00D8767D">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8767D">
        <w:rPr>
          <w:rFonts w:ascii="Arial" w:eastAsia="Times New Roman" w:hAnsi="Arial" w:cs="Arial"/>
          <w:color w:val="373A3C"/>
          <w:sz w:val="24"/>
          <w:szCs w:val="24"/>
        </w:rPr>
        <w:t>Making complex data accessible to a lay audience.</w:t>
      </w:r>
    </w:p>
    <w:p w:rsidR="00D8767D" w:rsidRPr="00D8767D" w:rsidRDefault="00D8767D" w:rsidP="00D8767D">
      <w:pPr>
        <w:shd w:val="clear" w:color="auto" w:fill="FFFFFF"/>
        <w:spacing w:before="525" w:after="375" w:line="240" w:lineRule="auto"/>
        <w:outlineLvl w:val="3"/>
        <w:rPr>
          <w:rFonts w:ascii="Arial" w:eastAsia="Times New Roman" w:hAnsi="Arial" w:cs="Arial"/>
          <w:b/>
          <w:bCs/>
          <w:color w:val="373A3C"/>
          <w:sz w:val="24"/>
          <w:szCs w:val="24"/>
        </w:rPr>
      </w:pPr>
      <w:r w:rsidRPr="00D8767D">
        <w:rPr>
          <w:rFonts w:ascii="Arial" w:eastAsia="Times New Roman" w:hAnsi="Arial" w:cs="Arial"/>
          <w:b/>
          <w:bCs/>
          <w:color w:val="373A3C"/>
          <w:sz w:val="24"/>
          <w:szCs w:val="24"/>
        </w:rPr>
        <w:t>On completion of this unit you will be able to:</w:t>
      </w:r>
    </w:p>
    <w:p w:rsidR="00D8767D" w:rsidRPr="00D8767D" w:rsidRDefault="00D8767D" w:rsidP="00D8767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8767D">
        <w:rPr>
          <w:rFonts w:ascii="Arial" w:eastAsia="Times New Roman" w:hAnsi="Arial" w:cs="Arial"/>
          <w:color w:val="373A3C"/>
          <w:sz w:val="24"/>
          <w:szCs w:val="24"/>
        </w:rPr>
        <w:t>Explore issues concerning expert witness.</w:t>
      </w:r>
    </w:p>
    <w:p w:rsidR="00D8767D" w:rsidRPr="00D8767D" w:rsidRDefault="00D8767D" w:rsidP="00D8767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8767D">
        <w:rPr>
          <w:rFonts w:ascii="Arial" w:eastAsia="Times New Roman" w:hAnsi="Arial" w:cs="Arial"/>
          <w:color w:val="373A3C"/>
          <w:sz w:val="24"/>
          <w:szCs w:val="24"/>
        </w:rPr>
        <w:t>Practice critical thinking skills.</w:t>
      </w:r>
    </w:p>
    <w:p w:rsidR="00D8767D" w:rsidRDefault="00D8767D" w:rsidP="00D8767D">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D8767D">
        <w:rPr>
          <w:rFonts w:ascii="Arial" w:eastAsia="Times New Roman" w:hAnsi="Arial" w:cs="Arial"/>
          <w:color w:val="373A3C"/>
          <w:sz w:val="24"/>
          <w:szCs w:val="24"/>
        </w:rPr>
        <w:t>Practice research skills.</w:t>
      </w:r>
    </w:p>
    <w:p w:rsidR="00AE7625" w:rsidRPr="00D8767D" w:rsidRDefault="00AE7625" w:rsidP="00AE7625">
      <w:pPr>
        <w:shd w:val="clear" w:color="auto" w:fill="FFFFFF"/>
        <w:spacing w:before="100" w:beforeAutospacing="1" w:after="100" w:afterAutospacing="1" w:line="240" w:lineRule="auto"/>
        <w:ind w:left="300"/>
        <w:rPr>
          <w:rFonts w:ascii="Arial" w:eastAsia="Times New Roman" w:hAnsi="Arial" w:cs="Arial"/>
          <w:color w:val="373A3C"/>
          <w:sz w:val="24"/>
          <w:szCs w:val="24"/>
        </w:rPr>
      </w:pPr>
    </w:p>
    <w:p w:rsidR="00AE7625" w:rsidRDefault="00AE7625" w:rsidP="00AE7625">
      <w:pPr>
        <w:pStyle w:val="NormalWeb"/>
        <w:numPr>
          <w:ilvl w:val="0"/>
          <w:numId w:val="2"/>
        </w:numPr>
        <w:shd w:val="clear" w:color="auto" w:fill="FFFFFF"/>
        <w:spacing w:before="0" w:beforeAutospacing="0"/>
        <w:rPr>
          <w:rFonts w:ascii="Arial" w:hAnsi="Arial" w:cs="Arial"/>
          <w:color w:val="373A3C"/>
        </w:rPr>
      </w:pPr>
      <w:r>
        <w:rPr>
          <w:rFonts w:ascii="Arial" w:hAnsi="Arial" w:cs="Arial"/>
          <w:b/>
          <w:bCs/>
          <w:color w:val="373A3C"/>
        </w:rPr>
        <w:t>Seminar 6</w:t>
      </w:r>
    </w:p>
    <w:p w:rsidR="00AE7625" w:rsidRDefault="00AE7625" w:rsidP="00AE7625">
      <w:pPr>
        <w:pStyle w:val="Heading4"/>
        <w:numPr>
          <w:ilvl w:val="0"/>
          <w:numId w:val="2"/>
        </w:numPr>
        <w:shd w:val="clear" w:color="auto" w:fill="FFFFFF"/>
        <w:spacing w:before="525" w:beforeAutospacing="0" w:after="375" w:afterAutospacing="0"/>
        <w:rPr>
          <w:rFonts w:ascii="Arial" w:hAnsi="Arial" w:cs="Arial"/>
          <w:color w:val="373A3C"/>
        </w:rPr>
      </w:pPr>
      <w:r>
        <w:rPr>
          <w:rFonts w:ascii="Arial" w:hAnsi="Arial" w:cs="Arial"/>
          <w:color w:val="373A3C"/>
        </w:rPr>
        <w:t>Title: </w:t>
      </w:r>
      <w:r>
        <w:rPr>
          <w:rFonts w:ascii="Arial" w:hAnsi="Arial" w:cs="Arial"/>
          <w:color w:val="373A3C"/>
          <w:lang w:val="en"/>
        </w:rPr>
        <w:t>Digital forensic expert evidence standards and Case Study Review</w:t>
      </w:r>
    </w:p>
    <w:p w:rsidR="00AE7625" w:rsidRDefault="00AE7625" w:rsidP="00AE7625">
      <w:pPr>
        <w:pStyle w:val="NormalWeb"/>
        <w:numPr>
          <w:ilvl w:val="0"/>
          <w:numId w:val="2"/>
        </w:numPr>
        <w:shd w:val="clear" w:color="auto" w:fill="FFFFFF"/>
        <w:spacing w:before="0" w:beforeAutospacing="0"/>
        <w:rPr>
          <w:rFonts w:ascii="Arial" w:hAnsi="Arial" w:cs="Arial"/>
          <w:color w:val="373A3C"/>
        </w:rPr>
      </w:pPr>
      <w:r>
        <w:rPr>
          <w:rFonts w:ascii="Arial" w:hAnsi="Arial" w:cs="Arial"/>
          <w:color w:val="373A3C"/>
        </w:rPr>
        <w:t>Join the </w:t>
      </w:r>
      <w:hyperlink r:id="rId5" w:tgtFrame="_blank" w:history="1">
        <w:r>
          <w:rPr>
            <w:rStyle w:val="Hyperlink"/>
            <w:rFonts w:ascii="Arial" w:hAnsi="Arial" w:cs="Arial"/>
            <w:b/>
            <w:bCs/>
            <w:color w:val="622567"/>
          </w:rPr>
          <w:t>Seminar Session</w:t>
        </w:r>
      </w:hyperlink>
      <w:r>
        <w:rPr>
          <w:rFonts w:ascii="Arial" w:hAnsi="Arial" w:cs="Arial"/>
          <w:color w:val="373A3C"/>
        </w:rPr>
        <w:t> this week. Remember to bring the seminar questions and your attempted answers.</w:t>
      </w:r>
    </w:p>
    <w:p w:rsidR="00AE7625" w:rsidRDefault="00AE7625" w:rsidP="00AE7625">
      <w:pPr>
        <w:pStyle w:val="NormalWeb"/>
        <w:numPr>
          <w:ilvl w:val="0"/>
          <w:numId w:val="2"/>
        </w:numPr>
        <w:shd w:val="clear" w:color="auto" w:fill="FFFFFF"/>
        <w:spacing w:before="0" w:beforeAutospacing="0"/>
        <w:rPr>
          <w:rFonts w:ascii="Arial" w:hAnsi="Arial" w:cs="Arial"/>
          <w:color w:val="373A3C"/>
        </w:rPr>
      </w:pPr>
      <w:r>
        <w:rPr>
          <w:rFonts w:ascii="Arial" w:hAnsi="Arial" w:cs="Arial"/>
          <w:color w:val="373A3C"/>
        </w:rPr>
        <w:t>Visit the ‘Seminar 6 preparation’ below to complete the activities prior to the seminar session. As we will discuss these concepts in the seminar session, ensure you have completed the activities before this week’s Seminar session.</w:t>
      </w:r>
    </w:p>
    <w:p w:rsidR="00190884" w:rsidRDefault="00190884" w:rsidP="00190884">
      <w:pPr>
        <w:pStyle w:val="NormalWeb"/>
        <w:shd w:val="clear" w:color="auto" w:fill="FFFFFF"/>
        <w:spacing w:before="0" w:beforeAutospacing="0"/>
        <w:rPr>
          <w:rFonts w:ascii="Arial" w:hAnsi="Arial" w:cs="Arial"/>
          <w:color w:val="373A3C"/>
        </w:rPr>
      </w:pPr>
    </w:p>
    <w:p w:rsidR="00190884" w:rsidRPr="00190884" w:rsidRDefault="00190884" w:rsidP="00190884">
      <w:pPr>
        <w:shd w:val="clear" w:color="auto" w:fill="FFFFFF"/>
        <w:spacing w:after="300" w:line="240" w:lineRule="auto"/>
        <w:outlineLvl w:val="1"/>
        <w:rPr>
          <w:rFonts w:ascii="Arial" w:eastAsia="Times New Roman" w:hAnsi="Arial" w:cs="Arial"/>
          <w:b/>
          <w:bCs/>
          <w:color w:val="373A3C"/>
          <w:sz w:val="36"/>
          <w:szCs w:val="36"/>
        </w:rPr>
      </w:pPr>
      <w:r w:rsidRPr="00190884">
        <w:rPr>
          <w:rFonts w:ascii="Arial" w:eastAsia="Times New Roman" w:hAnsi="Arial" w:cs="Arial"/>
          <w:b/>
          <w:bCs/>
          <w:color w:val="373A3C"/>
          <w:sz w:val="36"/>
          <w:szCs w:val="36"/>
        </w:rPr>
        <w:t>Seminar 6 preparation</w:t>
      </w:r>
    </w:p>
    <w:p w:rsidR="00190884" w:rsidRPr="00190884" w:rsidRDefault="00190884" w:rsidP="00190884">
      <w:pPr>
        <w:shd w:val="clear" w:color="auto" w:fill="FFFFFF"/>
        <w:spacing w:before="525" w:after="375" w:line="240" w:lineRule="auto"/>
        <w:outlineLvl w:val="3"/>
        <w:rPr>
          <w:rFonts w:ascii="Arial" w:eastAsia="Times New Roman" w:hAnsi="Arial" w:cs="Arial"/>
          <w:b/>
          <w:bCs/>
          <w:color w:val="373A3C"/>
          <w:sz w:val="24"/>
          <w:szCs w:val="24"/>
        </w:rPr>
      </w:pPr>
      <w:r w:rsidRPr="00190884">
        <w:rPr>
          <w:rFonts w:ascii="Arial" w:eastAsia="Times New Roman" w:hAnsi="Arial" w:cs="Arial"/>
          <w:b/>
          <w:bCs/>
          <w:color w:val="373A3C"/>
          <w:sz w:val="24"/>
          <w:szCs w:val="24"/>
        </w:rPr>
        <w:t>Activity 1</w:t>
      </w:r>
    </w:p>
    <w:p w:rsidR="00190884" w:rsidRPr="00190884" w:rsidRDefault="00190884" w:rsidP="00190884">
      <w:pPr>
        <w:shd w:val="clear" w:color="auto" w:fill="FFFFFF"/>
        <w:spacing w:after="100" w:afterAutospacing="1" w:line="240" w:lineRule="auto"/>
        <w:rPr>
          <w:rFonts w:ascii="Arial" w:eastAsia="Times New Roman" w:hAnsi="Arial" w:cs="Arial"/>
          <w:color w:val="373A3C"/>
          <w:sz w:val="24"/>
          <w:szCs w:val="24"/>
        </w:rPr>
      </w:pPr>
      <w:r w:rsidRPr="00190884">
        <w:rPr>
          <w:rFonts w:ascii="Arial" w:eastAsia="Times New Roman" w:hAnsi="Arial" w:cs="Arial"/>
          <w:color w:val="373A3C"/>
          <w:sz w:val="24"/>
          <w:szCs w:val="24"/>
        </w:rPr>
        <w:t xml:space="preserve">Read </w:t>
      </w:r>
      <w:proofErr w:type="spellStart"/>
      <w:r w:rsidRPr="00190884">
        <w:rPr>
          <w:rFonts w:ascii="Arial" w:eastAsia="Times New Roman" w:hAnsi="Arial" w:cs="Arial"/>
          <w:color w:val="373A3C"/>
          <w:sz w:val="24"/>
          <w:szCs w:val="24"/>
        </w:rPr>
        <w:t>Karie</w:t>
      </w:r>
      <w:proofErr w:type="spellEnd"/>
      <w:r w:rsidRPr="00190884">
        <w:rPr>
          <w:rFonts w:ascii="Arial" w:eastAsia="Times New Roman" w:hAnsi="Arial" w:cs="Arial"/>
          <w:color w:val="373A3C"/>
          <w:sz w:val="24"/>
          <w:szCs w:val="24"/>
        </w:rPr>
        <w:t xml:space="preserve"> et al. (2019) and answer these questions:</w:t>
      </w:r>
    </w:p>
    <w:p w:rsidR="00190884" w:rsidRPr="00190884" w:rsidRDefault="00190884" w:rsidP="00190884">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rPr>
      </w:pPr>
      <w:r w:rsidRPr="00190884">
        <w:rPr>
          <w:rFonts w:ascii="Arial" w:eastAsia="Times New Roman" w:hAnsi="Arial" w:cs="Arial"/>
          <w:color w:val="373A3C"/>
          <w:sz w:val="24"/>
          <w:szCs w:val="24"/>
        </w:rPr>
        <w:t>What is according to the authors the importance of ISO/IEC 27043:2015 guidance for digital investigation?</w:t>
      </w:r>
    </w:p>
    <w:p w:rsidR="00190884" w:rsidRPr="00190884" w:rsidRDefault="00190884" w:rsidP="00190884">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rPr>
      </w:pPr>
      <w:r w:rsidRPr="00190884">
        <w:rPr>
          <w:rFonts w:ascii="Arial" w:eastAsia="Times New Roman" w:hAnsi="Arial" w:cs="Arial"/>
          <w:color w:val="373A3C"/>
          <w:sz w:val="24"/>
          <w:szCs w:val="24"/>
        </w:rPr>
        <w:t>What is the authors’ recommendation as to digital forensic standard of reporting?</w:t>
      </w:r>
    </w:p>
    <w:p w:rsidR="00190884" w:rsidRPr="00190884" w:rsidRDefault="00190884" w:rsidP="00190884">
      <w:pPr>
        <w:numPr>
          <w:ilvl w:val="0"/>
          <w:numId w:val="3"/>
        </w:numPr>
        <w:shd w:val="clear" w:color="auto" w:fill="FFFFFF"/>
        <w:spacing w:before="100" w:beforeAutospacing="1" w:after="100" w:afterAutospacing="1" w:line="240" w:lineRule="auto"/>
        <w:rPr>
          <w:rFonts w:ascii="Arial" w:eastAsia="Times New Roman" w:hAnsi="Arial" w:cs="Arial"/>
          <w:color w:val="373A3C"/>
          <w:sz w:val="24"/>
          <w:szCs w:val="24"/>
        </w:rPr>
      </w:pPr>
      <w:r w:rsidRPr="00190884">
        <w:rPr>
          <w:rFonts w:ascii="Arial" w:eastAsia="Times New Roman" w:hAnsi="Arial" w:cs="Arial"/>
          <w:color w:val="373A3C"/>
          <w:sz w:val="24"/>
          <w:szCs w:val="24"/>
        </w:rPr>
        <w:lastRenderedPageBreak/>
        <w:t>What key factors do the authors identify to further improve reporting?</w:t>
      </w:r>
    </w:p>
    <w:p w:rsidR="00190884" w:rsidRPr="00190884" w:rsidRDefault="00190884" w:rsidP="00190884">
      <w:pPr>
        <w:shd w:val="clear" w:color="auto" w:fill="FFFFFF"/>
        <w:spacing w:before="525" w:after="375" w:line="240" w:lineRule="auto"/>
        <w:outlineLvl w:val="3"/>
        <w:rPr>
          <w:rFonts w:ascii="Arial" w:eastAsia="Times New Roman" w:hAnsi="Arial" w:cs="Arial"/>
          <w:b/>
          <w:bCs/>
          <w:color w:val="373A3C"/>
          <w:sz w:val="24"/>
          <w:szCs w:val="24"/>
        </w:rPr>
      </w:pPr>
      <w:r w:rsidRPr="00190884">
        <w:rPr>
          <w:rFonts w:ascii="Arial" w:eastAsia="Times New Roman" w:hAnsi="Arial" w:cs="Arial"/>
          <w:b/>
          <w:bCs/>
          <w:color w:val="373A3C"/>
          <w:sz w:val="24"/>
          <w:szCs w:val="24"/>
        </w:rPr>
        <w:t>Activity 2</w:t>
      </w:r>
    </w:p>
    <w:p w:rsidR="00190884" w:rsidRPr="00190884" w:rsidRDefault="00190884" w:rsidP="00190884">
      <w:pPr>
        <w:numPr>
          <w:ilvl w:val="0"/>
          <w:numId w:val="4"/>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90884">
        <w:rPr>
          <w:rFonts w:ascii="Arial" w:eastAsia="Times New Roman" w:hAnsi="Arial" w:cs="Arial"/>
          <w:color w:val="373A3C"/>
          <w:sz w:val="24"/>
          <w:szCs w:val="24"/>
        </w:rPr>
        <w:t>Go back to the case study you used in MMA2.</w:t>
      </w:r>
    </w:p>
    <w:p w:rsidR="00190884" w:rsidRPr="00190884" w:rsidRDefault="00190884" w:rsidP="00190884">
      <w:pPr>
        <w:numPr>
          <w:ilvl w:val="0"/>
          <w:numId w:val="4"/>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90884">
        <w:rPr>
          <w:rFonts w:ascii="Arial" w:eastAsia="Times New Roman" w:hAnsi="Arial" w:cs="Arial"/>
          <w:color w:val="373A3C"/>
          <w:sz w:val="24"/>
          <w:szCs w:val="24"/>
        </w:rPr>
        <w:t xml:space="preserve">Read the brief for </w:t>
      </w:r>
      <w:proofErr w:type="spellStart"/>
      <w:r w:rsidRPr="00190884">
        <w:rPr>
          <w:rFonts w:ascii="Arial" w:eastAsia="Times New Roman" w:hAnsi="Arial" w:cs="Arial"/>
          <w:color w:val="373A3C"/>
          <w:sz w:val="24"/>
          <w:szCs w:val="24"/>
        </w:rPr>
        <w:t>EoAM</w:t>
      </w:r>
      <w:proofErr w:type="spellEnd"/>
      <w:r w:rsidRPr="00190884">
        <w:rPr>
          <w:rFonts w:ascii="Arial" w:eastAsia="Times New Roman" w:hAnsi="Arial" w:cs="Arial"/>
          <w:color w:val="373A3C"/>
          <w:sz w:val="24"/>
          <w:szCs w:val="24"/>
        </w:rPr>
        <w:t>; map out your report based on the brief.</w:t>
      </w:r>
    </w:p>
    <w:p w:rsidR="00190884" w:rsidRPr="00190884" w:rsidRDefault="00190884" w:rsidP="00190884">
      <w:pPr>
        <w:numPr>
          <w:ilvl w:val="0"/>
          <w:numId w:val="4"/>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90884">
        <w:rPr>
          <w:rFonts w:ascii="Arial" w:eastAsia="Times New Roman" w:hAnsi="Arial" w:cs="Arial"/>
          <w:color w:val="373A3C"/>
          <w:sz w:val="24"/>
          <w:szCs w:val="24"/>
        </w:rPr>
        <w:t>Record in your e-Portfolio an initial bibliographical list that you have identified in the above preliminary internet research.</w:t>
      </w:r>
    </w:p>
    <w:p w:rsidR="00190884" w:rsidRPr="00190884" w:rsidRDefault="00190884" w:rsidP="00190884">
      <w:pPr>
        <w:shd w:val="clear" w:color="auto" w:fill="FFFFFF"/>
        <w:spacing w:after="100" w:afterAutospacing="1" w:line="240" w:lineRule="auto"/>
        <w:rPr>
          <w:rFonts w:ascii="Arial" w:eastAsia="Times New Roman" w:hAnsi="Arial" w:cs="Arial"/>
          <w:color w:val="373A3C"/>
          <w:sz w:val="24"/>
          <w:szCs w:val="24"/>
        </w:rPr>
      </w:pPr>
      <w:r w:rsidRPr="00190884">
        <w:rPr>
          <w:rFonts w:ascii="Arial" w:eastAsia="Times New Roman" w:hAnsi="Arial" w:cs="Arial"/>
          <w:color w:val="373A3C"/>
          <w:sz w:val="24"/>
          <w:szCs w:val="24"/>
        </w:rPr>
        <w:t>Please come to seminar with any question that you might have on the activities completed so far.</w:t>
      </w:r>
    </w:p>
    <w:p w:rsidR="00190884" w:rsidRPr="00190884" w:rsidRDefault="00190884" w:rsidP="00190884">
      <w:pPr>
        <w:shd w:val="clear" w:color="auto" w:fill="FFFFFF"/>
        <w:spacing w:before="525" w:after="375" w:line="240" w:lineRule="auto"/>
        <w:outlineLvl w:val="3"/>
        <w:rPr>
          <w:rFonts w:ascii="Arial" w:eastAsia="Times New Roman" w:hAnsi="Arial" w:cs="Arial"/>
          <w:b/>
          <w:bCs/>
          <w:color w:val="373A3C"/>
          <w:sz w:val="24"/>
          <w:szCs w:val="24"/>
        </w:rPr>
      </w:pPr>
      <w:r w:rsidRPr="00190884">
        <w:rPr>
          <w:rFonts w:ascii="Arial" w:eastAsia="Times New Roman" w:hAnsi="Arial" w:cs="Arial"/>
          <w:b/>
          <w:bCs/>
          <w:color w:val="373A3C"/>
          <w:sz w:val="24"/>
          <w:szCs w:val="24"/>
        </w:rPr>
        <w:t>Learning Outcomes</w:t>
      </w:r>
    </w:p>
    <w:p w:rsidR="00190884" w:rsidRPr="00190884" w:rsidRDefault="00190884" w:rsidP="00190884">
      <w:pPr>
        <w:numPr>
          <w:ilvl w:val="0"/>
          <w:numId w:val="5"/>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90884">
        <w:rPr>
          <w:rFonts w:ascii="Arial" w:eastAsia="Times New Roman" w:hAnsi="Arial" w:cs="Arial"/>
          <w:color w:val="373A3C"/>
          <w:sz w:val="24"/>
          <w:szCs w:val="24"/>
        </w:rPr>
        <w:t>Critically appraise the global legal and regulatory environment as it applies to cyberspace, and compliance requirements, including the GDPR and the obligations it imposes.</w:t>
      </w:r>
    </w:p>
    <w:p w:rsidR="00190884" w:rsidRPr="00190884" w:rsidRDefault="00190884" w:rsidP="00190884">
      <w:pPr>
        <w:numPr>
          <w:ilvl w:val="0"/>
          <w:numId w:val="5"/>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90884">
        <w:rPr>
          <w:rFonts w:ascii="Arial" w:eastAsia="Times New Roman" w:hAnsi="Arial" w:cs="Arial"/>
          <w:color w:val="373A3C"/>
          <w:sz w:val="24"/>
          <w:szCs w:val="24"/>
        </w:rPr>
        <w:t>Critically evaluate different types of evidence and collection and presentation techniques, underpinned by the principles of continuity of evidence and reliability of analytical tools and techniques.</w:t>
      </w:r>
    </w:p>
    <w:p w:rsidR="00190884" w:rsidRDefault="00190884" w:rsidP="00190884">
      <w:pPr>
        <w:pStyle w:val="NormalWeb"/>
        <w:shd w:val="clear" w:color="auto" w:fill="FFFFFF"/>
        <w:spacing w:before="0" w:beforeAutospacing="0"/>
        <w:rPr>
          <w:rFonts w:ascii="Arial" w:hAnsi="Arial" w:cs="Arial"/>
          <w:color w:val="373A3C"/>
        </w:rPr>
      </w:pPr>
      <w:bookmarkStart w:id="0" w:name="_GoBack"/>
      <w:bookmarkEnd w:id="0"/>
    </w:p>
    <w:p w:rsidR="00C732D0" w:rsidRDefault="00C732D0"/>
    <w:sectPr w:rsidR="00C7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C6B"/>
    <w:multiLevelType w:val="multilevel"/>
    <w:tmpl w:val="1C9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860C5"/>
    <w:multiLevelType w:val="multilevel"/>
    <w:tmpl w:val="7DC8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F0B1F"/>
    <w:multiLevelType w:val="multilevel"/>
    <w:tmpl w:val="8E7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329BA"/>
    <w:multiLevelType w:val="multilevel"/>
    <w:tmpl w:val="185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3472EB"/>
    <w:multiLevelType w:val="multilevel"/>
    <w:tmpl w:val="C19E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20"/>
    <w:rsid w:val="00190884"/>
    <w:rsid w:val="002C2220"/>
    <w:rsid w:val="00AE7625"/>
    <w:rsid w:val="00C732D0"/>
    <w:rsid w:val="00D87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BD11"/>
  <w15:chartTrackingRefBased/>
  <w15:docId w15:val="{1F3AA5B6-94C1-4FB1-89AE-9068696C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7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876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6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876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7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E7625"/>
  </w:style>
  <w:style w:type="character" w:styleId="Hyperlink">
    <w:name w:val="Hyperlink"/>
    <w:basedOn w:val="DefaultParagraphFont"/>
    <w:uiPriority w:val="99"/>
    <w:semiHidden/>
    <w:unhideWhenUsed/>
    <w:rsid w:val="00AE7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6227">
      <w:bodyDiv w:val="1"/>
      <w:marLeft w:val="0"/>
      <w:marRight w:val="0"/>
      <w:marTop w:val="0"/>
      <w:marBottom w:val="0"/>
      <w:divBdr>
        <w:top w:val="none" w:sz="0" w:space="0" w:color="auto"/>
        <w:left w:val="none" w:sz="0" w:space="0" w:color="auto"/>
        <w:bottom w:val="none" w:sz="0" w:space="0" w:color="auto"/>
        <w:right w:val="none" w:sz="0" w:space="0" w:color="auto"/>
      </w:divBdr>
      <w:divsChild>
        <w:div w:id="681052938">
          <w:marLeft w:val="0"/>
          <w:marRight w:val="0"/>
          <w:marTop w:val="0"/>
          <w:marBottom w:val="0"/>
          <w:divBdr>
            <w:top w:val="none" w:sz="0" w:space="0" w:color="auto"/>
            <w:left w:val="none" w:sz="0" w:space="0" w:color="auto"/>
            <w:bottom w:val="none" w:sz="0" w:space="0" w:color="auto"/>
            <w:right w:val="none" w:sz="0" w:space="0" w:color="auto"/>
          </w:divBdr>
        </w:div>
      </w:divsChild>
    </w:div>
    <w:div w:id="883519309">
      <w:bodyDiv w:val="1"/>
      <w:marLeft w:val="0"/>
      <w:marRight w:val="0"/>
      <w:marTop w:val="0"/>
      <w:marBottom w:val="0"/>
      <w:divBdr>
        <w:top w:val="none" w:sz="0" w:space="0" w:color="auto"/>
        <w:left w:val="none" w:sz="0" w:space="0" w:color="auto"/>
        <w:bottom w:val="none" w:sz="0" w:space="0" w:color="auto"/>
        <w:right w:val="none" w:sz="0" w:space="0" w:color="auto"/>
      </w:divBdr>
    </w:div>
    <w:div w:id="156371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course.co.uk/course/view.php?id=8901&amp;sec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2022-09-21T03:13:00Z</dcterms:created>
  <dcterms:modified xsi:type="dcterms:W3CDTF">2022-09-21T03:20:00Z</dcterms:modified>
</cp:coreProperties>
</file>