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CAE" w:rsidRPr="007C3CAE" w:rsidRDefault="007C3CAE" w:rsidP="002E397F">
      <w:pPr>
        <w:spacing w:after="0" w:line="240" w:lineRule="auto"/>
        <w:rPr>
          <w:rFonts w:asciiTheme="minorBidi" w:eastAsia="Times New Roman" w:hAnsiTheme="minorBidi"/>
          <w:color w:val="000000" w:themeColor="text1"/>
          <w:sz w:val="24"/>
          <w:szCs w:val="24"/>
        </w:rPr>
      </w:pPr>
      <w:r w:rsidRPr="00DD2CA5">
        <w:rPr>
          <w:rFonts w:asciiTheme="minorBidi" w:eastAsia="Times New Roman" w:hAnsiTheme="minorBidi"/>
          <w:color w:val="000000" w:themeColor="text1"/>
          <w:sz w:val="24"/>
          <w:szCs w:val="24"/>
        </w:rPr>
        <w:t>There is a fine line between law enforcement's capacity to investigate crimes and people' right to privacy online, and Walden describes how the rise of cybercrime is disrupting that balance. </w:t>
      </w:r>
      <w:bookmarkStart w:id="0" w:name="_GoBack"/>
      <w:bookmarkEnd w:id="0"/>
      <w:r w:rsidRPr="00DD2CA5">
        <w:rPr>
          <w:rFonts w:asciiTheme="minorBidi" w:eastAsia="Times New Roman" w:hAnsiTheme="minorBidi"/>
          <w:color w:val="000000" w:themeColor="text1"/>
          <w:sz w:val="24"/>
          <w:szCs w:val="24"/>
          <w:shd w:val="clear" w:color="auto" w:fill="FFFFFF"/>
        </w:rPr>
        <w:t>The author elaborates on specific examples where they feel this balance was struck, such as the need to acquire a warrant for search on devices prior to executing the search or the need to pay for a personal data while conducting the inquiry to guarantee superfluous requests are avoided.</w:t>
      </w:r>
    </w:p>
    <w:p w:rsidR="007C3CAE" w:rsidRPr="007C3CAE" w:rsidRDefault="007C3CAE" w:rsidP="007C3CAE">
      <w:pPr>
        <w:spacing w:after="0" w:line="240" w:lineRule="auto"/>
        <w:rPr>
          <w:rFonts w:ascii="Times New Roman" w:eastAsia="Times New Roman" w:hAnsi="Times New Roman" w:cs="Times New Roman"/>
          <w:color w:val="000000" w:themeColor="text1"/>
          <w:sz w:val="24"/>
          <w:szCs w:val="24"/>
        </w:rPr>
      </w:pPr>
    </w:p>
    <w:p w:rsidR="007C3CAE" w:rsidRPr="007C3CAE" w:rsidRDefault="007C3CAE" w:rsidP="007C3CAE">
      <w:pPr>
        <w:spacing w:after="0" w:line="240" w:lineRule="auto"/>
        <w:rPr>
          <w:rFonts w:ascii="Times New Roman" w:eastAsia="Times New Roman" w:hAnsi="Times New Roman" w:cs="Times New Roman"/>
          <w:color w:val="000000" w:themeColor="text1"/>
          <w:sz w:val="24"/>
          <w:szCs w:val="24"/>
        </w:rPr>
      </w:pPr>
      <w:r w:rsidRPr="007C3CAE">
        <w:rPr>
          <w:rFonts w:ascii="Arial" w:eastAsia="Times New Roman" w:hAnsi="Arial" w:cs="Arial"/>
          <w:color w:val="000000" w:themeColor="text1"/>
          <w:sz w:val="24"/>
          <w:szCs w:val="24"/>
          <w:shd w:val="clear" w:color="auto" w:fill="FFFFFF"/>
        </w:rPr>
        <w:t>I agree with the author that there has been an increase in the enforcement of laws at the price of individual liberty. For instance, Amnesty International is planning to sue the UK government in 2020 because of the GCHQ's suspected involvement in a huge spying operation dubbed Tempora, which was supposedly carried out without the government's knowledge or the agreement of the people of the UK.</w:t>
      </w:r>
      <w:r w:rsidRPr="007C3CAE">
        <w:rPr>
          <w:rFonts w:ascii="Arial" w:eastAsia="Times New Roman" w:hAnsi="Arial" w:cs="Arial"/>
          <w:color w:val="000000" w:themeColor="text1"/>
          <w:sz w:val="24"/>
          <w:szCs w:val="24"/>
          <w:shd w:val="clear" w:color="auto" w:fill="FFFFFF"/>
        </w:rPr>
        <w:br/>
      </w:r>
    </w:p>
    <w:p w:rsidR="007C3CAE" w:rsidRPr="007C3CAE" w:rsidRDefault="007C3CAE" w:rsidP="007C3CAE">
      <w:pPr>
        <w:spacing w:after="0" w:line="240" w:lineRule="auto"/>
        <w:rPr>
          <w:rFonts w:ascii="Times New Roman" w:eastAsia="Times New Roman" w:hAnsi="Times New Roman" w:cs="Times New Roman"/>
          <w:color w:val="000000" w:themeColor="text1"/>
          <w:sz w:val="24"/>
          <w:szCs w:val="24"/>
        </w:rPr>
      </w:pPr>
      <w:r w:rsidRPr="007C3CAE">
        <w:rPr>
          <w:rFonts w:ascii="Arial" w:eastAsia="Times New Roman" w:hAnsi="Arial" w:cs="Arial"/>
          <w:color w:val="000000" w:themeColor="text1"/>
          <w:sz w:val="24"/>
          <w:szCs w:val="24"/>
          <w:shd w:val="clear" w:color="auto" w:fill="FFFFFF"/>
        </w:rPr>
        <w:t>Bryant and Kennedy (2014) highlight the change in investigators' priorities from securing convictions to uncovering the truth, which they describe as the pursuit of information regardless of whether or not it confirms or disproves the suspect's participation. </w:t>
      </w:r>
    </w:p>
    <w:p w:rsidR="007C3CAE" w:rsidRPr="007C3CAE" w:rsidRDefault="007C3CAE" w:rsidP="007C3CAE">
      <w:pPr>
        <w:spacing w:after="0" w:line="240" w:lineRule="auto"/>
        <w:rPr>
          <w:rFonts w:ascii="Arial" w:eastAsia="Times New Roman" w:hAnsi="Arial" w:cs="Arial"/>
          <w:color w:val="000000" w:themeColor="text1"/>
          <w:sz w:val="24"/>
          <w:szCs w:val="24"/>
          <w:shd w:val="clear" w:color="auto" w:fill="FFFFFF"/>
        </w:rPr>
      </w:pPr>
      <w:r w:rsidRPr="007C3CAE">
        <w:rPr>
          <w:rFonts w:ascii="Arial" w:eastAsia="Times New Roman" w:hAnsi="Arial" w:cs="Arial"/>
          <w:color w:val="000000" w:themeColor="text1"/>
          <w:sz w:val="24"/>
          <w:szCs w:val="24"/>
          <w:shd w:val="clear" w:color="auto" w:fill="FFFFFF"/>
        </w:rPr>
        <w:t>The essay claims that there is a close connection between the law and policing because of how injustices committed by police have led to the development of new rules. </w:t>
      </w:r>
    </w:p>
    <w:p w:rsidR="007C3CAE" w:rsidRPr="007C3CAE" w:rsidRDefault="007C3CAE" w:rsidP="007C3CAE">
      <w:pPr>
        <w:spacing w:after="0" w:line="240" w:lineRule="auto"/>
        <w:rPr>
          <w:rFonts w:ascii="Arial" w:eastAsia="Times New Roman" w:hAnsi="Arial" w:cs="Arial"/>
          <w:color w:val="000000" w:themeColor="text1"/>
          <w:sz w:val="24"/>
          <w:szCs w:val="24"/>
          <w:shd w:val="clear" w:color="auto" w:fill="FFFFFF"/>
        </w:rPr>
      </w:pPr>
      <w:r w:rsidRPr="007C3CAE">
        <w:rPr>
          <w:rFonts w:ascii="Arial" w:eastAsia="Times New Roman" w:hAnsi="Arial" w:cs="Arial"/>
          <w:color w:val="000000" w:themeColor="text1"/>
          <w:sz w:val="24"/>
          <w:szCs w:val="24"/>
          <w:shd w:val="clear" w:color="auto" w:fill="FFFFFF"/>
        </w:rPr>
        <w:t>That law enforcement must adhere to predetermined procedures rather than using discretion in matters such as case preparation, evidence collection, and suspect selection.</w:t>
      </w:r>
    </w:p>
    <w:p w:rsidR="007C3CAE" w:rsidRPr="007C3CAE" w:rsidRDefault="007C3CAE" w:rsidP="007C3CAE">
      <w:pPr>
        <w:spacing w:after="0" w:line="240" w:lineRule="auto"/>
        <w:rPr>
          <w:rFonts w:ascii="Times New Roman" w:eastAsia="Times New Roman" w:hAnsi="Times New Roman" w:cs="Times New Roman"/>
          <w:color w:val="000000" w:themeColor="text1"/>
          <w:sz w:val="24"/>
          <w:szCs w:val="24"/>
        </w:rPr>
      </w:pPr>
      <w:r w:rsidRPr="007C3CAE">
        <w:rPr>
          <w:rFonts w:ascii="Arial" w:eastAsia="Times New Roman" w:hAnsi="Arial" w:cs="Arial"/>
          <w:color w:val="000000" w:themeColor="text1"/>
          <w:sz w:val="24"/>
          <w:szCs w:val="24"/>
          <w:shd w:val="clear" w:color="auto" w:fill="FFFFFF"/>
        </w:rPr>
        <w:br/>
        <w:t>Even though the authors are addressing a historical aspect of law enforcement, the relationship between policing and the rule of law remains consistent throughout the ages. </w:t>
      </w:r>
    </w:p>
    <w:p w:rsidR="007C3CAE" w:rsidRPr="007C3CAE" w:rsidRDefault="007C3CAE" w:rsidP="007C3CAE">
      <w:pPr>
        <w:spacing w:after="0" w:line="240" w:lineRule="auto"/>
        <w:rPr>
          <w:rFonts w:ascii="Times New Roman" w:eastAsia="Times New Roman" w:hAnsi="Times New Roman" w:cs="Times New Roman"/>
          <w:color w:val="000000" w:themeColor="text1"/>
          <w:sz w:val="24"/>
          <w:szCs w:val="24"/>
        </w:rPr>
      </w:pPr>
      <w:r w:rsidRPr="007C3CAE">
        <w:rPr>
          <w:rFonts w:ascii="Arial" w:eastAsia="Times New Roman" w:hAnsi="Arial" w:cs="Arial"/>
          <w:color w:val="000000" w:themeColor="text1"/>
          <w:sz w:val="24"/>
          <w:szCs w:val="24"/>
          <w:shd w:val="clear" w:color="auto" w:fill="FFFFFF"/>
        </w:rPr>
        <w:t>The methods and equipment used to commit crimes are evolving. </w:t>
      </w:r>
    </w:p>
    <w:p w:rsidR="007C3CAE" w:rsidRPr="007C3CAE" w:rsidRDefault="007C3CAE" w:rsidP="007C3CAE">
      <w:pPr>
        <w:spacing w:after="0" w:line="240" w:lineRule="auto"/>
        <w:rPr>
          <w:rFonts w:ascii="Times New Roman" w:eastAsia="Times New Roman" w:hAnsi="Times New Roman" w:cs="Times New Roman"/>
          <w:color w:val="000000" w:themeColor="text1"/>
          <w:sz w:val="24"/>
          <w:szCs w:val="24"/>
        </w:rPr>
      </w:pPr>
      <w:r w:rsidRPr="007C3CAE">
        <w:rPr>
          <w:rFonts w:ascii="Arial" w:eastAsia="Times New Roman" w:hAnsi="Arial" w:cs="Arial"/>
          <w:color w:val="000000" w:themeColor="text1"/>
          <w:sz w:val="24"/>
          <w:szCs w:val="24"/>
          <w:shd w:val="clear" w:color="auto" w:fill="FFFFFF"/>
        </w:rPr>
        <w:t>Officers typically conduct investigations based on their own subjective conceptions of what is right since many of the present standards are insufficient to guide law enforcement through investigations and convictions. </w:t>
      </w:r>
    </w:p>
    <w:p w:rsidR="007C3CAE" w:rsidRPr="007C3CAE" w:rsidRDefault="007C3CAE" w:rsidP="007C3CAE">
      <w:pPr>
        <w:spacing w:after="0" w:line="240" w:lineRule="auto"/>
        <w:rPr>
          <w:rFonts w:ascii="Arial" w:eastAsia="Times New Roman" w:hAnsi="Arial" w:cs="Arial"/>
          <w:color w:val="000000" w:themeColor="text1"/>
          <w:sz w:val="24"/>
          <w:szCs w:val="24"/>
          <w:shd w:val="clear" w:color="auto" w:fill="FFFFFF"/>
        </w:rPr>
      </w:pPr>
      <w:r w:rsidRPr="007C3CAE">
        <w:rPr>
          <w:rFonts w:ascii="Arial" w:eastAsia="Times New Roman" w:hAnsi="Arial" w:cs="Arial"/>
          <w:color w:val="000000" w:themeColor="text1"/>
          <w:sz w:val="24"/>
          <w:szCs w:val="24"/>
          <w:shd w:val="clear" w:color="auto" w:fill="FFFFFF"/>
        </w:rPr>
        <w:t>The resulting court actions might shine light on the police department's mistakes, setting a legal norm and perhaps leading to new legislation guiding future policing tactics.</w:t>
      </w:r>
    </w:p>
    <w:p w:rsidR="00D165D4" w:rsidRPr="00425BC0" w:rsidRDefault="00D165D4" w:rsidP="00425BC0">
      <w:pPr>
        <w:spacing w:after="0" w:line="240" w:lineRule="auto"/>
        <w:rPr>
          <w:rFonts w:ascii="Arial" w:eastAsia="Times New Roman" w:hAnsi="Arial" w:cs="Arial"/>
          <w:color w:val="000000" w:themeColor="text1"/>
          <w:sz w:val="24"/>
          <w:szCs w:val="24"/>
          <w:shd w:val="clear" w:color="auto" w:fill="FFFFFF"/>
        </w:rPr>
      </w:pPr>
    </w:p>
    <w:p w:rsidR="00B959D2" w:rsidRDefault="00425BC0" w:rsidP="00425BC0">
      <w:pPr>
        <w:spacing w:after="0" w:line="240" w:lineRule="auto"/>
        <w:rPr>
          <w:rFonts w:ascii="Arial" w:eastAsia="Times New Roman" w:hAnsi="Arial" w:cs="Arial"/>
          <w:color w:val="000000" w:themeColor="text1"/>
          <w:sz w:val="24"/>
          <w:szCs w:val="24"/>
          <w:shd w:val="clear" w:color="auto" w:fill="FFFFFF"/>
        </w:rPr>
      </w:pPr>
      <w:r w:rsidRPr="00425BC0">
        <w:rPr>
          <w:rFonts w:ascii="Arial" w:eastAsia="Times New Roman" w:hAnsi="Arial" w:cs="Arial"/>
          <w:b/>
          <w:bCs/>
          <w:color w:val="000000" w:themeColor="text1"/>
          <w:sz w:val="24"/>
          <w:szCs w:val="24"/>
          <w:shd w:val="clear" w:color="auto" w:fill="FFFFFF"/>
        </w:rPr>
        <w:t>References</w:t>
      </w:r>
    </w:p>
    <w:p w:rsidR="00B959D2" w:rsidRDefault="00425BC0" w:rsidP="00B959D2">
      <w:pPr>
        <w:spacing w:after="0" w:line="240" w:lineRule="auto"/>
        <w:rPr>
          <w:rFonts w:ascii="Arial" w:eastAsia="Times New Roman" w:hAnsi="Arial" w:cs="Arial"/>
          <w:color w:val="000000" w:themeColor="text1"/>
          <w:sz w:val="24"/>
          <w:szCs w:val="24"/>
          <w:shd w:val="clear" w:color="auto" w:fill="FFFFFF"/>
        </w:rPr>
      </w:pPr>
      <w:r w:rsidRPr="00425BC0">
        <w:rPr>
          <w:rFonts w:ascii="Arial" w:eastAsia="Times New Roman" w:hAnsi="Arial" w:cs="Arial"/>
          <w:color w:val="000000" w:themeColor="text1"/>
          <w:sz w:val="24"/>
          <w:szCs w:val="24"/>
          <w:shd w:val="clear" w:color="auto" w:fill="FFFFFF"/>
        </w:rPr>
        <w:br/>
        <w:t xml:space="preserve">Amnesty International (2020) Why we're taking the UK government to court over mass spying. Available from: https://www.amnesty.org.uk/why-taking-government-court-mass-spying-gchq-nsa-tempora-prism-edward-snowden [Accessed </w:t>
      </w:r>
      <w:r w:rsidR="00B959D2">
        <w:rPr>
          <w:rFonts w:ascii="Arial" w:eastAsia="Times New Roman" w:hAnsi="Arial" w:cs="Arial"/>
          <w:color w:val="000000" w:themeColor="text1"/>
          <w:sz w:val="24"/>
          <w:szCs w:val="24"/>
          <w:shd w:val="clear" w:color="auto" w:fill="FFFFFF"/>
        </w:rPr>
        <w:t>8</w:t>
      </w:r>
      <w:r w:rsidR="00B959D2" w:rsidRPr="00B959D2">
        <w:rPr>
          <w:rFonts w:ascii="Arial" w:eastAsia="Times New Roman" w:hAnsi="Arial" w:cs="Arial"/>
          <w:color w:val="000000" w:themeColor="text1"/>
          <w:sz w:val="24"/>
          <w:szCs w:val="24"/>
          <w:shd w:val="clear" w:color="auto" w:fill="FFFFFF"/>
          <w:vertAlign w:val="superscript"/>
        </w:rPr>
        <w:t>th</w:t>
      </w:r>
      <w:r w:rsidR="00B959D2">
        <w:rPr>
          <w:rFonts w:ascii="Arial" w:eastAsia="Times New Roman" w:hAnsi="Arial" w:cs="Arial"/>
          <w:color w:val="000000" w:themeColor="text1"/>
          <w:sz w:val="24"/>
          <w:szCs w:val="24"/>
          <w:shd w:val="clear" w:color="auto" w:fill="FFFFFF"/>
        </w:rPr>
        <w:t xml:space="preserve"> Oct</w:t>
      </w:r>
      <w:r w:rsidRPr="00425BC0">
        <w:rPr>
          <w:rFonts w:ascii="Arial" w:eastAsia="Times New Roman" w:hAnsi="Arial" w:cs="Arial"/>
          <w:color w:val="000000" w:themeColor="text1"/>
          <w:sz w:val="24"/>
          <w:szCs w:val="24"/>
          <w:shd w:val="clear" w:color="auto" w:fill="FFFFFF"/>
        </w:rPr>
        <w:t xml:space="preserve"> 2022].</w:t>
      </w:r>
    </w:p>
    <w:p w:rsidR="00B959D2" w:rsidRDefault="00425BC0" w:rsidP="00425BC0">
      <w:pPr>
        <w:spacing w:after="0" w:line="240" w:lineRule="auto"/>
        <w:rPr>
          <w:rFonts w:ascii="Arial" w:eastAsia="Times New Roman" w:hAnsi="Arial" w:cs="Arial"/>
          <w:color w:val="000000" w:themeColor="text1"/>
          <w:sz w:val="24"/>
          <w:szCs w:val="24"/>
          <w:shd w:val="clear" w:color="auto" w:fill="FFFFFF"/>
        </w:rPr>
      </w:pPr>
      <w:r w:rsidRPr="00425BC0">
        <w:rPr>
          <w:rFonts w:ascii="Arial" w:eastAsia="Times New Roman" w:hAnsi="Arial" w:cs="Arial"/>
          <w:color w:val="000000" w:themeColor="text1"/>
          <w:sz w:val="24"/>
          <w:szCs w:val="24"/>
          <w:shd w:val="clear" w:color="auto" w:fill="FFFFFF"/>
        </w:rPr>
        <w:br/>
        <w:t>Bryant, R. &amp; Kennedy, I. (2014) Investigating Digital Crime in: Bryan, R. &amp; Bryan, S. (</w:t>
      </w:r>
      <w:proofErr w:type="spellStart"/>
      <w:r w:rsidRPr="00425BC0">
        <w:rPr>
          <w:rFonts w:ascii="Arial" w:eastAsia="Times New Roman" w:hAnsi="Arial" w:cs="Arial"/>
          <w:color w:val="000000" w:themeColor="text1"/>
          <w:sz w:val="24"/>
          <w:szCs w:val="24"/>
          <w:shd w:val="clear" w:color="auto" w:fill="FFFFFF"/>
        </w:rPr>
        <w:t>eds</w:t>
      </w:r>
      <w:proofErr w:type="spellEnd"/>
      <w:r w:rsidRPr="00425BC0">
        <w:rPr>
          <w:rFonts w:ascii="Arial" w:eastAsia="Times New Roman" w:hAnsi="Arial" w:cs="Arial"/>
          <w:color w:val="000000" w:themeColor="text1"/>
          <w:sz w:val="24"/>
          <w:szCs w:val="24"/>
          <w:shd w:val="clear" w:color="auto" w:fill="FFFFFF"/>
        </w:rPr>
        <w:t xml:space="preserve">) Policing Digital Crime. </w:t>
      </w:r>
      <w:proofErr w:type="spellStart"/>
      <w:r w:rsidRPr="00425BC0">
        <w:rPr>
          <w:rFonts w:ascii="Arial" w:eastAsia="Times New Roman" w:hAnsi="Arial" w:cs="Arial"/>
          <w:color w:val="000000" w:themeColor="text1"/>
          <w:sz w:val="24"/>
          <w:szCs w:val="24"/>
          <w:shd w:val="clear" w:color="auto" w:fill="FFFFFF"/>
        </w:rPr>
        <w:t>Farnham</w:t>
      </w:r>
      <w:proofErr w:type="spellEnd"/>
      <w:r w:rsidRPr="00425BC0">
        <w:rPr>
          <w:rFonts w:ascii="Arial" w:eastAsia="Times New Roman" w:hAnsi="Arial" w:cs="Arial"/>
          <w:color w:val="000000" w:themeColor="text1"/>
          <w:sz w:val="24"/>
          <w:szCs w:val="24"/>
          <w:shd w:val="clear" w:color="auto" w:fill="FFFFFF"/>
        </w:rPr>
        <w:t xml:space="preserve">, </w:t>
      </w:r>
      <w:proofErr w:type="gramStart"/>
      <w:r w:rsidRPr="00425BC0">
        <w:rPr>
          <w:rFonts w:ascii="Arial" w:eastAsia="Times New Roman" w:hAnsi="Arial" w:cs="Arial"/>
          <w:color w:val="000000" w:themeColor="text1"/>
          <w:sz w:val="24"/>
          <w:szCs w:val="24"/>
          <w:shd w:val="clear" w:color="auto" w:fill="FFFFFF"/>
        </w:rPr>
        <w:t>Surrey :</w:t>
      </w:r>
      <w:proofErr w:type="gramEnd"/>
      <w:r w:rsidRPr="00425BC0">
        <w:rPr>
          <w:rFonts w:ascii="Arial" w:eastAsia="Times New Roman" w:hAnsi="Arial" w:cs="Arial"/>
          <w:color w:val="000000" w:themeColor="text1"/>
          <w:sz w:val="24"/>
          <w:szCs w:val="24"/>
          <w:shd w:val="clear" w:color="auto" w:fill="FFFFFF"/>
        </w:rPr>
        <w:t xml:space="preserve"> </w:t>
      </w:r>
      <w:proofErr w:type="spellStart"/>
      <w:r w:rsidRPr="00425BC0">
        <w:rPr>
          <w:rFonts w:ascii="Arial" w:eastAsia="Times New Roman" w:hAnsi="Arial" w:cs="Arial"/>
          <w:color w:val="000000" w:themeColor="text1"/>
          <w:sz w:val="24"/>
          <w:szCs w:val="24"/>
          <w:shd w:val="clear" w:color="auto" w:fill="FFFFFF"/>
        </w:rPr>
        <w:t>Ashgate</w:t>
      </w:r>
      <w:proofErr w:type="spellEnd"/>
      <w:r w:rsidRPr="00425BC0">
        <w:rPr>
          <w:rFonts w:ascii="Arial" w:eastAsia="Times New Roman" w:hAnsi="Arial" w:cs="Arial"/>
          <w:color w:val="000000" w:themeColor="text1"/>
          <w:sz w:val="24"/>
          <w:szCs w:val="24"/>
          <w:shd w:val="clear" w:color="auto" w:fill="FFFFFF"/>
        </w:rPr>
        <w:t>. 123-145</w:t>
      </w:r>
    </w:p>
    <w:p w:rsidR="007C3CAE" w:rsidRPr="00425BC0" w:rsidRDefault="00425BC0" w:rsidP="00425BC0">
      <w:pPr>
        <w:spacing w:after="0" w:line="240" w:lineRule="auto"/>
        <w:rPr>
          <w:rFonts w:ascii="Arial" w:eastAsia="Times New Roman" w:hAnsi="Arial" w:cs="Arial"/>
          <w:color w:val="000000" w:themeColor="text1"/>
          <w:sz w:val="24"/>
          <w:szCs w:val="24"/>
          <w:shd w:val="clear" w:color="auto" w:fill="FFFFFF"/>
        </w:rPr>
      </w:pPr>
      <w:r w:rsidRPr="00425BC0">
        <w:rPr>
          <w:rFonts w:ascii="Arial" w:eastAsia="Times New Roman" w:hAnsi="Arial" w:cs="Arial"/>
          <w:color w:val="000000" w:themeColor="text1"/>
          <w:sz w:val="24"/>
          <w:szCs w:val="24"/>
          <w:shd w:val="clear" w:color="auto" w:fill="FFFFFF"/>
        </w:rPr>
        <w:br/>
        <w:t xml:space="preserve">Walden I. (2015) Computer forensics and the presentation of evidence in criminal cases in: </w:t>
      </w:r>
      <w:proofErr w:type="spellStart"/>
      <w:r w:rsidRPr="00425BC0">
        <w:rPr>
          <w:rFonts w:ascii="Arial" w:eastAsia="Times New Roman" w:hAnsi="Arial" w:cs="Arial"/>
          <w:color w:val="000000" w:themeColor="text1"/>
          <w:sz w:val="24"/>
          <w:szCs w:val="24"/>
          <w:shd w:val="clear" w:color="auto" w:fill="FFFFFF"/>
        </w:rPr>
        <w:t>Jawkes</w:t>
      </w:r>
      <w:proofErr w:type="spellEnd"/>
      <w:r w:rsidRPr="00425BC0">
        <w:rPr>
          <w:rFonts w:ascii="Arial" w:eastAsia="Times New Roman" w:hAnsi="Arial" w:cs="Arial"/>
          <w:color w:val="000000" w:themeColor="text1"/>
          <w:sz w:val="24"/>
          <w:szCs w:val="24"/>
          <w:shd w:val="clear" w:color="auto" w:fill="FFFFFF"/>
        </w:rPr>
        <w:t xml:space="preserve">, Y. and </w:t>
      </w:r>
      <w:proofErr w:type="spellStart"/>
      <w:r w:rsidRPr="00425BC0">
        <w:rPr>
          <w:rFonts w:ascii="Arial" w:eastAsia="Times New Roman" w:hAnsi="Arial" w:cs="Arial"/>
          <w:color w:val="000000" w:themeColor="text1"/>
          <w:sz w:val="24"/>
          <w:szCs w:val="24"/>
          <w:shd w:val="clear" w:color="auto" w:fill="FFFFFF"/>
        </w:rPr>
        <w:t>Yar</w:t>
      </w:r>
      <w:proofErr w:type="spellEnd"/>
      <w:r w:rsidRPr="00425BC0">
        <w:rPr>
          <w:rFonts w:ascii="Arial" w:eastAsia="Times New Roman" w:hAnsi="Arial" w:cs="Arial"/>
          <w:color w:val="000000" w:themeColor="text1"/>
          <w:sz w:val="24"/>
          <w:szCs w:val="24"/>
          <w:shd w:val="clear" w:color="auto" w:fill="FFFFFF"/>
        </w:rPr>
        <w:t>, Y. (</w:t>
      </w:r>
      <w:proofErr w:type="spellStart"/>
      <w:r w:rsidRPr="00425BC0">
        <w:rPr>
          <w:rFonts w:ascii="Arial" w:eastAsia="Times New Roman" w:hAnsi="Arial" w:cs="Arial"/>
          <w:color w:val="000000" w:themeColor="text1"/>
          <w:sz w:val="24"/>
          <w:szCs w:val="24"/>
          <w:shd w:val="clear" w:color="auto" w:fill="FFFFFF"/>
        </w:rPr>
        <w:t>eds</w:t>
      </w:r>
      <w:proofErr w:type="spellEnd"/>
      <w:r w:rsidRPr="00425BC0">
        <w:rPr>
          <w:rFonts w:ascii="Arial" w:eastAsia="Times New Roman" w:hAnsi="Arial" w:cs="Arial"/>
          <w:color w:val="000000" w:themeColor="text1"/>
          <w:sz w:val="24"/>
          <w:szCs w:val="24"/>
          <w:shd w:val="clear" w:color="auto" w:fill="FFFFFF"/>
        </w:rPr>
        <w:t>) Handbook of Internet Crime. Abingdon, Oxon: Routledge.</w:t>
      </w:r>
    </w:p>
    <w:sectPr w:rsidR="007C3CAE" w:rsidRPr="0042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4A"/>
    <w:rsid w:val="002E397F"/>
    <w:rsid w:val="00425BC0"/>
    <w:rsid w:val="007C3CAE"/>
    <w:rsid w:val="00B959D2"/>
    <w:rsid w:val="00D165D4"/>
    <w:rsid w:val="00DA564A"/>
    <w:rsid w:val="00DD2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F08B"/>
  <w15:chartTrackingRefBased/>
  <w15:docId w15:val="{D72D5BE3-FEFF-4CB0-B8B1-D161AB4F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471">
    <w:name w:val="mf-jss471"/>
    <w:basedOn w:val="DefaultParagraphFont"/>
    <w:rsid w:val="007C3CAE"/>
  </w:style>
  <w:style w:type="character" w:customStyle="1" w:styleId="mf-jss1175">
    <w:name w:val="mf-jss1175"/>
    <w:basedOn w:val="DefaultParagraphFont"/>
    <w:rsid w:val="007C3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06435">
      <w:bodyDiv w:val="1"/>
      <w:marLeft w:val="0"/>
      <w:marRight w:val="0"/>
      <w:marTop w:val="0"/>
      <w:marBottom w:val="0"/>
      <w:divBdr>
        <w:top w:val="none" w:sz="0" w:space="0" w:color="auto"/>
        <w:left w:val="none" w:sz="0" w:space="0" w:color="auto"/>
        <w:bottom w:val="none" w:sz="0" w:space="0" w:color="auto"/>
        <w:right w:val="none" w:sz="0" w:space="0" w:color="auto"/>
      </w:divBdr>
      <w:divsChild>
        <w:div w:id="134176569">
          <w:marLeft w:val="0"/>
          <w:marRight w:val="0"/>
          <w:marTop w:val="0"/>
          <w:marBottom w:val="0"/>
          <w:divBdr>
            <w:top w:val="none" w:sz="0" w:space="0" w:color="auto"/>
            <w:left w:val="none" w:sz="0" w:space="0" w:color="auto"/>
            <w:bottom w:val="none" w:sz="0" w:space="0" w:color="auto"/>
            <w:right w:val="none" w:sz="0" w:space="0" w:color="auto"/>
          </w:divBdr>
        </w:div>
        <w:div w:id="949360620">
          <w:marLeft w:val="0"/>
          <w:marRight w:val="0"/>
          <w:marTop w:val="0"/>
          <w:marBottom w:val="0"/>
          <w:divBdr>
            <w:top w:val="none" w:sz="0" w:space="0" w:color="auto"/>
            <w:left w:val="none" w:sz="0" w:space="0" w:color="auto"/>
            <w:bottom w:val="none" w:sz="0" w:space="0" w:color="auto"/>
            <w:right w:val="none" w:sz="0" w:space="0" w:color="auto"/>
          </w:divBdr>
        </w:div>
        <w:div w:id="1066612797">
          <w:marLeft w:val="0"/>
          <w:marRight w:val="0"/>
          <w:marTop w:val="0"/>
          <w:marBottom w:val="0"/>
          <w:divBdr>
            <w:top w:val="none" w:sz="0" w:space="0" w:color="auto"/>
            <w:left w:val="none" w:sz="0" w:space="0" w:color="auto"/>
            <w:bottom w:val="none" w:sz="0" w:space="0" w:color="auto"/>
            <w:right w:val="none" w:sz="0" w:space="0" w:color="auto"/>
          </w:divBdr>
        </w:div>
        <w:div w:id="310721286">
          <w:marLeft w:val="0"/>
          <w:marRight w:val="0"/>
          <w:marTop w:val="0"/>
          <w:marBottom w:val="0"/>
          <w:divBdr>
            <w:top w:val="none" w:sz="0" w:space="0" w:color="auto"/>
            <w:left w:val="none" w:sz="0" w:space="0" w:color="auto"/>
            <w:bottom w:val="none" w:sz="0" w:space="0" w:color="auto"/>
            <w:right w:val="none" w:sz="0" w:space="0" w:color="auto"/>
          </w:divBdr>
        </w:div>
        <w:div w:id="1721397610">
          <w:marLeft w:val="0"/>
          <w:marRight w:val="0"/>
          <w:marTop w:val="0"/>
          <w:marBottom w:val="0"/>
          <w:divBdr>
            <w:top w:val="none" w:sz="0" w:space="0" w:color="auto"/>
            <w:left w:val="none" w:sz="0" w:space="0" w:color="auto"/>
            <w:bottom w:val="none" w:sz="0" w:space="0" w:color="auto"/>
            <w:right w:val="none" w:sz="0" w:space="0" w:color="auto"/>
          </w:divBdr>
        </w:div>
        <w:div w:id="552276750">
          <w:marLeft w:val="0"/>
          <w:marRight w:val="0"/>
          <w:marTop w:val="0"/>
          <w:marBottom w:val="0"/>
          <w:divBdr>
            <w:top w:val="none" w:sz="0" w:space="0" w:color="auto"/>
            <w:left w:val="none" w:sz="0" w:space="0" w:color="auto"/>
            <w:bottom w:val="none" w:sz="0" w:space="0" w:color="auto"/>
            <w:right w:val="none" w:sz="0" w:space="0" w:color="auto"/>
          </w:divBdr>
        </w:div>
        <w:div w:id="486016727">
          <w:marLeft w:val="0"/>
          <w:marRight w:val="0"/>
          <w:marTop w:val="0"/>
          <w:marBottom w:val="0"/>
          <w:divBdr>
            <w:top w:val="none" w:sz="0" w:space="0" w:color="auto"/>
            <w:left w:val="none" w:sz="0" w:space="0" w:color="auto"/>
            <w:bottom w:val="none" w:sz="0" w:space="0" w:color="auto"/>
            <w:right w:val="none" w:sz="0" w:space="0" w:color="auto"/>
          </w:divBdr>
        </w:div>
        <w:div w:id="2018772544">
          <w:marLeft w:val="0"/>
          <w:marRight w:val="0"/>
          <w:marTop w:val="0"/>
          <w:marBottom w:val="0"/>
          <w:divBdr>
            <w:top w:val="none" w:sz="0" w:space="0" w:color="auto"/>
            <w:left w:val="none" w:sz="0" w:space="0" w:color="auto"/>
            <w:bottom w:val="none" w:sz="0" w:space="0" w:color="auto"/>
            <w:right w:val="none" w:sz="0" w:space="0" w:color="auto"/>
          </w:divBdr>
        </w:div>
        <w:div w:id="1620212067">
          <w:marLeft w:val="0"/>
          <w:marRight w:val="0"/>
          <w:marTop w:val="0"/>
          <w:marBottom w:val="0"/>
          <w:divBdr>
            <w:top w:val="none" w:sz="0" w:space="0" w:color="auto"/>
            <w:left w:val="none" w:sz="0" w:space="0" w:color="auto"/>
            <w:bottom w:val="none" w:sz="0" w:space="0" w:color="auto"/>
            <w:right w:val="none" w:sz="0" w:space="0" w:color="auto"/>
          </w:divBdr>
        </w:div>
        <w:div w:id="1840920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2022-10-08T10:20:00Z</dcterms:created>
  <dcterms:modified xsi:type="dcterms:W3CDTF">2022-10-08T10:25:00Z</dcterms:modified>
</cp:coreProperties>
</file>