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EF" w:rsidRPr="00535CEF" w:rsidRDefault="00535CEF" w:rsidP="00535CEF">
      <w:pPr>
        <w:rPr>
          <w:rFonts w:asciiTheme="minorBidi" w:hAnsiTheme="minorBidi"/>
          <w:sz w:val="24"/>
          <w:szCs w:val="24"/>
        </w:rPr>
      </w:pPr>
      <w:bookmarkStart w:id="0" w:name="_GoBack"/>
      <w:r w:rsidRPr="00535CEF">
        <w:rPr>
          <w:rFonts w:asciiTheme="minorBidi" w:hAnsiTheme="minorBidi"/>
          <w:sz w:val="24"/>
          <w:szCs w:val="24"/>
        </w:rPr>
        <w:t>Rogue Services' concept also raises international law concerns (ACM,2022). In 2007, the ITU launched the Global Cybercrime Agenda to combat cybercrime worldwide. This agenda coordinates worldwide cybersecurity responses. The ITU formed a worldwide High-Level Experts Group (HLEG) the same year. The ITU must now offer a revised proposal for a global cybercrime convention to the international community (Rahman, 2012).</w:t>
      </w:r>
    </w:p>
    <w:p w:rsidR="00535CEF" w:rsidRPr="00535CEF" w:rsidRDefault="00535CEF" w:rsidP="00535CEF">
      <w:pPr>
        <w:rPr>
          <w:rFonts w:asciiTheme="minorBidi" w:hAnsiTheme="minorBidi"/>
          <w:sz w:val="24"/>
          <w:szCs w:val="24"/>
        </w:rPr>
      </w:pPr>
      <w:r w:rsidRPr="00535CEF">
        <w:rPr>
          <w:rFonts w:asciiTheme="minorBidi" w:hAnsiTheme="minorBidi"/>
          <w:sz w:val="24"/>
          <w:szCs w:val="24"/>
        </w:rPr>
        <w:t>Rogue Services poses legal and ethical difficulties for the corporation. Reporting cybercriminals' usage of the company's services is a major legal concern. Online service providers must disclose purposeful intercepts without computer data under Article 3 of the Cybercrime Convention (E4J university module series, 2019</w:t>
      </w:r>
      <w:proofErr w:type="gramStart"/>
      <w:r w:rsidRPr="00535CEF">
        <w:rPr>
          <w:rFonts w:asciiTheme="minorBidi" w:hAnsiTheme="minorBidi"/>
          <w:sz w:val="24"/>
          <w:szCs w:val="24"/>
        </w:rPr>
        <w:t>)..</w:t>
      </w:r>
      <w:proofErr w:type="gramEnd"/>
      <w:r w:rsidRPr="00535CEF">
        <w:rPr>
          <w:rFonts w:asciiTheme="minorBidi" w:hAnsiTheme="minorBidi"/>
          <w:sz w:val="24"/>
          <w:szCs w:val="24"/>
        </w:rPr>
        <w:t xml:space="preserve"> Rogue Services' data breaches raised a legal concern.</w:t>
      </w:r>
    </w:p>
    <w:p w:rsidR="00B474A8" w:rsidRPr="00535CEF" w:rsidRDefault="00535CEF" w:rsidP="00535CEF">
      <w:pPr>
        <w:rPr>
          <w:rFonts w:asciiTheme="minorBidi" w:hAnsiTheme="minorBidi"/>
          <w:sz w:val="24"/>
          <w:szCs w:val="24"/>
        </w:rPr>
      </w:pPr>
      <w:r w:rsidRPr="00535CEF">
        <w:rPr>
          <w:rFonts w:asciiTheme="minorBidi" w:hAnsiTheme="minorBidi"/>
          <w:sz w:val="24"/>
          <w:szCs w:val="24"/>
        </w:rPr>
        <w:t xml:space="preserve">The case also shows Rogue's effects on societal concerns. The case shows that malware may damage reputation and business. Data breaches may damage online firms' reputations because consumers worry about their data's protection (Davidoff, 2019). Thus, the Rogue instance exposed users to reputational difficulties with consumers. Finally, thieves utilizing stolen data for fraud might have economic repercussions (Gottschalk &amp; </w:t>
      </w:r>
      <w:proofErr w:type="spellStart"/>
      <w:r w:rsidRPr="00535CEF">
        <w:rPr>
          <w:rFonts w:asciiTheme="minorBidi" w:hAnsiTheme="minorBidi"/>
          <w:sz w:val="24"/>
          <w:szCs w:val="24"/>
        </w:rPr>
        <w:t>Hamerton</w:t>
      </w:r>
      <w:proofErr w:type="spellEnd"/>
      <w:r w:rsidRPr="00535CEF">
        <w:rPr>
          <w:rFonts w:asciiTheme="minorBidi" w:hAnsiTheme="minorBidi"/>
          <w:sz w:val="24"/>
          <w:szCs w:val="24"/>
        </w:rPr>
        <w:t>, 2021). Thus, economic losses might cause another social problem.</w:t>
      </w:r>
    </w:p>
    <w:p w:rsidR="00B474A8" w:rsidRPr="00B474A8" w:rsidRDefault="00B474A8" w:rsidP="005450D1">
      <w:pPr>
        <w:spacing w:after="100" w:afterAutospacing="1" w:line="240" w:lineRule="auto"/>
        <w:rPr>
          <w:rFonts w:asciiTheme="minorBidi" w:eastAsia="Times New Roman" w:hAnsiTheme="minorBidi"/>
          <w:color w:val="373A3C"/>
          <w:sz w:val="24"/>
          <w:szCs w:val="24"/>
        </w:rPr>
      </w:pPr>
      <w:r w:rsidRPr="00B474A8">
        <w:rPr>
          <w:rFonts w:asciiTheme="minorBidi" w:eastAsia="Times New Roman" w:hAnsiTheme="minorBidi"/>
          <w:color w:val="373A3C"/>
          <w:sz w:val="24"/>
          <w:szCs w:val="24"/>
        </w:rPr>
        <w:t>ACM Ethics. (2018). Case: Malware Disruption. [online] Available from: </w:t>
      </w:r>
      <w:proofErr w:type="gramStart"/>
      <w:r w:rsidR="005450D1" w:rsidRPr="00535CEF">
        <w:rPr>
          <w:rFonts w:asciiTheme="minorBidi" w:eastAsia="Times New Roman" w:hAnsiTheme="minorBidi"/>
          <w:color w:val="373A3C"/>
          <w:sz w:val="24"/>
          <w:szCs w:val="24"/>
        </w:rPr>
        <w:t xml:space="preserve">https://ethics.acm.org/code-of-ethics/using-the-code/case-malware-disruption/  </w:t>
      </w:r>
      <w:r w:rsidRPr="00B474A8">
        <w:rPr>
          <w:rFonts w:asciiTheme="minorBidi" w:eastAsia="Times New Roman" w:hAnsiTheme="minorBidi"/>
          <w:color w:val="373A3C"/>
          <w:sz w:val="24"/>
          <w:szCs w:val="24"/>
        </w:rPr>
        <w:t>[</w:t>
      </w:r>
      <w:proofErr w:type="gramEnd"/>
      <w:r w:rsidRPr="00B474A8">
        <w:rPr>
          <w:rFonts w:asciiTheme="minorBidi" w:eastAsia="Times New Roman" w:hAnsiTheme="minorBidi"/>
          <w:color w:val="373A3C"/>
          <w:sz w:val="24"/>
          <w:szCs w:val="24"/>
        </w:rPr>
        <w:t xml:space="preserve">Accessed </w:t>
      </w:r>
      <w:r w:rsidRPr="00535CEF">
        <w:rPr>
          <w:rFonts w:asciiTheme="minorBidi" w:eastAsia="Times New Roman" w:hAnsiTheme="minorBidi"/>
          <w:color w:val="373A3C"/>
          <w:sz w:val="24"/>
          <w:szCs w:val="24"/>
        </w:rPr>
        <w:t>17</w:t>
      </w:r>
      <w:r w:rsidRPr="00535CEF">
        <w:rPr>
          <w:rFonts w:asciiTheme="minorBidi" w:eastAsia="Times New Roman" w:hAnsiTheme="minorBidi"/>
          <w:color w:val="373A3C"/>
          <w:sz w:val="24"/>
          <w:szCs w:val="24"/>
          <w:vertAlign w:val="superscript"/>
        </w:rPr>
        <w:t>th</w:t>
      </w:r>
      <w:r w:rsidRPr="00535CEF">
        <w:rPr>
          <w:rFonts w:asciiTheme="minorBidi" w:eastAsia="Times New Roman" w:hAnsiTheme="minorBidi"/>
          <w:color w:val="373A3C"/>
          <w:sz w:val="24"/>
          <w:szCs w:val="24"/>
        </w:rPr>
        <w:t xml:space="preserve"> Oct</w:t>
      </w:r>
      <w:r w:rsidRPr="00B474A8">
        <w:rPr>
          <w:rFonts w:asciiTheme="minorBidi" w:eastAsia="Times New Roman" w:hAnsiTheme="minorBidi"/>
          <w:color w:val="373A3C"/>
          <w:sz w:val="24"/>
          <w:szCs w:val="24"/>
        </w:rPr>
        <w:t xml:space="preserve"> 2022</w:t>
      </w:r>
      <w:r w:rsidRPr="00B474A8">
        <w:rPr>
          <w:rFonts w:asciiTheme="minorBidi" w:eastAsia="Times New Roman" w:hAnsiTheme="minorBidi"/>
          <w:color w:val="373A3C"/>
          <w:sz w:val="24"/>
          <w:szCs w:val="24"/>
        </w:rPr>
        <w:t>]</w:t>
      </w:r>
    </w:p>
    <w:p w:rsidR="00B474A8" w:rsidRPr="00B474A8" w:rsidRDefault="00B474A8" w:rsidP="00301099">
      <w:pPr>
        <w:spacing w:after="100" w:afterAutospacing="1" w:line="240" w:lineRule="auto"/>
        <w:rPr>
          <w:rFonts w:asciiTheme="minorBidi" w:eastAsia="Times New Roman" w:hAnsiTheme="minorBidi"/>
          <w:color w:val="373A3C"/>
          <w:sz w:val="24"/>
          <w:szCs w:val="24"/>
        </w:rPr>
      </w:pPr>
      <w:r w:rsidRPr="00B474A8">
        <w:rPr>
          <w:rFonts w:asciiTheme="minorBidi" w:eastAsia="Times New Roman" w:hAnsiTheme="minorBidi"/>
          <w:color w:val="373A3C"/>
          <w:sz w:val="24"/>
          <w:szCs w:val="24"/>
        </w:rPr>
        <w:t>BCS (2015). BCS, THE CHARTERED INSTITUTE FOR IT CODE OF CONDUCT FOR BCS MEMBERS. [online] Available from: </w:t>
      </w:r>
      <w:r w:rsidR="00301099" w:rsidRPr="00535CEF">
        <w:rPr>
          <w:rFonts w:asciiTheme="minorBidi" w:eastAsia="Times New Roman" w:hAnsiTheme="minorBidi"/>
          <w:color w:val="373A3C"/>
          <w:sz w:val="24"/>
          <w:szCs w:val="24"/>
        </w:rPr>
        <w:t xml:space="preserve">https://www.bcs.org/media/2211/bcs-code-of-conduct.pdf </w:t>
      </w:r>
      <w:r w:rsidR="00301099" w:rsidRPr="00B474A8">
        <w:rPr>
          <w:rFonts w:asciiTheme="minorBidi" w:eastAsia="Times New Roman" w:hAnsiTheme="minorBidi"/>
          <w:color w:val="373A3C"/>
          <w:sz w:val="24"/>
          <w:szCs w:val="24"/>
        </w:rPr>
        <w:t xml:space="preserve">[Accessed </w:t>
      </w:r>
      <w:r w:rsidR="00301099" w:rsidRPr="00535CEF">
        <w:rPr>
          <w:rFonts w:asciiTheme="minorBidi" w:eastAsia="Times New Roman" w:hAnsiTheme="minorBidi"/>
          <w:color w:val="373A3C"/>
          <w:sz w:val="24"/>
          <w:szCs w:val="24"/>
        </w:rPr>
        <w:t>17</w:t>
      </w:r>
      <w:r w:rsidR="00301099" w:rsidRPr="00535CEF">
        <w:rPr>
          <w:rFonts w:asciiTheme="minorBidi" w:eastAsia="Times New Roman" w:hAnsiTheme="minorBidi"/>
          <w:color w:val="373A3C"/>
          <w:sz w:val="24"/>
          <w:szCs w:val="24"/>
          <w:vertAlign w:val="superscript"/>
        </w:rPr>
        <w:t>th</w:t>
      </w:r>
      <w:r w:rsidR="00301099" w:rsidRPr="00535CEF">
        <w:rPr>
          <w:rFonts w:asciiTheme="minorBidi" w:eastAsia="Times New Roman" w:hAnsiTheme="minorBidi"/>
          <w:color w:val="373A3C"/>
          <w:sz w:val="24"/>
          <w:szCs w:val="24"/>
        </w:rPr>
        <w:t xml:space="preserve"> Oct</w:t>
      </w:r>
      <w:r w:rsidR="00301099" w:rsidRPr="00B474A8">
        <w:rPr>
          <w:rFonts w:asciiTheme="minorBidi" w:eastAsia="Times New Roman" w:hAnsiTheme="minorBidi"/>
          <w:color w:val="373A3C"/>
          <w:sz w:val="24"/>
          <w:szCs w:val="24"/>
        </w:rPr>
        <w:t xml:space="preserve"> 2022]</w:t>
      </w:r>
    </w:p>
    <w:p w:rsidR="00B474A8" w:rsidRPr="00B474A8" w:rsidRDefault="00B474A8" w:rsidP="00B474A8">
      <w:pPr>
        <w:shd w:val="clear" w:color="auto" w:fill="FFFFFF"/>
        <w:spacing w:after="0" w:line="480" w:lineRule="atLeast"/>
        <w:rPr>
          <w:rFonts w:asciiTheme="minorBidi" w:eastAsia="Times New Roman" w:hAnsiTheme="minorBidi"/>
          <w:color w:val="373A3C"/>
          <w:sz w:val="24"/>
          <w:szCs w:val="24"/>
        </w:rPr>
      </w:pPr>
      <w:r w:rsidRPr="00B474A8">
        <w:rPr>
          <w:rFonts w:asciiTheme="minorBidi" w:eastAsia="Times New Roman" w:hAnsiTheme="minorBidi"/>
          <w:i/>
          <w:iCs/>
          <w:color w:val="373A3C"/>
          <w:sz w:val="24"/>
          <w:szCs w:val="24"/>
        </w:rPr>
        <w:t>Data protection and privacy legislation worldwide.</w:t>
      </w:r>
      <w:r w:rsidRPr="00B474A8">
        <w:rPr>
          <w:rFonts w:asciiTheme="minorBidi" w:eastAsia="Times New Roman" w:hAnsiTheme="minorBidi"/>
          <w:color w:val="373A3C"/>
          <w:sz w:val="24"/>
          <w:szCs w:val="24"/>
        </w:rPr>
        <w:t> (n.d.). United Nations Conference on Trade and Development. https://unctad.org/page/data-protection-and-privacy-legislation-worldwide</w:t>
      </w:r>
      <w:r w:rsidR="00301099" w:rsidRPr="00535CEF">
        <w:rPr>
          <w:rFonts w:asciiTheme="minorBidi" w:eastAsia="Times New Roman" w:hAnsiTheme="minorBidi"/>
          <w:color w:val="373A3C"/>
          <w:sz w:val="24"/>
          <w:szCs w:val="24"/>
        </w:rPr>
        <w:t xml:space="preserve"> </w:t>
      </w:r>
      <w:r w:rsidR="00301099" w:rsidRPr="00B474A8">
        <w:rPr>
          <w:rFonts w:asciiTheme="minorBidi" w:eastAsia="Times New Roman" w:hAnsiTheme="minorBidi"/>
          <w:color w:val="373A3C"/>
          <w:sz w:val="24"/>
          <w:szCs w:val="24"/>
        </w:rPr>
        <w:t xml:space="preserve">[Accessed </w:t>
      </w:r>
      <w:r w:rsidR="00301099" w:rsidRPr="00535CEF">
        <w:rPr>
          <w:rFonts w:asciiTheme="minorBidi" w:eastAsia="Times New Roman" w:hAnsiTheme="minorBidi"/>
          <w:color w:val="373A3C"/>
          <w:sz w:val="24"/>
          <w:szCs w:val="24"/>
        </w:rPr>
        <w:t>17</w:t>
      </w:r>
      <w:r w:rsidR="00301099" w:rsidRPr="00535CEF">
        <w:rPr>
          <w:rFonts w:asciiTheme="minorBidi" w:eastAsia="Times New Roman" w:hAnsiTheme="minorBidi"/>
          <w:color w:val="373A3C"/>
          <w:sz w:val="24"/>
          <w:szCs w:val="24"/>
          <w:vertAlign w:val="superscript"/>
        </w:rPr>
        <w:t>th</w:t>
      </w:r>
      <w:r w:rsidR="00301099" w:rsidRPr="00535CEF">
        <w:rPr>
          <w:rFonts w:asciiTheme="minorBidi" w:eastAsia="Times New Roman" w:hAnsiTheme="minorBidi"/>
          <w:color w:val="373A3C"/>
          <w:sz w:val="24"/>
          <w:szCs w:val="24"/>
        </w:rPr>
        <w:t xml:space="preserve"> Oct</w:t>
      </w:r>
      <w:r w:rsidR="00301099" w:rsidRPr="00B474A8">
        <w:rPr>
          <w:rFonts w:asciiTheme="minorBidi" w:eastAsia="Times New Roman" w:hAnsiTheme="minorBidi"/>
          <w:color w:val="373A3C"/>
          <w:sz w:val="24"/>
          <w:szCs w:val="24"/>
        </w:rPr>
        <w:t xml:space="preserve"> 2022]</w:t>
      </w:r>
    </w:p>
    <w:p w:rsidR="00B474A8" w:rsidRPr="00B474A8" w:rsidRDefault="00B474A8" w:rsidP="00B474A8">
      <w:pPr>
        <w:shd w:val="clear" w:color="auto" w:fill="FFFFFF"/>
        <w:spacing w:after="0" w:line="480" w:lineRule="atLeast"/>
        <w:ind w:left="720" w:hanging="720"/>
        <w:rPr>
          <w:rFonts w:asciiTheme="minorBidi" w:eastAsia="Times New Roman" w:hAnsiTheme="minorBidi"/>
          <w:color w:val="373A3C"/>
          <w:sz w:val="24"/>
          <w:szCs w:val="24"/>
        </w:rPr>
      </w:pPr>
      <w:r w:rsidRPr="00B474A8">
        <w:rPr>
          <w:rFonts w:asciiTheme="minorBidi" w:eastAsia="Times New Roman" w:hAnsiTheme="minorBidi"/>
          <w:color w:val="373A3C"/>
          <w:sz w:val="24"/>
          <w:szCs w:val="24"/>
        </w:rPr>
        <w:t>Davidoff, S. (2019). </w:t>
      </w:r>
      <w:r w:rsidRPr="00B474A8">
        <w:rPr>
          <w:rFonts w:asciiTheme="minorBidi" w:eastAsia="Times New Roman" w:hAnsiTheme="minorBidi"/>
          <w:i/>
          <w:iCs/>
          <w:color w:val="373A3C"/>
          <w:sz w:val="24"/>
          <w:szCs w:val="24"/>
        </w:rPr>
        <w:t>Data breaches: Crisis and opportunity.</w:t>
      </w:r>
      <w:r w:rsidRPr="00B474A8">
        <w:rPr>
          <w:rFonts w:asciiTheme="minorBidi" w:eastAsia="Times New Roman" w:hAnsiTheme="minorBidi"/>
          <w:color w:val="373A3C"/>
          <w:sz w:val="24"/>
          <w:szCs w:val="24"/>
        </w:rPr>
        <w:t> Pearson Education.</w:t>
      </w:r>
    </w:p>
    <w:p w:rsidR="00B474A8" w:rsidRPr="00B474A8" w:rsidRDefault="00B474A8" w:rsidP="00B474A8">
      <w:pPr>
        <w:shd w:val="clear" w:color="auto" w:fill="FFFFFF"/>
        <w:spacing w:after="0" w:line="480" w:lineRule="atLeast"/>
        <w:ind w:left="720" w:hanging="720"/>
        <w:rPr>
          <w:rFonts w:asciiTheme="minorBidi" w:eastAsia="Times New Roman" w:hAnsiTheme="minorBidi"/>
          <w:color w:val="373A3C"/>
          <w:sz w:val="24"/>
          <w:szCs w:val="24"/>
        </w:rPr>
      </w:pPr>
      <w:r w:rsidRPr="00B474A8">
        <w:rPr>
          <w:rFonts w:asciiTheme="minorBidi" w:eastAsia="Times New Roman" w:hAnsiTheme="minorBidi"/>
          <w:i/>
          <w:iCs/>
          <w:color w:val="373A3C"/>
          <w:sz w:val="24"/>
          <w:szCs w:val="24"/>
        </w:rPr>
        <w:t>E4J university module series: Cybercrime. </w:t>
      </w:r>
      <w:r w:rsidRPr="00B474A8">
        <w:rPr>
          <w:rFonts w:asciiTheme="minorBidi" w:eastAsia="Times New Roman" w:hAnsiTheme="minorBidi"/>
          <w:color w:val="373A3C"/>
          <w:sz w:val="24"/>
          <w:szCs w:val="24"/>
        </w:rPr>
        <w:t>(2019). United Nations Office on Drugs and Crime. https://www.unodc.org/e4j/zh/cybercrime/module-2/key-issues/offences-against-the-confidentiality--integrity-and-availability-of-computer-data-and-systems.html</w:t>
      </w:r>
    </w:p>
    <w:p w:rsidR="00B474A8" w:rsidRPr="00B474A8" w:rsidRDefault="00B474A8" w:rsidP="00B474A8">
      <w:pPr>
        <w:shd w:val="clear" w:color="auto" w:fill="FFFFFF"/>
        <w:spacing w:after="0" w:line="480" w:lineRule="atLeast"/>
        <w:ind w:left="720" w:hanging="720"/>
        <w:rPr>
          <w:rFonts w:asciiTheme="minorBidi" w:eastAsia="Times New Roman" w:hAnsiTheme="minorBidi"/>
          <w:color w:val="373A3C"/>
          <w:sz w:val="24"/>
          <w:szCs w:val="24"/>
        </w:rPr>
      </w:pPr>
      <w:r w:rsidRPr="00B474A8">
        <w:rPr>
          <w:rFonts w:asciiTheme="minorBidi" w:eastAsia="Times New Roman" w:hAnsiTheme="minorBidi"/>
          <w:color w:val="373A3C"/>
          <w:sz w:val="24"/>
          <w:szCs w:val="24"/>
        </w:rPr>
        <w:t xml:space="preserve">Gottschalk, P. &amp; </w:t>
      </w:r>
      <w:proofErr w:type="spellStart"/>
      <w:r w:rsidRPr="00B474A8">
        <w:rPr>
          <w:rFonts w:asciiTheme="minorBidi" w:eastAsia="Times New Roman" w:hAnsiTheme="minorBidi"/>
          <w:color w:val="373A3C"/>
          <w:sz w:val="24"/>
          <w:szCs w:val="24"/>
        </w:rPr>
        <w:t>Hamerton</w:t>
      </w:r>
      <w:proofErr w:type="spellEnd"/>
      <w:r w:rsidRPr="00B474A8">
        <w:rPr>
          <w:rFonts w:asciiTheme="minorBidi" w:eastAsia="Times New Roman" w:hAnsiTheme="minorBidi"/>
          <w:color w:val="373A3C"/>
          <w:sz w:val="24"/>
          <w:szCs w:val="24"/>
        </w:rPr>
        <w:t>, C. (2021). </w:t>
      </w:r>
      <w:r w:rsidRPr="00B474A8">
        <w:rPr>
          <w:rFonts w:asciiTheme="minorBidi" w:eastAsia="Times New Roman" w:hAnsiTheme="minorBidi"/>
          <w:i/>
          <w:iCs/>
          <w:color w:val="373A3C"/>
          <w:sz w:val="24"/>
          <w:szCs w:val="24"/>
        </w:rPr>
        <w:t xml:space="preserve">White-collar crime online: Deviance, organizational </w:t>
      </w:r>
      <w:proofErr w:type="spellStart"/>
      <w:r w:rsidRPr="00B474A8">
        <w:rPr>
          <w:rFonts w:asciiTheme="minorBidi" w:eastAsia="Times New Roman" w:hAnsiTheme="minorBidi"/>
          <w:i/>
          <w:iCs/>
          <w:color w:val="373A3C"/>
          <w:sz w:val="24"/>
          <w:szCs w:val="24"/>
        </w:rPr>
        <w:t>behaviour</w:t>
      </w:r>
      <w:proofErr w:type="spellEnd"/>
      <w:r w:rsidRPr="00B474A8">
        <w:rPr>
          <w:rFonts w:asciiTheme="minorBidi" w:eastAsia="Times New Roman" w:hAnsiTheme="minorBidi"/>
          <w:i/>
          <w:iCs/>
          <w:color w:val="373A3C"/>
          <w:sz w:val="24"/>
          <w:szCs w:val="24"/>
        </w:rPr>
        <w:t xml:space="preserve"> and risk</w:t>
      </w:r>
      <w:r w:rsidRPr="00B474A8">
        <w:rPr>
          <w:rFonts w:asciiTheme="minorBidi" w:eastAsia="Times New Roman" w:hAnsiTheme="minorBidi"/>
          <w:color w:val="373A3C"/>
          <w:sz w:val="24"/>
          <w:szCs w:val="24"/>
        </w:rPr>
        <w:t>. Springer.</w:t>
      </w:r>
    </w:p>
    <w:p w:rsidR="00B474A8" w:rsidRPr="00B474A8" w:rsidRDefault="00B474A8" w:rsidP="00B474A8">
      <w:pPr>
        <w:spacing w:after="100" w:afterAutospacing="1" w:line="240" w:lineRule="auto"/>
        <w:rPr>
          <w:rFonts w:asciiTheme="minorBidi" w:eastAsia="Times New Roman" w:hAnsiTheme="minorBidi"/>
          <w:color w:val="373A3C"/>
          <w:sz w:val="24"/>
          <w:szCs w:val="24"/>
        </w:rPr>
      </w:pPr>
      <w:r w:rsidRPr="00B474A8">
        <w:rPr>
          <w:rFonts w:asciiTheme="minorBidi" w:eastAsia="Times New Roman" w:hAnsiTheme="minorBidi"/>
          <w:color w:val="373A3C"/>
          <w:sz w:val="24"/>
          <w:szCs w:val="24"/>
        </w:rPr>
        <w:lastRenderedPageBreak/>
        <w:t xml:space="preserve">Rahman, R. (2012). Legal jurisdiction over malware-related crimes: From theories of jurisdiction to solid practical application. Computer Law &amp; Security Review, 28(4), pp.403–415. </w:t>
      </w:r>
      <w:proofErr w:type="gramStart"/>
      <w:r w:rsidRPr="00B474A8">
        <w:rPr>
          <w:rFonts w:asciiTheme="minorBidi" w:eastAsia="Times New Roman" w:hAnsiTheme="minorBidi"/>
          <w:color w:val="373A3C"/>
          <w:sz w:val="24"/>
          <w:szCs w:val="24"/>
        </w:rPr>
        <w:t>doi:10.1016/j.clsr</w:t>
      </w:r>
      <w:proofErr w:type="gramEnd"/>
      <w:r w:rsidRPr="00B474A8">
        <w:rPr>
          <w:rFonts w:asciiTheme="minorBidi" w:eastAsia="Times New Roman" w:hAnsiTheme="minorBidi"/>
          <w:color w:val="373A3C"/>
          <w:sz w:val="24"/>
          <w:szCs w:val="24"/>
        </w:rPr>
        <w:t>.2012.03.004.</w:t>
      </w:r>
    </w:p>
    <w:bookmarkEnd w:id="0"/>
    <w:p w:rsidR="00B474A8" w:rsidRPr="00535CEF" w:rsidRDefault="00B474A8" w:rsidP="00B474A8">
      <w:pPr>
        <w:rPr>
          <w:rFonts w:asciiTheme="minorBidi" w:hAnsiTheme="minorBidi"/>
          <w:sz w:val="24"/>
          <w:szCs w:val="24"/>
        </w:rPr>
      </w:pPr>
    </w:p>
    <w:sectPr w:rsidR="00B474A8" w:rsidRPr="0053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C4"/>
    <w:rsid w:val="00301099"/>
    <w:rsid w:val="00521AA7"/>
    <w:rsid w:val="00535CEF"/>
    <w:rsid w:val="005450D1"/>
    <w:rsid w:val="00A41BC4"/>
    <w:rsid w:val="00B47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3C95"/>
  <w15:chartTrackingRefBased/>
  <w15:docId w15:val="{091FE94A-DB42-425A-A921-8709A310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58142">
      <w:bodyDiv w:val="1"/>
      <w:marLeft w:val="0"/>
      <w:marRight w:val="0"/>
      <w:marTop w:val="0"/>
      <w:marBottom w:val="0"/>
      <w:divBdr>
        <w:top w:val="none" w:sz="0" w:space="0" w:color="auto"/>
        <w:left w:val="none" w:sz="0" w:space="0" w:color="auto"/>
        <w:bottom w:val="none" w:sz="0" w:space="0" w:color="auto"/>
        <w:right w:val="none" w:sz="0" w:space="0" w:color="auto"/>
      </w:divBdr>
    </w:div>
    <w:div w:id="185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2022-10-18T03:32:00Z</dcterms:created>
  <dcterms:modified xsi:type="dcterms:W3CDTF">2022-10-18T03:39:00Z</dcterms:modified>
</cp:coreProperties>
</file>