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06A" w:rsidRPr="008A3A0F" w:rsidRDefault="00A5506A" w:rsidP="00A5506A">
      <w:pPr>
        <w:spacing w:line="276" w:lineRule="auto"/>
        <w:jc w:val="center"/>
        <w:rPr>
          <w:rFonts w:ascii="Arial" w:eastAsia="Times New Roman" w:hAnsi="Arial" w:cs="Arial"/>
          <w:sz w:val="24"/>
          <w:szCs w:val="24"/>
        </w:rPr>
      </w:pPr>
      <w:r w:rsidRPr="008A3A0F">
        <w:rPr>
          <w:rFonts w:ascii="Arial" w:eastAsia="Times New Roman" w:hAnsi="Arial" w:cs="Arial"/>
          <w:b/>
          <w:bCs/>
          <w:sz w:val="24"/>
          <w:szCs w:val="24"/>
          <w:u w:val="single"/>
        </w:rPr>
        <w:t>Unit 8: How to Evaluate and Apply Applicable Security Standards</w:t>
      </w:r>
    </w:p>
    <w:p w:rsidR="00A5506A" w:rsidRPr="008A3A0F" w:rsidRDefault="00A5506A" w:rsidP="00A5506A">
      <w:pPr>
        <w:spacing w:after="0" w:line="276" w:lineRule="auto"/>
        <w:jc w:val="center"/>
        <w:rPr>
          <w:rFonts w:ascii="Arial" w:eastAsia="Times New Roman" w:hAnsi="Arial" w:cs="Arial"/>
          <w:sz w:val="24"/>
          <w:szCs w:val="24"/>
        </w:rPr>
      </w:pPr>
    </w:p>
    <w:p w:rsidR="00A5506A" w:rsidRPr="008A3A0F" w:rsidRDefault="00A5506A" w:rsidP="00A5506A">
      <w:pPr>
        <w:shd w:val="clear" w:color="auto" w:fill="FFFFFF"/>
        <w:spacing w:after="0" w:line="276" w:lineRule="auto"/>
        <w:outlineLvl w:val="3"/>
        <w:rPr>
          <w:rFonts w:ascii="Arial" w:eastAsia="Times New Roman" w:hAnsi="Arial" w:cs="Arial"/>
          <w:b/>
          <w:bCs/>
          <w:sz w:val="24"/>
          <w:szCs w:val="24"/>
        </w:rPr>
      </w:pPr>
      <w:r w:rsidRPr="008A3A0F">
        <w:rPr>
          <w:rFonts w:ascii="Arial" w:eastAsia="Times New Roman" w:hAnsi="Arial" w:cs="Arial"/>
          <w:b/>
          <w:bCs/>
          <w:sz w:val="24"/>
          <w:szCs w:val="24"/>
        </w:rPr>
        <w:t>Objectives:</w:t>
      </w:r>
    </w:p>
    <w:p w:rsidR="00A5506A" w:rsidRDefault="00A5506A" w:rsidP="00A5506A">
      <w:pPr>
        <w:pStyle w:val="ListParagraph"/>
        <w:numPr>
          <w:ilvl w:val="0"/>
          <w:numId w:val="2"/>
        </w:numPr>
        <w:shd w:val="clear" w:color="auto" w:fill="FFFFFF"/>
        <w:spacing w:after="0" w:line="276" w:lineRule="auto"/>
        <w:textAlignment w:val="baseline"/>
        <w:rPr>
          <w:rFonts w:ascii="Arial" w:eastAsia="Times New Roman" w:hAnsi="Arial" w:cs="Arial"/>
          <w:sz w:val="24"/>
          <w:szCs w:val="24"/>
        </w:rPr>
      </w:pPr>
      <w:r w:rsidRPr="00AA0E14">
        <w:rPr>
          <w:rFonts w:ascii="Arial" w:eastAsia="Times New Roman" w:hAnsi="Arial" w:cs="Arial"/>
          <w:sz w:val="24"/>
          <w:szCs w:val="24"/>
        </w:rPr>
        <w:t>Review and discuss a number of GDPR related case studies.</w:t>
      </w:r>
    </w:p>
    <w:p w:rsidR="00A5506A" w:rsidRDefault="00A5506A" w:rsidP="00A5506A">
      <w:pPr>
        <w:pStyle w:val="ListParagraph"/>
        <w:numPr>
          <w:ilvl w:val="0"/>
          <w:numId w:val="2"/>
        </w:numPr>
        <w:shd w:val="clear" w:color="auto" w:fill="FFFFFF"/>
        <w:spacing w:after="0" w:line="276" w:lineRule="auto"/>
        <w:textAlignment w:val="baseline"/>
        <w:rPr>
          <w:rFonts w:ascii="Arial" w:eastAsia="Times New Roman" w:hAnsi="Arial" w:cs="Arial"/>
          <w:sz w:val="24"/>
          <w:szCs w:val="24"/>
        </w:rPr>
      </w:pPr>
      <w:r w:rsidRPr="00AA0E14">
        <w:rPr>
          <w:rFonts w:ascii="Arial" w:eastAsia="Times New Roman" w:hAnsi="Arial" w:cs="Arial"/>
          <w:sz w:val="24"/>
          <w:szCs w:val="24"/>
        </w:rPr>
        <w:t>Review standards web sites.</w:t>
      </w:r>
    </w:p>
    <w:p w:rsidR="00A5506A" w:rsidRPr="00AA0E14" w:rsidRDefault="00A5506A" w:rsidP="00A5506A">
      <w:pPr>
        <w:pStyle w:val="ListParagraph"/>
        <w:numPr>
          <w:ilvl w:val="0"/>
          <w:numId w:val="2"/>
        </w:numPr>
        <w:shd w:val="clear" w:color="auto" w:fill="FFFFFF"/>
        <w:spacing w:after="0" w:line="276" w:lineRule="auto"/>
        <w:textAlignment w:val="baseline"/>
        <w:rPr>
          <w:rFonts w:ascii="Arial" w:eastAsia="Times New Roman" w:hAnsi="Arial" w:cs="Arial"/>
          <w:sz w:val="24"/>
          <w:szCs w:val="24"/>
        </w:rPr>
      </w:pPr>
      <w:r w:rsidRPr="00AA0E14">
        <w:rPr>
          <w:rFonts w:ascii="Arial" w:eastAsia="Times New Roman" w:hAnsi="Arial" w:cs="Arial"/>
          <w:sz w:val="24"/>
          <w:szCs w:val="24"/>
        </w:rPr>
        <w:t>Discuss case studies and standards on the forum.</w:t>
      </w:r>
    </w:p>
    <w:p w:rsidR="00A5506A" w:rsidRPr="008A3A0F" w:rsidRDefault="00A5506A" w:rsidP="00A5506A">
      <w:pPr>
        <w:shd w:val="clear" w:color="auto" w:fill="FFFFFF"/>
        <w:spacing w:after="0" w:line="276" w:lineRule="auto"/>
        <w:textAlignment w:val="baseline"/>
        <w:rPr>
          <w:rFonts w:ascii="Arial" w:eastAsia="Times New Roman" w:hAnsi="Arial" w:cs="Arial"/>
          <w:sz w:val="24"/>
          <w:szCs w:val="24"/>
        </w:rPr>
      </w:pPr>
    </w:p>
    <w:p w:rsidR="00A5506A" w:rsidRPr="008A3A0F" w:rsidRDefault="00A5506A" w:rsidP="00A5506A">
      <w:pPr>
        <w:shd w:val="clear" w:color="auto" w:fill="FFFFFF"/>
        <w:spacing w:after="0" w:line="276" w:lineRule="auto"/>
        <w:outlineLvl w:val="3"/>
        <w:rPr>
          <w:rFonts w:ascii="Arial" w:eastAsia="Times New Roman" w:hAnsi="Arial" w:cs="Arial"/>
          <w:b/>
          <w:bCs/>
          <w:sz w:val="24"/>
          <w:szCs w:val="24"/>
        </w:rPr>
      </w:pPr>
      <w:r w:rsidRPr="008A3A0F">
        <w:rPr>
          <w:rFonts w:ascii="Arial" w:eastAsia="Times New Roman" w:hAnsi="Arial" w:cs="Arial"/>
          <w:b/>
          <w:bCs/>
          <w:sz w:val="24"/>
          <w:szCs w:val="24"/>
        </w:rPr>
        <w:t>Outcomes:</w:t>
      </w:r>
    </w:p>
    <w:p w:rsidR="00A5506A" w:rsidRDefault="00A5506A" w:rsidP="00A5506A">
      <w:pPr>
        <w:pStyle w:val="ListParagraph"/>
        <w:numPr>
          <w:ilvl w:val="0"/>
          <w:numId w:val="3"/>
        </w:numPr>
        <w:shd w:val="clear" w:color="auto" w:fill="FFFFFF"/>
        <w:spacing w:after="0" w:line="276" w:lineRule="auto"/>
        <w:textAlignment w:val="baseline"/>
        <w:rPr>
          <w:rFonts w:ascii="Arial" w:eastAsia="Times New Roman" w:hAnsi="Arial" w:cs="Arial"/>
          <w:sz w:val="24"/>
          <w:szCs w:val="24"/>
        </w:rPr>
      </w:pPr>
      <w:r w:rsidRPr="00AA0E14">
        <w:rPr>
          <w:rFonts w:ascii="Arial" w:eastAsia="Times New Roman" w:hAnsi="Arial" w:cs="Arial"/>
          <w:sz w:val="24"/>
          <w:szCs w:val="24"/>
        </w:rPr>
        <w:t>Explain which GDPR regulations are applicable to their assigned website.</w:t>
      </w:r>
    </w:p>
    <w:p w:rsidR="00A5506A" w:rsidRDefault="00A5506A" w:rsidP="00A5506A">
      <w:pPr>
        <w:pStyle w:val="ListParagraph"/>
        <w:numPr>
          <w:ilvl w:val="0"/>
          <w:numId w:val="3"/>
        </w:numPr>
        <w:shd w:val="clear" w:color="auto" w:fill="FFFFFF"/>
        <w:spacing w:after="0" w:line="276" w:lineRule="auto"/>
        <w:textAlignment w:val="baseline"/>
        <w:rPr>
          <w:rFonts w:ascii="Arial" w:eastAsia="Times New Roman" w:hAnsi="Arial" w:cs="Arial"/>
          <w:sz w:val="24"/>
          <w:szCs w:val="24"/>
        </w:rPr>
      </w:pPr>
      <w:r w:rsidRPr="00AA0E14">
        <w:rPr>
          <w:rFonts w:ascii="Arial" w:eastAsia="Times New Roman" w:hAnsi="Arial" w:cs="Arial"/>
          <w:sz w:val="24"/>
          <w:szCs w:val="24"/>
        </w:rPr>
        <w:t>Describe which other standards their assigned website needs to meet.</w:t>
      </w:r>
    </w:p>
    <w:p w:rsidR="00A5506A" w:rsidRPr="00AA0E14" w:rsidRDefault="00A5506A" w:rsidP="00A5506A">
      <w:pPr>
        <w:pStyle w:val="ListParagraph"/>
        <w:numPr>
          <w:ilvl w:val="0"/>
          <w:numId w:val="3"/>
        </w:numPr>
        <w:shd w:val="clear" w:color="auto" w:fill="FFFFFF"/>
        <w:spacing w:after="0" w:line="276" w:lineRule="auto"/>
        <w:textAlignment w:val="baseline"/>
        <w:rPr>
          <w:rFonts w:ascii="Arial" w:eastAsia="Times New Roman" w:hAnsi="Arial" w:cs="Arial"/>
          <w:sz w:val="24"/>
          <w:szCs w:val="24"/>
        </w:rPr>
      </w:pPr>
      <w:r w:rsidRPr="00AA0E14">
        <w:rPr>
          <w:rFonts w:ascii="Arial" w:eastAsia="Times New Roman" w:hAnsi="Arial" w:cs="Arial"/>
          <w:sz w:val="24"/>
          <w:szCs w:val="24"/>
        </w:rPr>
        <w:t>Advise on mitigations to help a website meet any of the standards applicable to its specific industry, such as data and privacy (GDPR) or financial (PCI-DSS).</w:t>
      </w:r>
    </w:p>
    <w:p w:rsidR="00A5506A" w:rsidRPr="008A3A0F" w:rsidRDefault="00A5506A" w:rsidP="00A5506A">
      <w:pPr>
        <w:spacing w:after="0" w:line="276" w:lineRule="auto"/>
        <w:rPr>
          <w:rFonts w:ascii="Arial" w:eastAsia="Times New Roman" w:hAnsi="Arial" w:cs="Arial"/>
          <w:sz w:val="24"/>
          <w:szCs w:val="24"/>
        </w:rPr>
      </w:pPr>
    </w:p>
    <w:p w:rsidR="00A5506A" w:rsidRPr="008A3A0F" w:rsidRDefault="00A5506A" w:rsidP="00A5506A">
      <w:pPr>
        <w:spacing w:line="276" w:lineRule="auto"/>
        <w:rPr>
          <w:rFonts w:ascii="Arial" w:eastAsia="Times New Roman" w:hAnsi="Arial" w:cs="Arial"/>
          <w:sz w:val="24"/>
          <w:szCs w:val="24"/>
        </w:rPr>
      </w:pPr>
      <w:r w:rsidRPr="008A3A0F">
        <w:rPr>
          <w:rFonts w:ascii="Arial" w:eastAsia="Times New Roman" w:hAnsi="Arial" w:cs="Arial"/>
          <w:b/>
          <w:bCs/>
          <w:sz w:val="24"/>
          <w:szCs w:val="24"/>
        </w:rPr>
        <w:t>Reflection:</w:t>
      </w:r>
    </w:p>
    <w:p w:rsidR="00A5506A" w:rsidRPr="008A3A0F" w:rsidRDefault="00A5506A" w:rsidP="00A5506A">
      <w:pPr>
        <w:spacing w:after="0" w:line="276" w:lineRule="auto"/>
        <w:rPr>
          <w:rFonts w:ascii="Arial" w:eastAsia="Times New Roman" w:hAnsi="Arial" w:cs="Arial"/>
          <w:sz w:val="24"/>
          <w:szCs w:val="24"/>
        </w:rPr>
      </w:pPr>
      <w:r w:rsidRPr="00E74C59">
        <w:rPr>
          <w:rFonts w:ascii="Arial" w:eastAsia="Times New Roman" w:hAnsi="Arial" w:cs="Arial"/>
          <w:sz w:val="24"/>
          <w:szCs w:val="24"/>
        </w:rPr>
        <w:t xml:space="preserve">Regulations governing the collection and use of personal data from EU citizens </w:t>
      </w:r>
      <w:r w:rsidRPr="008A3A0F">
        <w:rPr>
          <w:rFonts w:ascii="Arial" w:eastAsia="Times New Roman" w:hAnsi="Arial" w:cs="Arial"/>
          <w:sz w:val="24"/>
          <w:szCs w:val="24"/>
        </w:rPr>
        <w:t>are provided by the General Data Protection Regulation (GDPR) (EU). Although a webpage does not explicitly promote products or services to EU residents, it must abide by the Regulation because it applies to all websites that draw European users (Yuan and Li, 2019). Companies outside of the European Union (EU) face responsibilities under this law as long as they gather or target information about EU citizens. May 25, 2018 was the date when the rule went into force</w:t>
      </w:r>
      <w:r>
        <w:rPr>
          <w:rFonts w:ascii="Arial" w:eastAsia="Times New Roman" w:hAnsi="Arial" w:cs="Arial"/>
          <w:sz w:val="24"/>
          <w:szCs w:val="24"/>
        </w:rPr>
        <w:t xml:space="preserve">. </w:t>
      </w:r>
      <w:r w:rsidRPr="00E74C59">
        <w:rPr>
          <w:rFonts w:ascii="Arial" w:eastAsia="Times New Roman" w:hAnsi="Arial" w:cs="Arial"/>
          <w:sz w:val="24"/>
          <w:szCs w:val="24"/>
        </w:rPr>
        <w:t xml:space="preserve">According to the new legislation, fines for breaking the GDPR's privacy standards may reach tens of millions of euros. </w:t>
      </w:r>
      <w:r w:rsidRPr="008A3A0F">
        <w:rPr>
          <w:rFonts w:ascii="Arial" w:eastAsia="Times New Roman" w:hAnsi="Arial" w:cs="Arial"/>
          <w:sz w:val="24"/>
          <w:szCs w:val="24"/>
        </w:rPr>
        <w:t>(</w:t>
      </w:r>
      <w:proofErr w:type="spellStart"/>
      <w:r w:rsidRPr="008A3A0F">
        <w:rPr>
          <w:rFonts w:ascii="Arial" w:eastAsia="Times New Roman" w:hAnsi="Arial" w:cs="Arial"/>
          <w:sz w:val="24"/>
          <w:szCs w:val="24"/>
        </w:rPr>
        <w:t>Pawlicka</w:t>
      </w:r>
      <w:proofErr w:type="spellEnd"/>
      <w:r w:rsidRPr="008A3A0F">
        <w:rPr>
          <w:rFonts w:ascii="Arial" w:eastAsia="Times New Roman" w:hAnsi="Arial" w:cs="Arial"/>
          <w:sz w:val="24"/>
          <w:szCs w:val="24"/>
        </w:rPr>
        <w:t xml:space="preserve"> et al., 2020). </w:t>
      </w:r>
    </w:p>
    <w:p w:rsidR="00A5506A" w:rsidRDefault="00A5506A" w:rsidP="00A5506A">
      <w:pPr>
        <w:spacing w:after="0" w:line="276" w:lineRule="auto"/>
        <w:rPr>
          <w:rFonts w:ascii="Arial" w:eastAsia="Times New Roman" w:hAnsi="Arial" w:cs="Arial"/>
          <w:sz w:val="24"/>
          <w:szCs w:val="24"/>
        </w:rPr>
      </w:pPr>
    </w:p>
    <w:p w:rsidR="00A5506A" w:rsidRPr="008A3A0F" w:rsidRDefault="00A5506A" w:rsidP="00A5506A">
      <w:pPr>
        <w:spacing w:after="0" w:line="276" w:lineRule="auto"/>
        <w:rPr>
          <w:rFonts w:ascii="Arial" w:eastAsia="Times New Roman" w:hAnsi="Arial" w:cs="Arial"/>
          <w:sz w:val="24"/>
          <w:szCs w:val="24"/>
        </w:rPr>
      </w:pPr>
      <w:r w:rsidRPr="00E74C59">
        <w:rPr>
          <w:rFonts w:ascii="Arial" w:eastAsia="Times New Roman" w:hAnsi="Arial" w:cs="Arial"/>
          <w:sz w:val="24"/>
          <w:szCs w:val="24"/>
        </w:rPr>
        <w:t>The GDPR signifies Europe's firm stance on data protection and privacy at a time when a growing number of people are turning up their private information to digital businesses. GDPR compliance may be a burden for organizations and people because of the regulation's breadth, complexity, and lack of clarity. The following are the basic tenets of GDPR</w:t>
      </w:r>
      <w:r w:rsidRPr="008A3A0F">
        <w:rPr>
          <w:rFonts w:ascii="Arial" w:eastAsia="Times New Roman" w:hAnsi="Arial" w:cs="Arial"/>
          <w:sz w:val="24"/>
          <w:szCs w:val="24"/>
        </w:rPr>
        <w:t>:</w:t>
      </w:r>
      <w:r w:rsidRPr="008A3A0F">
        <w:rPr>
          <w:rFonts w:ascii="Arial" w:hAnsi="Arial" w:cs="Arial"/>
          <w:sz w:val="24"/>
          <w:szCs w:val="24"/>
        </w:rPr>
        <w:t xml:space="preserve"> </w:t>
      </w:r>
      <w:r w:rsidRPr="008A3A0F">
        <w:rPr>
          <w:rFonts w:ascii="Arial" w:eastAsia="Times New Roman" w:hAnsi="Arial" w:cs="Arial"/>
          <w:sz w:val="24"/>
          <w:szCs w:val="24"/>
        </w:rPr>
        <w:t>(</w:t>
      </w:r>
      <w:proofErr w:type="spellStart"/>
      <w:r w:rsidRPr="008A3A0F">
        <w:rPr>
          <w:rFonts w:ascii="Arial" w:eastAsia="Times New Roman" w:hAnsi="Arial" w:cs="Arial"/>
          <w:sz w:val="24"/>
          <w:szCs w:val="24"/>
        </w:rPr>
        <w:t>Frankenfield</w:t>
      </w:r>
      <w:proofErr w:type="spellEnd"/>
      <w:r w:rsidRPr="008A3A0F">
        <w:rPr>
          <w:rFonts w:ascii="Arial" w:eastAsia="Times New Roman" w:hAnsi="Arial" w:cs="Arial"/>
          <w:sz w:val="24"/>
          <w:szCs w:val="24"/>
        </w:rPr>
        <w:t>, 2020)</w:t>
      </w:r>
    </w:p>
    <w:p w:rsidR="00A5506A" w:rsidRDefault="00A5506A" w:rsidP="00A5506A">
      <w:pPr>
        <w:pStyle w:val="ListParagraph"/>
        <w:numPr>
          <w:ilvl w:val="0"/>
          <w:numId w:val="1"/>
        </w:numPr>
        <w:spacing w:after="0" w:line="276" w:lineRule="auto"/>
        <w:rPr>
          <w:rFonts w:ascii="Arial" w:eastAsia="Times New Roman" w:hAnsi="Arial" w:cs="Arial"/>
          <w:sz w:val="24"/>
          <w:szCs w:val="24"/>
        </w:rPr>
      </w:pPr>
      <w:r w:rsidRPr="008A3A0F">
        <w:rPr>
          <w:rFonts w:ascii="Arial" w:eastAsia="Times New Roman" w:hAnsi="Arial" w:cs="Arial"/>
          <w:sz w:val="24"/>
          <w:szCs w:val="24"/>
        </w:rPr>
        <w:t>Lawfulness, fairness and transparency</w:t>
      </w:r>
    </w:p>
    <w:p w:rsidR="00A5506A" w:rsidRPr="00ED2A61" w:rsidRDefault="00A5506A" w:rsidP="00A5506A">
      <w:pPr>
        <w:numPr>
          <w:ilvl w:val="0"/>
          <w:numId w:val="1"/>
        </w:numPr>
        <w:shd w:val="clear" w:color="auto" w:fill="FFFFFF"/>
        <w:spacing w:after="0" w:line="276" w:lineRule="auto"/>
        <w:textAlignment w:val="baseline"/>
        <w:rPr>
          <w:rFonts w:ascii="Arial" w:eastAsia="Times New Roman" w:hAnsi="Arial" w:cs="Arial"/>
          <w:sz w:val="24"/>
          <w:szCs w:val="24"/>
        </w:rPr>
      </w:pPr>
      <w:r w:rsidRPr="008A3A0F">
        <w:rPr>
          <w:rFonts w:ascii="Arial" w:eastAsia="Times New Roman" w:hAnsi="Arial" w:cs="Arial"/>
          <w:sz w:val="24"/>
          <w:szCs w:val="24"/>
        </w:rPr>
        <w:t>Storage limitation</w:t>
      </w:r>
    </w:p>
    <w:p w:rsidR="00A5506A" w:rsidRPr="00E74C59" w:rsidRDefault="00A5506A" w:rsidP="00A5506A">
      <w:pPr>
        <w:numPr>
          <w:ilvl w:val="0"/>
          <w:numId w:val="1"/>
        </w:numPr>
        <w:shd w:val="clear" w:color="auto" w:fill="FFFFFF"/>
        <w:spacing w:after="0" w:line="276" w:lineRule="auto"/>
        <w:textAlignment w:val="baseline"/>
        <w:rPr>
          <w:rFonts w:ascii="Arial" w:eastAsia="Times New Roman" w:hAnsi="Arial" w:cs="Arial"/>
          <w:sz w:val="24"/>
          <w:szCs w:val="24"/>
        </w:rPr>
      </w:pPr>
      <w:r w:rsidRPr="008A3A0F">
        <w:rPr>
          <w:rFonts w:ascii="Arial" w:eastAsia="Times New Roman" w:hAnsi="Arial" w:cs="Arial"/>
          <w:sz w:val="24"/>
          <w:szCs w:val="24"/>
        </w:rPr>
        <w:t>Purpose limitation</w:t>
      </w:r>
    </w:p>
    <w:p w:rsidR="00A5506A" w:rsidRPr="00E74C59" w:rsidRDefault="00A5506A" w:rsidP="00A5506A">
      <w:pPr>
        <w:numPr>
          <w:ilvl w:val="0"/>
          <w:numId w:val="1"/>
        </w:numPr>
        <w:shd w:val="clear" w:color="auto" w:fill="FFFFFF"/>
        <w:spacing w:after="60" w:line="276" w:lineRule="auto"/>
        <w:textAlignment w:val="baseline"/>
        <w:rPr>
          <w:rFonts w:ascii="Arial" w:eastAsia="Times New Roman" w:hAnsi="Arial" w:cs="Arial"/>
          <w:sz w:val="24"/>
          <w:szCs w:val="24"/>
        </w:rPr>
      </w:pPr>
      <w:r w:rsidRPr="008A3A0F">
        <w:rPr>
          <w:rFonts w:ascii="Arial" w:eastAsia="Times New Roman" w:hAnsi="Arial" w:cs="Arial"/>
          <w:sz w:val="24"/>
          <w:szCs w:val="24"/>
        </w:rPr>
        <w:t>Accountability</w:t>
      </w:r>
    </w:p>
    <w:p w:rsidR="00A5506A" w:rsidRDefault="00A5506A" w:rsidP="00A5506A">
      <w:pPr>
        <w:numPr>
          <w:ilvl w:val="0"/>
          <w:numId w:val="1"/>
        </w:numPr>
        <w:shd w:val="clear" w:color="auto" w:fill="FFFFFF"/>
        <w:spacing w:after="0" w:line="276" w:lineRule="auto"/>
        <w:textAlignment w:val="baseline"/>
        <w:rPr>
          <w:rFonts w:ascii="Arial" w:eastAsia="Times New Roman" w:hAnsi="Arial" w:cs="Arial"/>
          <w:sz w:val="24"/>
          <w:szCs w:val="24"/>
        </w:rPr>
      </w:pPr>
      <w:r w:rsidRPr="008A3A0F">
        <w:rPr>
          <w:rFonts w:ascii="Arial" w:eastAsia="Times New Roman" w:hAnsi="Arial" w:cs="Arial"/>
          <w:sz w:val="24"/>
          <w:szCs w:val="24"/>
        </w:rPr>
        <w:t>Accuracy</w:t>
      </w:r>
    </w:p>
    <w:p w:rsidR="00A5506A" w:rsidRPr="00ED2A61" w:rsidRDefault="00A5506A" w:rsidP="00A5506A">
      <w:pPr>
        <w:numPr>
          <w:ilvl w:val="0"/>
          <w:numId w:val="1"/>
        </w:numPr>
        <w:shd w:val="clear" w:color="auto" w:fill="FFFFFF"/>
        <w:spacing w:after="0" w:line="276" w:lineRule="auto"/>
        <w:textAlignment w:val="baseline"/>
        <w:rPr>
          <w:rFonts w:ascii="Arial" w:eastAsia="Times New Roman" w:hAnsi="Arial" w:cs="Arial"/>
          <w:sz w:val="24"/>
          <w:szCs w:val="24"/>
        </w:rPr>
      </w:pPr>
      <w:r w:rsidRPr="008A3A0F">
        <w:rPr>
          <w:rFonts w:ascii="Arial" w:eastAsia="Times New Roman" w:hAnsi="Arial" w:cs="Arial"/>
          <w:sz w:val="24"/>
          <w:szCs w:val="24"/>
        </w:rPr>
        <w:t>Data minimization</w:t>
      </w:r>
    </w:p>
    <w:p w:rsidR="00A5506A" w:rsidRDefault="00A5506A" w:rsidP="00567E42">
      <w:pPr>
        <w:numPr>
          <w:ilvl w:val="0"/>
          <w:numId w:val="1"/>
        </w:numPr>
        <w:shd w:val="clear" w:color="auto" w:fill="FFFFFF"/>
        <w:spacing w:after="0" w:line="276" w:lineRule="auto"/>
        <w:textAlignment w:val="baseline"/>
        <w:rPr>
          <w:rFonts w:ascii="Arial" w:eastAsia="Times New Roman" w:hAnsi="Arial" w:cs="Arial"/>
          <w:sz w:val="24"/>
          <w:szCs w:val="24"/>
        </w:rPr>
      </w:pPr>
      <w:r w:rsidRPr="008A3A0F">
        <w:rPr>
          <w:rFonts w:ascii="Arial" w:eastAsia="Times New Roman" w:hAnsi="Arial" w:cs="Arial"/>
          <w:sz w:val="24"/>
          <w:szCs w:val="24"/>
        </w:rPr>
        <w:t xml:space="preserve">Integrity and confidentiality </w:t>
      </w:r>
    </w:p>
    <w:p w:rsidR="00567E42" w:rsidRDefault="00567E42" w:rsidP="00567E42">
      <w:pPr>
        <w:shd w:val="clear" w:color="auto" w:fill="FFFFFF"/>
        <w:spacing w:after="0" w:line="276" w:lineRule="auto"/>
        <w:textAlignment w:val="baseline"/>
        <w:rPr>
          <w:rFonts w:ascii="Arial" w:eastAsia="Times New Roman" w:hAnsi="Arial" w:cs="Arial"/>
          <w:sz w:val="24"/>
          <w:szCs w:val="24"/>
        </w:rPr>
      </w:pPr>
    </w:p>
    <w:p w:rsidR="00567E42" w:rsidRPr="00567E42" w:rsidRDefault="00567E42" w:rsidP="00567E42">
      <w:pPr>
        <w:shd w:val="clear" w:color="auto" w:fill="FFFFFF"/>
        <w:spacing w:after="0" w:line="276" w:lineRule="auto"/>
        <w:textAlignment w:val="baseline"/>
        <w:rPr>
          <w:rFonts w:ascii="Arial" w:eastAsia="Times New Roman" w:hAnsi="Arial" w:cs="Arial"/>
          <w:sz w:val="24"/>
          <w:szCs w:val="24"/>
        </w:rPr>
      </w:pPr>
    </w:p>
    <w:p w:rsidR="00A5506A" w:rsidRDefault="00A5506A" w:rsidP="00A5506A">
      <w:pPr>
        <w:spacing w:before="240" w:after="0" w:line="276" w:lineRule="auto"/>
        <w:rPr>
          <w:rFonts w:ascii="Arial" w:eastAsia="Times New Roman" w:hAnsi="Arial" w:cs="Arial"/>
          <w:b/>
          <w:bCs/>
          <w:sz w:val="24"/>
          <w:szCs w:val="24"/>
        </w:rPr>
      </w:pPr>
      <w:r w:rsidRPr="008A3A0F">
        <w:rPr>
          <w:rFonts w:ascii="Arial" w:eastAsia="Times New Roman" w:hAnsi="Arial" w:cs="Arial"/>
          <w:b/>
          <w:bCs/>
          <w:sz w:val="24"/>
          <w:szCs w:val="24"/>
        </w:rPr>
        <w:lastRenderedPageBreak/>
        <w:t>References</w:t>
      </w:r>
    </w:p>
    <w:p w:rsidR="00567E42" w:rsidRPr="008A3A0F" w:rsidRDefault="00567E42" w:rsidP="00A5506A">
      <w:pPr>
        <w:spacing w:before="240" w:after="0" w:line="276" w:lineRule="auto"/>
        <w:rPr>
          <w:rFonts w:ascii="Arial" w:eastAsia="Times New Roman" w:hAnsi="Arial" w:cs="Arial"/>
          <w:b/>
          <w:bCs/>
          <w:sz w:val="24"/>
          <w:szCs w:val="24"/>
        </w:rPr>
      </w:pPr>
    </w:p>
    <w:p w:rsidR="00A5506A" w:rsidRPr="008A3A0F" w:rsidRDefault="00A5506A" w:rsidP="003357EF">
      <w:pPr>
        <w:spacing w:after="240" w:line="276" w:lineRule="auto"/>
        <w:rPr>
          <w:rFonts w:ascii="Arial" w:eastAsia="Times New Roman" w:hAnsi="Arial" w:cs="Arial"/>
          <w:sz w:val="24"/>
          <w:szCs w:val="24"/>
        </w:rPr>
      </w:pPr>
      <w:proofErr w:type="spellStart"/>
      <w:r w:rsidRPr="008A3A0F">
        <w:rPr>
          <w:rFonts w:ascii="Arial" w:hAnsi="Arial" w:cs="Arial"/>
          <w:sz w:val="24"/>
          <w:szCs w:val="24"/>
        </w:rPr>
        <w:t>Frankenfield</w:t>
      </w:r>
      <w:proofErr w:type="spellEnd"/>
      <w:r w:rsidRPr="008A3A0F">
        <w:rPr>
          <w:rFonts w:ascii="Arial" w:hAnsi="Arial" w:cs="Arial"/>
          <w:sz w:val="24"/>
          <w:szCs w:val="24"/>
        </w:rPr>
        <w:t xml:space="preserve">, J. (2020). </w:t>
      </w:r>
      <w:r w:rsidRPr="008A3A0F">
        <w:rPr>
          <w:rFonts w:ascii="Arial" w:hAnsi="Arial" w:cs="Arial"/>
          <w:i/>
          <w:iCs/>
          <w:sz w:val="24"/>
          <w:szCs w:val="24"/>
        </w:rPr>
        <w:t>General Data Protection Regulation (GDPR)</w:t>
      </w:r>
      <w:r w:rsidRPr="008A3A0F">
        <w:rPr>
          <w:rFonts w:ascii="Arial" w:hAnsi="Arial" w:cs="Arial"/>
          <w:sz w:val="24"/>
          <w:szCs w:val="24"/>
        </w:rPr>
        <w:t>. [online] Investopedia. Available at:</w:t>
      </w:r>
      <w:r w:rsidR="003357EF" w:rsidRPr="003357EF">
        <w:t xml:space="preserve"> </w:t>
      </w:r>
      <w:r w:rsidR="003357EF" w:rsidRPr="003357EF">
        <w:rPr>
          <w:rFonts w:ascii="Arial" w:hAnsi="Arial" w:cs="Arial"/>
          <w:sz w:val="24"/>
          <w:szCs w:val="24"/>
        </w:rPr>
        <w:t>https://www.investopedia.com/terms/g/general-data-protection-regulation-gdpr.asp</w:t>
      </w:r>
      <w:bookmarkStart w:id="0" w:name="_GoBack"/>
      <w:bookmarkEnd w:id="0"/>
      <w:r w:rsidRPr="008A3A0F">
        <w:rPr>
          <w:rFonts w:ascii="Arial" w:hAnsi="Arial" w:cs="Arial"/>
          <w:sz w:val="24"/>
          <w:szCs w:val="24"/>
        </w:rPr>
        <w:t>.</w:t>
      </w:r>
      <w:r w:rsidR="003357EF">
        <w:rPr>
          <w:rFonts w:ascii="Arial" w:hAnsi="Arial" w:cs="Arial"/>
          <w:sz w:val="24"/>
          <w:szCs w:val="24"/>
        </w:rPr>
        <w:t xml:space="preserve"> </w:t>
      </w:r>
      <w:r w:rsidR="003357EF">
        <w:rPr>
          <w:rFonts w:ascii="Arial" w:hAnsi="Arial" w:cs="Arial"/>
        </w:rPr>
        <w:t>[Accessed 22 May 2022]</w:t>
      </w:r>
    </w:p>
    <w:p w:rsidR="00A5506A" w:rsidRPr="008A3A0F" w:rsidRDefault="00A5506A" w:rsidP="00A5506A">
      <w:pPr>
        <w:spacing w:after="240" w:line="276" w:lineRule="auto"/>
        <w:rPr>
          <w:rFonts w:ascii="Arial" w:eastAsia="Times New Roman" w:hAnsi="Arial" w:cs="Arial"/>
          <w:sz w:val="24"/>
          <w:szCs w:val="24"/>
        </w:rPr>
      </w:pPr>
      <w:proofErr w:type="spellStart"/>
      <w:r w:rsidRPr="008A3A0F">
        <w:rPr>
          <w:rFonts w:ascii="Arial" w:eastAsia="Times New Roman" w:hAnsi="Arial" w:cs="Arial"/>
          <w:sz w:val="24"/>
          <w:szCs w:val="24"/>
        </w:rPr>
        <w:t>Pawlicka</w:t>
      </w:r>
      <w:proofErr w:type="spellEnd"/>
      <w:r w:rsidRPr="008A3A0F">
        <w:rPr>
          <w:rFonts w:ascii="Arial" w:eastAsia="Times New Roman" w:hAnsi="Arial" w:cs="Arial"/>
          <w:sz w:val="24"/>
          <w:szCs w:val="24"/>
        </w:rPr>
        <w:t xml:space="preserve">, A., </w:t>
      </w:r>
      <w:proofErr w:type="spellStart"/>
      <w:r w:rsidRPr="008A3A0F">
        <w:rPr>
          <w:rFonts w:ascii="Arial" w:eastAsia="Times New Roman" w:hAnsi="Arial" w:cs="Arial"/>
          <w:sz w:val="24"/>
          <w:szCs w:val="24"/>
        </w:rPr>
        <w:t>Jaroszewska-Choras</w:t>
      </w:r>
      <w:proofErr w:type="spellEnd"/>
      <w:r w:rsidRPr="008A3A0F">
        <w:rPr>
          <w:rFonts w:ascii="Arial" w:eastAsia="Times New Roman" w:hAnsi="Arial" w:cs="Arial"/>
          <w:sz w:val="24"/>
          <w:szCs w:val="24"/>
        </w:rPr>
        <w:t xml:space="preserve">, D., </w:t>
      </w:r>
      <w:proofErr w:type="spellStart"/>
      <w:r w:rsidRPr="008A3A0F">
        <w:rPr>
          <w:rFonts w:ascii="Arial" w:eastAsia="Times New Roman" w:hAnsi="Arial" w:cs="Arial"/>
          <w:sz w:val="24"/>
          <w:szCs w:val="24"/>
        </w:rPr>
        <w:t>Choras</w:t>
      </w:r>
      <w:proofErr w:type="spellEnd"/>
      <w:r w:rsidRPr="008A3A0F">
        <w:rPr>
          <w:rFonts w:ascii="Arial" w:eastAsia="Times New Roman" w:hAnsi="Arial" w:cs="Arial"/>
          <w:sz w:val="24"/>
          <w:szCs w:val="24"/>
        </w:rPr>
        <w:t xml:space="preserve">, M. and </w:t>
      </w:r>
      <w:proofErr w:type="spellStart"/>
      <w:r w:rsidRPr="008A3A0F">
        <w:rPr>
          <w:rFonts w:ascii="Arial" w:eastAsia="Times New Roman" w:hAnsi="Arial" w:cs="Arial"/>
          <w:sz w:val="24"/>
          <w:szCs w:val="24"/>
        </w:rPr>
        <w:t>Pawlicki</w:t>
      </w:r>
      <w:proofErr w:type="spellEnd"/>
      <w:r w:rsidRPr="008A3A0F">
        <w:rPr>
          <w:rFonts w:ascii="Arial" w:eastAsia="Times New Roman" w:hAnsi="Arial" w:cs="Arial"/>
          <w:sz w:val="24"/>
          <w:szCs w:val="24"/>
        </w:rPr>
        <w:t xml:space="preserve">, M. (2020). Guidelines for </w:t>
      </w:r>
      <w:proofErr w:type="spellStart"/>
      <w:r w:rsidRPr="008A3A0F">
        <w:rPr>
          <w:rFonts w:ascii="Arial" w:eastAsia="Times New Roman" w:hAnsi="Arial" w:cs="Arial"/>
          <w:sz w:val="24"/>
          <w:szCs w:val="24"/>
        </w:rPr>
        <w:t>Stego</w:t>
      </w:r>
      <w:proofErr w:type="spellEnd"/>
      <w:r w:rsidRPr="008A3A0F">
        <w:rPr>
          <w:rFonts w:ascii="Arial" w:eastAsia="Times New Roman" w:hAnsi="Arial" w:cs="Arial"/>
          <w:sz w:val="24"/>
          <w:szCs w:val="24"/>
        </w:rPr>
        <w:t xml:space="preserve">/Malware Detection Tools: Achieving GDPR Compliance. </w:t>
      </w:r>
      <w:r w:rsidRPr="008A3A0F">
        <w:rPr>
          <w:rFonts w:ascii="Arial" w:eastAsia="Times New Roman" w:hAnsi="Arial" w:cs="Arial"/>
          <w:i/>
          <w:iCs/>
          <w:sz w:val="24"/>
          <w:szCs w:val="24"/>
        </w:rPr>
        <w:t>IEEE Technology and Society Magazine</w:t>
      </w:r>
      <w:r w:rsidRPr="008A3A0F">
        <w:rPr>
          <w:rFonts w:ascii="Arial" w:eastAsia="Times New Roman" w:hAnsi="Arial" w:cs="Arial"/>
          <w:sz w:val="24"/>
          <w:szCs w:val="24"/>
        </w:rPr>
        <w:t>, [online] 39(4), pp.60–70. doi:10.1109/MTS.2020.3031848.</w:t>
      </w:r>
      <w:r w:rsidR="003357EF">
        <w:rPr>
          <w:rFonts w:ascii="Arial" w:eastAsia="Times New Roman" w:hAnsi="Arial" w:cs="Arial"/>
          <w:sz w:val="24"/>
          <w:szCs w:val="24"/>
        </w:rPr>
        <w:t xml:space="preserve"> </w:t>
      </w:r>
      <w:r w:rsidR="003357EF">
        <w:rPr>
          <w:rFonts w:ascii="Arial" w:hAnsi="Arial" w:cs="Arial"/>
        </w:rPr>
        <w:t>[Accessed 22 May 2022]</w:t>
      </w:r>
    </w:p>
    <w:p w:rsidR="00A5506A" w:rsidRPr="008A3A0F" w:rsidRDefault="00A5506A" w:rsidP="00A5506A">
      <w:pPr>
        <w:spacing w:after="240" w:line="276" w:lineRule="auto"/>
        <w:rPr>
          <w:rFonts w:ascii="Arial" w:eastAsia="Times New Roman" w:hAnsi="Arial" w:cs="Arial"/>
          <w:sz w:val="24"/>
          <w:szCs w:val="24"/>
        </w:rPr>
      </w:pPr>
      <w:r w:rsidRPr="008A3A0F">
        <w:rPr>
          <w:rFonts w:ascii="Arial" w:eastAsia="Times New Roman" w:hAnsi="Arial" w:cs="Arial"/>
          <w:sz w:val="24"/>
          <w:szCs w:val="24"/>
        </w:rPr>
        <w:t xml:space="preserve">Yuan, B. and Li, J. (2019). The Policy Effect of the General Data Protection Regulation (GDPR) on the Digital Public Health Sector in the European Union: An Empirical Investigation. </w:t>
      </w:r>
      <w:r w:rsidRPr="008A3A0F">
        <w:rPr>
          <w:rFonts w:ascii="Arial" w:eastAsia="Times New Roman" w:hAnsi="Arial" w:cs="Arial"/>
          <w:i/>
          <w:iCs/>
          <w:sz w:val="24"/>
          <w:szCs w:val="24"/>
        </w:rPr>
        <w:t>International Journal of Environmental Research and Public Health</w:t>
      </w:r>
      <w:r w:rsidRPr="008A3A0F">
        <w:rPr>
          <w:rFonts w:ascii="Arial" w:eastAsia="Times New Roman" w:hAnsi="Arial" w:cs="Arial"/>
          <w:sz w:val="24"/>
          <w:szCs w:val="24"/>
        </w:rPr>
        <w:t>, [online] 16(6), p.1070. doi:10.3390/ijerph16061070.</w:t>
      </w:r>
      <w:r w:rsidR="003357EF">
        <w:rPr>
          <w:rFonts w:ascii="Arial" w:eastAsia="Times New Roman" w:hAnsi="Arial" w:cs="Arial"/>
          <w:sz w:val="24"/>
          <w:szCs w:val="24"/>
        </w:rPr>
        <w:t xml:space="preserve"> </w:t>
      </w:r>
      <w:r w:rsidR="003357EF">
        <w:rPr>
          <w:rFonts w:ascii="Arial" w:hAnsi="Arial" w:cs="Arial"/>
        </w:rPr>
        <w:t>[Accessed 22 May 2022]</w:t>
      </w:r>
    </w:p>
    <w:p w:rsidR="00A5506A" w:rsidRPr="008A3A0F" w:rsidRDefault="00A5506A" w:rsidP="00A5506A">
      <w:pPr>
        <w:spacing w:after="240" w:line="276" w:lineRule="auto"/>
        <w:ind w:hanging="720"/>
        <w:jc w:val="both"/>
        <w:rPr>
          <w:rFonts w:ascii="Arial" w:eastAsia="Times New Roman" w:hAnsi="Arial" w:cs="Arial"/>
          <w:sz w:val="24"/>
          <w:szCs w:val="24"/>
        </w:rPr>
      </w:pPr>
    </w:p>
    <w:p w:rsidR="00A5506A" w:rsidRPr="008A3A0F" w:rsidRDefault="00A5506A" w:rsidP="00A5506A">
      <w:pPr>
        <w:spacing w:after="0" w:line="276" w:lineRule="auto"/>
        <w:jc w:val="both"/>
        <w:rPr>
          <w:rFonts w:ascii="Arial" w:eastAsia="Times New Roman" w:hAnsi="Arial" w:cs="Arial"/>
          <w:b/>
          <w:bCs/>
          <w:sz w:val="24"/>
          <w:szCs w:val="24"/>
        </w:rPr>
      </w:pPr>
    </w:p>
    <w:p w:rsidR="003F2266" w:rsidRDefault="003F2266"/>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039C9"/>
    <w:multiLevelType w:val="hybridMultilevel"/>
    <w:tmpl w:val="38CA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84622"/>
    <w:multiLevelType w:val="hybridMultilevel"/>
    <w:tmpl w:val="78B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B795A"/>
    <w:multiLevelType w:val="multilevel"/>
    <w:tmpl w:val="036CC6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B49"/>
    <w:rsid w:val="003357EF"/>
    <w:rsid w:val="003F2266"/>
    <w:rsid w:val="00567E42"/>
    <w:rsid w:val="00A5506A"/>
    <w:rsid w:val="00B65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1DC1"/>
  <w15:chartTrackingRefBased/>
  <w15:docId w15:val="{925E6226-8E5B-4E52-99C4-060AEC94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06A"/>
    <w:pPr>
      <w:ind w:left="720"/>
      <w:contextualSpacing/>
    </w:pPr>
  </w:style>
  <w:style w:type="character" w:styleId="Hyperlink">
    <w:name w:val="Hyperlink"/>
    <w:basedOn w:val="DefaultParagraphFont"/>
    <w:uiPriority w:val="99"/>
    <w:unhideWhenUsed/>
    <w:rsid w:val="00335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4</cp:revision>
  <dcterms:created xsi:type="dcterms:W3CDTF">2022-05-29T11:26:00Z</dcterms:created>
  <dcterms:modified xsi:type="dcterms:W3CDTF">2022-05-30T03:28:00Z</dcterms:modified>
</cp:coreProperties>
</file>