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5A" w:rsidRPr="0053005A" w:rsidRDefault="0053005A" w:rsidP="0053005A">
      <w:pPr>
        <w:spacing w:after="0" w:line="240" w:lineRule="auto"/>
        <w:outlineLvl w:val="3"/>
        <w:rPr>
          <w:rFonts w:asciiTheme="minorBidi" w:eastAsia="Times New Roman" w:hAnsiTheme="minorBidi"/>
          <w:b/>
          <w:bCs/>
          <w:sz w:val="24"/>
          <w:szCs w:val="24"/>
          <w:u w:val="single"/>
        </w:rPr>
      </w:pPr>
      <w:r w:rsidRPr="0053005A">
        <w:rPr>
          <w:rFonts w:asciiTheme="minorBidi" w:eastAsia="Times New Roman" w:hAnsiTheme="minorBidi"/>
          <w:b/>
          <w:bCs/>
          <w:sz w:val="24"/>
          <w:szCs w:val="24"/>
          <w:u w:val="single"/>
        </w:rPr>
        <w:t xml:space="preserve">Initial Post - </w:t>
      </w:r>
      <w:bookmarkStart w:id="0" w:name="_GoBack"/>
      <w:proofErr w:type="spellStart"/>
      <w:r w:rsidRPr="0053005A">
        <w:rPr>
          <w:rFonts w:asciiTheme="minorBidi" w:hAnsiTheme="minorBidi"/>
          <w:b/>
          <w:bCs/>
          <w:color w:val="000000"/>
          <w:sz w:val="27"/>
          <w:szCs w:val="27"/>
          <w:u w:val="single"/>
          <w:shd w:val="clear" w:color="auto" w:fill="FFFFFF"/>
        </w:rPr>
        <w:t>Agne</w:t>
      </w:r>
      <w:proofErr w:type="spellEnd"/>
      <w:r w:rsidRPr="0053005A">
        <w:rPr>
          <w:rFonts w:asciiTheme="minorBidi" w:hAnsiTheme="minorBidi"/>
          <w:b/>
          <w:bCs/>
          <w:color w:val="000000"/>
          <w:sz w:val="27"/>
          <w:szCs w:val="27"/>
          <w:u w:val="single"/>
          <w:shd w:val="clear" w:color="auto" w:fill="FFFFFF"/>
        </w:rPr>
        <w:t xml:space="preserve"> Angelides</w:t>
      </w:r>
      <w:bookmarkEnd w:id="0"/>
    </w:p>
    <w:p w:rsidR="0053005A" w:rsidRPr="00782F76" w:rsidRDefault="0053005A" w:rsidP="0053005A">
      <w:pPr>
        <w:rPr>
          <w:rFonts w:asciiTheme="minorBidi" w:hAnsiTheme="minorBidi"/>
        </w:rPr>
      </w:pPr>
    </w:p>
    <w:p w:rsidR="0053005A" w:rsidRPr="00782F76" w:rsidRDefault="0053005A" w:rsidP="0053005A">
      <w:pPr>
        <w:rPr>
          <w:rFonts w:asciiTheme="minorBidi" w:hAnsiTheme="minorBidi"/>
        </w:rPr>
      </w:pP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I have chosen the case study ‘Disclosure of Personal Data via a Social Media App' (Data Protection Commission, 2017), which overviews a situation during which a job position application cover letters have been photographed using a personal mobile phone and shared on a social media Platform by one of the retailer’s employees.</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said occurrence was in breach of the GDPR Article 5: Principles relating to processing of personas data (GDPR, 2018). The article requires for the data will be collected for the specified purpose only (in this case, employment) and to be processed in a way that ensures the data security.</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commissioner who reviewed this case has found the retailer was in breach of the data protection laws specific to the UK (Data Protection Acts 1988 and 2003), equivalent to the current GDPR at the time.</w:t>
      </w:r>
    </w:p>
    <w:p w:rsidR="0053005A" w:rsidRPr="00782F76" w:rsidRDefault="0053005A" w:rsidP="0053005A">
      <w:pPr>
        <w:spacing w:after="0" w:line="240" w:lineRule="auto"/>
        <w:rPr>
          <w:rFonts w:asciiTheme="minorBidi" w:eastAsia="Times New Roman" w:hAnsiTheme="minorBidi"/>
          <w:sz w:val="24"/>
          <w:szCs w:val="24"/>
        </w:rPr>
      </w:pPr>
      <w:r w:rsidRPr="00782F76">
        <w:rPr>
          <w:rFonts w:asciiTheme="minorBidi" w:eastAsia="Times New Roman" w:hAnsiTheme="minorBidi"/>
          <w:color w:val="373A3C"/>
          <w:sz w:val="24"/>
          <w:szCs w:val="24"/>
          <w:shd w:val="clear" w:color="auto" w:fill="FFFFFF"/>
        </w:rPr>
        <w:t>Whilst the retailer had the policies in place disallowing use of personal phones at a workplace which the employee was in violation of, additional security related steps could have been taken by the company, such as:</w:t>
      </w:r>
      <w:r w:rsidRPr="00782F76">
        <w:rPr>
          <w:rFonts w:asciiTheme="minorBidi" w:eastAsia="Times New Roman" w:hAnsiTheme="minorBidi"/>
          <w:color w:val="373A3C"/>
          <w:sz w:val="24"/>
          <w:szCs w:val="24"/>
        </w:rPr>
        <w:br/>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 xml:space="preserve">Annual employee </w:t>
      </w:r>
      <w:proofErr w:type="spellStart"/>
      <w:r w:rsidRPr="00782F76">
        <w:rPr>
          <w:rFonts w:asciiTheme="minorBidi" w:eastAsia="Times New Roman" w:hAnsiTheme="minorBidi"/>
          <w:color w:val="373A3C"/>
          <w:sz w:val="24"/>
          <w:szCs w:val="24"/>
        </w:rPr>
        <w:t>behaviour</w:t>
      </w:r>
      <w:proofErr w:type="spellEnd"/>
      <w:r w:rsidRPr="00782F76">
        <w:rPr>
          <w:rFonts w:asciiTheme="minorBidi" w:eastAsia="Times New Roman" w:hAnsiTheme="minorBidi"/>
          <w:color w:val="373A3C"/>
          <w:sz w:val="24"/>
          <w:szCs w:val="24"/>
        </w:rPr>
        <w:t xml:space="preserve"> code and personal data security training (CIPD, 2021).</w:t>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Inclusion of the restrictive covenants in the employment contract (Harper James, 2021) to prevent the employee from performing certain activities after the employment termination has been issued.</w:t>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recruitment data should be accessible by senior staff on the need to know basis only (</w:t>
      </w:r>
      <w:proofErr w:type="spellStart"/>
      <w:r w:rsidRPr="00782F76">
        <w:rPr>
          <w:rFonts w:asciiTheme="minorBidi" w:eastAsia="Times New Roman" w:hAnsiTheme="minorBidi"/>
          <w:color w:val="373A3C"/>
          <w:sz w:val="24"/>
          <w:szCs w:val="24"/>
        </w:rPr>
        <w:t>Maxfield</w:t>
      </w:r>
      <w:proofErr w:type="spellEnd"/>
      <w:r w:rsidRPr="00782F76">
        <w:rPr>
          <w:rFonts w:asciiTheme="minorBidi" w:eastAsia="Times New Roman" w:hAnsiTheme="minorBidi"/>
          <w:color w:val="373A3C"/>
          <w:sz w:val="24"/>
          <w:szCs w:val="24"/>
        </w:rPr>
        <w:t>, 2021).</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b/>
          <w:bCs/>
          <w:color w:val="373A3C"/>
          <w:sz w:val="24"/>
          <w:szCs w:val="24"/>
        </w:rPr>
        <w:t>References</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 xml:space="preserve">CIPD. (2021) Data </w:t>
      </w:r>
      <w:proofErr w:type="gramStart"/>
      <w:r w:rsidRPr="00782F76">
        <w:rPr>
          <w:rFonts w:asciiTheme="minorBidi" w:eastAsia="Times New Roman" w:hAnsiTheme="minorBidi"/>
          <w:color w:val="373A3C"/>
          <w:sz w:val="24"/>
          <w:szCs w:val="24"/>
        </w:rPr>
        <w:t>protection  and</w:t>
      </w:r>
      <w:proofErr w:type="gramEnd"/>
      <w:r w:rsidRPr="00782F76">
        <w:rPr>
          <w:rFonts w:asciiTheme="minorBidi" w:eastAsia="Times New Roman" w:hAnsiTheme="minorBidi"/>
          <w:color w:val="373A3C"/>
          <w:sz w:val="24"/>
          <w:szCs w:val="24"/>
        </w:rPr>
        <w:t xml:space="preserve"> GDPR in the workplace. Available from: https://www.cipd.co.uk/knowledge/fundamentals/emp-law/data-protection/factsheet#gref</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Data Protection Commission. (2017) Case studies. Available from: </w:t>
      </w:r>
      <w:hyperlink r:id="rId5" w:anchor="201710" w:history="1">
        <w:r w:rsidRPr="00782F76">
          <w:rPr>
            <w:rFonts w:asciiTheme="minorBidi" w:eastAsia="Times New Roman" w:hAnsiTheme="minorBidi"/>
            <w:b/>
            <w:bCs/>
            <w:color w:val="622567"/>
            <w:sz w:val="24"/>
            <w:szCs w:val="24"/>
            <w:u w:val="single"/>
          </w:rPr>
          <w:t>https://www.dataprotection.ie/en/pre-gdpr/case-studies#201710</w:t>
        </w:r>
      </w:hyperlink>
      <w:r w:rsidRPr="00782F76">
        <w:rPr>
          <w:rFonts w:asciiTheme="minorBidi" w:eastAsia="Times New Roman" w:hAnsiTheme="minorBidi"/>
          <w:color w:val="373A3C"/>
          <w:sz w:val="24"/>
          <w:szCs w:val="24"/>
        </w:rPr>
        <w:t> [Accessed 25 April 2022].</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GDRP. (2018) General Data Protection Regulation (GDPR). Available from: </w:t>
      </w:r>
      <w:hyperlink r:id="rId6" w:history="1">
        <w:r w:rsidRPr="00782F76">
          <w:rPr>
            <w:rFonts w:asciiTheme="minorBidi" w:eastAsia="Times New Roman" w:hAnsiTheme="minorBidi"/>
            <w:b/>
            <w:bCs/>
            <w:color w:val="622567"/>
            <w:sz w:val="24"/>
            <w:szCs w:val="24"/>
            <w:u w:val="single"/>
          </w:rPr>
          <w:t>https://gdpr-info.eu/</w:t>
        </w:r>
      </w:hyperlink>
      <w:r w:rsidRPr="00782F76">
        <w:rPr>
          <w:rFonts w:asciiTheme="minorBidi" w:eastAsia="Times New Roman" w:hAnsiTheme="minorBidi"/>
          <w:color w:val="373A3C"/>
          <w:sz w:val="24"/>
          <w:szCs w:val="24"/>
        </w:rPr>
        <w:t> [Accessed 25 April 2022].</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Harper James. (2021) A guide to restrictive covenants in employment law. Available from: </w:t>
      </w:r>
      <w:hyperlink r:id="rId7" w:anchor="section-1" w:history="1">
        <w:r w:rsidRPr="00782F76">
          <w:rPr>
            <w:rFonts w:asciiTheme="minorBidi" w:eastAsia="Times New Roman" w:hAnsiTheme="minorBidi"/>
            <w:b/>
            <w:bCs/>
            <w:color w:val="622567"/>
            <w:sz w:val="24"/>
            <w:szCs w:val="24"/>
            <w:u w:val="single"/>
          </w:rPr>
          <w:t>https://harperjames.co.uk/article/guide-to-restrictive-covenants-in-employment-law/#section-1</w:t>
        </w:r>
      </w:hyperlink>
      <w:r w:rsidRPr="00782F76">
        <w:rPr>
          <w:rFonts w:asciiTheme="minorBidi" w:eastAsia="Times New Roman" w:hAnsiTheme="minorBidi"/>
          <w:color w:val="373A3C"/>
          <w:sz w:val="24"/>
          <w:szCs w:val="24"/>
        </w:rPr>
        <w:t> [Accessed 25 April 2022].</w:t>
      </w:r>
    </w:p>
    <w:p w:rsidR="0053005A" w:rsidRPr="00782F76" w:rsidRDefault="0053005A" w:rsidP="0053005A">
      <w:pPr>
        <w:rPr>
          <w:rFonts w:asciiTheme="minorBidi" w:hAnsiTheme="minorBidi"/>
        </w:rPr>
      </w:pPr>
      <w:proofErr w:type="spellStart"/>
      <w:r w:rsidRPr="00782F76">
        <w:rPr>
          <w:rFonts w:asciiTheme="minorBidi" w:eastAsia="Times New Roman" w:hAnsiTheme="minorBidi"/>
          <w:color w:val="373A3C"/>
          <w:sz w:val="24"/>
          <w:szCs w:val="24"/>
          <w:shd w:val="clear" w:color="auto" w:fill="FFFFFF"/>
        </w:rPr>
        <w:t>Maxfield</w:t>
      </w:r>
      <w:proofErr w:type="spellEnd"/>
      <w:r w:rsidRPr="00782F76">
        <w:rPr>
          <w:rFonts w:asciiTheme="minorBidi" w:eastAsia="Times New Roman" w:hAnsiTheme="minorBidi"/>
          <w:color w:val="373A3C"/>
          <w:sz w:val="24"/>
          <w:szCs w:val="24"/>
          <w:shd w:val="clear" w:color="auto" w:fill="FFFFFF"/>
        </w:rPr>
        <w:t>, L. (2021) Managing Curricula Vitae (CVs) in Compliance with the Data Protection Rules. Available from: </w:t>
      </w:r>
      <w:hyperlink r:id="rId8" w:history="1">
        <w:r w:rsidRPr="00782F76">
          <w:rPr>
            <w:rFonts w:asciiTheme="minorBidi" w:eastAsia="Times New Roman" w:hAnsiTheme="minorBidi"/>
            <w:color w:val="212529"/>
            <w:sz w:val="24"/>
            <w:szCs w:val="24"/>
            <w:u w:val="single"/>
            <w:shd w:val="clear" w:color="auto" w:fill="FFFFFF"/>
          </w:rPr>
          <w:t>https://www.thorntons-law.co.uk/knowledge/managing-curricula-vitae-cvs-in-compliance-with-data-protection-rules</w:t>
        </w:r>
      </w:hyperlink>
      <w:r w:rsidRPr="00782F76">
        <w:rPr>
          <w:rFonts w:asciiTheme="minorBidi" w:eastAsia="Times New Roman" w:hAnsiTheme="minorBidi"/>
          <w:color w:val="373A3C"/>
          <w:sz w:val="24"/>
          <w:szCs w:val="24"/>
          <w:shd w:val="clear" w:color="auto" w:fill="FFFFFF"/>
        </w:rPr>
        <w:t> [Accessed 25 April 2022].</w:t>
      </w:r>
    </w:p>
    <w:p w:rsidR="0053005A" w:rsidRPr="00782F76" w:rsidRDefault="0053005A" w:rsidP="0053005A">
      <w:pPr>
        <w:rPr>
          <w:rFonts w:asciiTheme="minorBidi" w:hAnsiTheme="minorBidi"/>
        </w:rPr>
      </w:pPr>
    </w:p>
    <w:p w:rsidR="0053005A" w:rsidRPr="00093466" w:rsidRDefault="0053005A" w:rsidP="0053005A">
      <w:pPr>
        <w:spacing w:after="0" w:line="240" w:lineRule="auto"/>
        <w:rPr>
          <w:rFonts w:asciiTheme="minorBidi" w:eastAsia="Times New Roman" w:hAnsiTheme="minorBidi"/>
          <w:b/>
          <w:bCs/>
          <w:sz w:val="24"/>
          <w:szCs w:val="24"/>
          <w:u w:val="single"/>
        </w:rPr>
      </w:pPr>
      <w:r w:rsidRPr="00093466">
        <w:rPr>
          <w:rFonts w:asciiTheme="minorBidi" w:eastAsia="Times New Roman" w:hAnsiTheme="minorBidi"/>
          <w:b/>
          <w:bCs/>
          <w:sz w:val="24"/>
          <w:szCs w:val="24"/>
          <w:u w:val="single"/>
        </w:rPr>
        <w:t xml:space="preserve">My </w:t>
      </w:r>
      <w:hyperlink r:id="rId9" w:tooltip="Reply to Tebogo Victor Sodaba" w:history="1">
        <w:r w:rsidRPr="00093466">
          <w:rPr>
            <w:rFonts w:asciiTheme="minorBidi" w:eastAsia="Times New Roman" w:hAnsiTheme="minorBidi"/>
            <w:b/>
            <w:bCs/>
            <w:color w:val="212529"/>
            <w:sz w:val="24"/>
            <w:szCs w:val="24"/>
            <w:u w:val="single"/>
            <w:bdr w:val="single" w:sz="18" w:space="0" w:color="CCCCCC" w:frame="1"/>
          </w:rPr>
          <w:t>Reply</w:t>
        </w:r>
      </w:hyperlink>
    </w:p>
    <w:p w:rsidR="0053005A" w:rsidRPr="00782F76" w:rsidRDefault="0053005A" w:rsidP="0053005A">
      <w:pPr>
        <w:spacing w:after="0" w:line="240" w:lineRule="auto"/>
        <w:rPr>
          <w:rFonts w:asciiTheme="minorBidi" w:eastAsia="Times New Roman" w:hAnsiTheme="minorBidi"/>
          <w:sz w:val="24"/>
          <w:szCs w:val="24"/>
        </w:rPr>
      </w:pPr>
    </w:p>
    <w:p w:rsidR="0053005A" w:rsidRPr="00782F76" w:rsidRDefault="0053005A" w:rsidP="0053005A">
      <w:pPr>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Once more this case features the reality, that a ton of safety is about cycles, techniques, and the human component.</w:t>
      </w:r>
    </w:p>
    <w:p w:rsidR="0053005A" w:rsidRPr="00782F76" w:rsidRDefault="0053005A" w:rsidP="0053005A">
      <w:pPr>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It merits thinking about how the actual information can be encoded as a component of safety insurance as well as taking a gander at elective systems that might be usable.</w:t>
      </w:r>
    </w:p>
    <w:p w:rsidR="0053005A" w:rsidRPr="00782F76" w:rsidRDefault="0053005A" w:rsidP="0053005A">
      <w:pPr>
        <w:rPr>
          <w:rFonts w:asciiTheme="minorBidi" w:hAnsiTheme="minorBidi"/>
        </w:rPr>
      </w:pPr>
    </w:p>
    <w:p w:rsidR="001E45D4" w:rsidRDefault="001E45D4"/>
    <w:sectPr w:rsidR="001E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86ED7"/>
    <w:multiLevelType w:val="multilevel"/>
    <w:tmpl w:val="F55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71"/>
    <w:rsid w:val="001E45D4"/>
    <w:rsid w:val="0053005A"/>
    <w:rsid w:val="00AB5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93D7"/>
  <w15:chartTrackingRefBased/>
  <w15:docId w15:val="{374918E8-8D2F-403B-856F-3114AFC2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rntons-law.co.uk/knowledge/managing-curricula-vitae-cvs-in-compliance-with-data-protection-rules" TargetMode="External"/><Relationship Id="rId3" Type="http://schemas.openxmlformats.org/officeDocument/2006/relationships/settings" Target="settings.xml"/><Relationship Id="rId7" Type="http://schemas.openxmlformats.org/officeDocument/2006/relationships/hyperlink" Target="https://harperjames.co.uk/article/guide-to-restrictive-covenants-in-employment-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 TargetMode="External"/><Relationship Id="rId11" Type="http://schemas.openxmlformats.org/officeDocument/2006/relationships/theme" Target="theme/theme1.xml"/><Relationship Id="rId5" Type="http://schemas.openxmlformats.org/officeDocument/2006/relationships/hyperlink" Target="https://www.dataprotection.ie/en/pre-gdpr/case-stud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course.co.uk/mod/hsuforum/post.php?reply=1062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2022-05-13T12:37:00Z</dcterms:created>
  <dcterms:modified xsi:type="dcterms:W3CDTF">2022-05-13T12:37:00Z</dcterms:modified>
</cp:coreProperties>
</file>