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B3B59" w14:textId="209E0805" w:rsidR="007A42C5" w:rsidRPr="004A762D" w:rsidRDefault="00C62B18" w:rsidP="007627AF">
      <w:pPr>
        <w:ind w:firstLine="0"/>
        <w:jc w:val="center"/>
        <w:rPr>
          <w:rFonts w:ascii="Times New Roman" w:hAnsi="Times New Roman" w:cs="Times New Roman"/>
        </w:rPr>
      </w:pPr>
      <w:bookmarkStart w:id="0" w:name="_GoBack"/>
      <w:r w:rsidRPr="004A762D">
        <w:rPr>
          <w:rFonts w:ascii="Times New Roman" w:hAnsi="Times New Roman" w:cs="Times New Roman"/>
        </w:rPr>
        <w:t xml:space="preserve">Acme Manufacturing Status Report </w:t>
      </w:r>
    </w:p>
    <w:p w14:paraId="0A80692A" w14:textId="5EC2E8FB" w:rsidR="00F75C53" w:rsidRPr="004A762D" w:rsidRDefault="00F75C53" w:rsidP="007627AF">
      <w:pPr>
        <w:ind w:firstLine="0"/>
        <w:jc w:val="center"/>
        <w:rPr>
          <w:rFonts w:ascii="Times New Roman" w:hAnsi="Times New Roman" w:cs="Times New Roman"/>
        </w:rPr>
      </w:pPr>
      <w:r w:rsidRPr="004A762D">
        <w:rPr>
          <w:rFonts w:ascii="Times New Roman" w:hAnsi="Times New Roman" w:cs="Times New Roman"/>
        </w:rPr>
        <w:t>Company assumptions</w:t>
      </w:r>
    </w:p>
    <w:bookmarkEnd w:id="0"/>
    <w:p w14:paraId="12B630DE" w14:textId="6F5126E9" w:rsidR="00C62B18" w:rsidRPr="004A762D" w:rsidRDefault="00F75C53" w:rsidP="007627AF">
      <w:pPr>
        <w:rPr>
          <w:rFonts w:ascii="Times New Roman" w:hAnsi="Times New Roman" w:cs="Times New Roman"/>
        </w:rPr>
      </w:pPr>
      <w:r w:rsidRPr="004A762D">
        <w:rPr>
          <w:rFonts w:ascii="Times New Roman" w:hAnsi="Times New Roman" w:cs="Times New Roman"/>
        </w:rPr>
        <w:t xml:space="preserve">Acme Manufacturing is identified as a small/medium enterprise employing 150 staff members. </w:t>
      </w:r>
      <w:r w:rsidR="00656545" w:rsidRPr="004A762D">
        <w:rPr>
          <w:rFonts w:ascii="Times New Roman" w:hAnsi="Times New Roman" w:cs="Times New Roman"/>
        </w:rPr>
        <w:t>Based on its classification, several assumptions could be made. Financial stability refers to a firm’s ability to meet its obligations despite adverse situations</w:t>
      </w:r>
      <w:r w:rsidR="00BC6A54" w:rsidRPr="004A762D">
        <w:rPr>
          <w:rFonts w:ascii="Times New Roman" w:hAnsi="Times New Roman" w:cs="Times New Roman"/>
          <w:noProof/>
        </w:rPr>
        <w:t xml:space="preserve"> (Mazars, 2021)</w:t>
      </w:r>
      <w:r w:rsidR="00656545" w:rsidRPr="004A762D">
        <w:rPr>
          <w:rFonts w:ascii="Times New Roman" w:hAnsi="Times New Roman" w:cs="Times New Roman"/>
        </w:rPr>
        <w:t xml:space="preserve">. </w:t>
      </w:r>
      <w:r w:rsidR="005112BB" w:rsidRPr="004A762D">
        <w:rPr>
          <w:rFonts w:ascii="Times New Roman" w:hAnsi="Times New Roman" w:cs="Times New Roman"/>
        </w:rPr>
        <w:t>Despite contributing to the economies of emerging economies, SMEs historically face challenges such as constrained access to funds, shortage of skilled labor, infrastructure deficits</w:t>
      </w:r>
      <w:r w:rsidR="007627AF">
        <w:rPr>
          <w:rFonts w:ascii="Times New Roman" w:hAnsi="Times New Roman" w:cs="Times New Roman"/>
        </w:rPr>
        <w:t>,</w:t>
      </w:r>
      <w:r w:rsidR="005112BB" w:rsidRPr="004A762D">
        <w:rPr>
          <w:rFonts w:ascii="Times New Roman" w:hAnsi="Times New Roman" w:cs="Times New Roman"/>
        </w:rPr>
        <w:t xml:space="preserve"> and strong competition among other challenges that affect their financial status and stability</w:t>
      </w:r>
      <w:r w:rsidR="00BC6A54" w:rsidRPr="004A762D">
        <w:rPr>
          <w:rFonts w:ascii="Times New Roman" w:hAnsi="Times New Roman" w:cs="Times New Roman"/>
          <w:noProof/>
        </w:rPr>
        <w:t xml:space="preserve"> (Mbatha &amp; Ngibe, 2017)</w:t>
      </w:r>
      <w:r w:rsidR="005112BB" w:rsidRPr="004A762D">
        <w:rPr>
          <w:rFonts w:ascii="Times New Roman" w:hAnsi="Times New Roman" w:cs="Times New Roman"/>
        </w:rPr>
        <w:t xml:space="preserve">. Alongside the lack of skilled labor, this implies that SMEs also have limited access to </w:t>
      </w:r>
      <w:r w:rsidR="007627AF">
        <w:rPr>
          <w:rFonts w:ascii="Times New Roman" w:hAnsi="Times New Roman" w:cs="Times New Roman"/>
        </w:rPr>
        <w:t xml:space="preserve">the </w:t>
      </w:r>
      <w:r w:rsidR="005112BB" w:rsidRPr="004A762D">
        <w:rPr>
          <w:rFonts w:ascii="Times New Roman" w:hAnsi="Times New Roman" w:cs="Times New Roman"/>
        </w:rPr>
        <w:t xml:space="preserve">technological capabilities required to compete with other industry players. Furthermore, </w:t>
      </w:r>
      <w:r w:rsidR="007627AF">
        <w:rPr>
          <w:rFonts w:ascii="Times New Roman" w:hAnsi="Times New Roman" w:cs="Times New Roman"/>
        </w:rPr>
        <w:t xml:space="preserve">inadequate </w:t>
      </w:r>
      <w:r w:rsidR="005112BB" w:rsidRPr="004A762D">
        <w:rPr>
          <w:rFonts w:ascii="Times New Roman" w:hAnsi="Times New Roman" w:cs="Times New Roman"/>
        </w:rPr>
        <w:t xml:space="preserve">strategic planning </w:t>
      </w:r>
      <w:r w:rsidR="007627AF">
        <w:rPr>
          <w:rFonts w:ascii="Times New Roman" w:hAnsi="Times New Roman" w:cs="Times New Roman"/>
        </w:rPr>
        <w:t>is</w:t>
      </w:r>
      <w:r w:rsidR="005112BB" w:rsidRPr="004A762D">
        <w:rPr>
          <w:rFonts w:ascii="Times New Roman" w:hAnsi="Times New Roman" w:cs="Times New Roman"/>
        </w:rPr>
        <w:t xml:space="preserve"> one of the factors undermining SME success</w:t>
      </w:r>
      <w:r w:rsidR="0027039B" w:rsidRPr="004A762D">
        <w:rPr>
          <w:rFonts w:ascii="Times New Roman" w:hAnsi="Times New Roman" w:cs="Times New Roman"/>
        </w:rPr>
        <w:t xml:space="preserve"> implying that the organizational structure of such firms is likely to be inadequate to meet its future growth goals</w:t>
      </w:r>
      <w:r w:rsidR="00E778D0" w:rsidRPr="004A762D">
        <w:rPr>
          <w:rFonts w:ascii="Times New Roman" w:hAnsi="Times New Roman" w:cs="Times New Roman"/>
          <w:noProof/>
        </w:rPr>
        <w:t xml:space="preserve"> (Hanggraeni &amp; Sinamo, 2021)</w:t>
      </w:r>
      <w:r w:rsidR="0027039B" w:rsidRPr="004A762D">
        <w:rPr>
          <w:rFonts w:ascii="Times New Roman" w:hAnsi="Times New Roman" w:cs="Times New Roman"/>
        </w:rPr>
        <w:t>. Finally, the research notes that SMEs have a high risk profile due to the challenges involved in describing the risks within their business model</w:t>
      </w:r>
      <w:r w:rsidR="007627AF" w:rsidRPr="004A762D">
        <w:rPr>
          <w:rFonts w:ascii="Times New Roman" w:hAnsi="Times New Roman" w:cs="Times New Roman"/>
          <w:noProof/>
        </w:rPr>
        <w:t xml:space="preserve"> (Page, 2016)</w:t>
      </w:r>
      <w:r w:rsidR="0027039B" w:rsidRPr="004A762D">
        <w:rPr>
          <w:rFonts w:ascii="Times New Roman" w:hAnsi="Times New Roman" w:cs="Times New Roman"/>
        </w:rPr>
        <w:t xml:space="preserve">. </w:t>
      </w:r>
      <w:r w:rsidR="009D63DA" w:rsidRPr="004A762D">
        <w:rPr>
          <w:rFonts w:ascii="Times New Roman" w:hAnsi="Times New Roman" w:cs="Times New Roman"/>
        </w:rPr>
        <w:t>C</w:t>
      </w:r>
      <w:r w:rsidR="0027039B" w:rsidRPr="004A762D">
        <w:rPr>
          <w:rFonts w:ascii="Times New Roman" w:hAnsi="Times New Roman" w:cs="Times New Roman"/>
        </w:rPr>
        <w:t xml:space="preserve">onsequently, the implementation of an enterprise resource planning system for Acme Manufacturing is contemplated </w:t>
      </w:r>
      <w:r w:rsidR="007627AF">
        <w:rPr>
          <w:rFonts w:ascii="Times New Roman" w:hAnsi="Times New Roman" w:cs="Times New Roman"/>
        </w:rPr>
        <w:t>amid</w:t>
      </w:r>
      <w:r w:rsidR="0027039B" w:rsidRPr="004A762D">
        <w:rPr>
          <w:rFonts w:ascii="Times New Roman" w:hAnsi="Times New Roman" w:cs="Times New Roman"/>
        </w:rPr>
        <w:t xml:space="preserve"> these </w:t>
      </w:r>
      <w:r w:rsidR="009D63DA" w:rsidRPr="004A762D">
        <w:rPr>
          <w:rFonts w:ascii="Times New Roman" w:hAnsi="Times New Roman" w:cs="Times New Roman"/>
        </w:rPr>
        <w:t>assumptions</w:t>
      </w:r>
      <w:r w:rsidR="0027039B" w:rsidRPr="004A762D">
        <w:rPr>
          <w:rFonts w:ascii="Times New Roman" w:hAnsi="Times New Roman" w:cs="Times New Roman"/>
        </w:rPr>
        <w:t xml:space="preserve"> </w:t>
      </w:r>
      <w:r w:rsidR="009D63DA" w:rsidRPr="004A762D">
        <w:rPr>
          <w:rFonts w:ascii="Times New Roman" w:hAnsi="Times New Roman" w:cs="Times New Roman"/>
        </w:rPr>
        <w:t>in the absence of contrary information</w:t>
      </w:r>
      <w:r w:rsidR="0027039B" w:rsidRPr="004A762D">
        <w:rPr>
          <w:rFonts w:ascii="Times New Roman" w:hAnsi="Times New Roman" w:cs="Times New Roman"/>
        </w:rPr>
        <w:t xml:space="preserve">. </w:t>
      </w:r>
    </w:p>
    <w:p w14:paraId="2323A602" w14:textId="5F487467" w:rsidR="00840626" w:rsidRPr="004A762D" w:rsidRDefault="0047394C" w:rsidP="007627AF">
      <w:pPr>
        <w:ind w:firstLine="0"/>
        <w:jc w:val="center"/>
        <w:rPr>
          <w:rFonts w:ascii="Times New Roman" w:hAnsi="Times New Roman" w:cs="Times New Roman"/>
        </w:rPr>
      </w:pPr>
      <w:r w:rsidRPr="004A762D">
        <w:rPr>
          <w:rFonts w:ascii="Times New Roman" w:hAnsi="Times New Roman" w:cs="Times New Roman"/>
        </w:rPr>
        <w:t>B</w:t>
      </w:r>
      <w:r w:rsidR="00840626" w:rsidRPr="004A762D">
        <w:rPr>
          <w:rFonts w:ascii="Times New Roman" w:hAnsi="Times New Roman" w:cs="Times New Roman"/>
        </w:rPr>
        <w:t>usiness risks</w:t>
      </w:r>
      <w:r w:rsidRPr="004A762D">
        <w:rPr>
          <w:rFonts w:ascii="Times New Roman" w:hAnsi="Times New Roman" w:cs="Times New Roman"/>
        </w:rPr>
        <w:t xml:space="preserve"> for SMEs</w:t>
      </w:r>
    </w:p>
    <w:p w14:paraId="2CFFC6E5" w14:textId="56D7792F" w:rsidR="00295EAE" w:rsidRPr="004A762D" w:rsidRDefault="00D37EAB" w:rsidP="007627AF">
      <w:pPr>
        <w:rPr>
          <w:rFonts w:ascii="Times New Roman" w:hAnsi="Times New Roman" w:cs="Times New Roman"/>
        </w:rPr>
      </w:pPr>
      <w:r w:rsidRPr="004A762D">
        <w:rPr>
          <w:rFonts w:ascii="Times New Roman" w:hAnsi="Times New Roman" w:cs="Times New Roman"/>
        </w:rPr>
        <w:t>Among multiple risks that the firm may need to overcome include strategic risk, security risk</w:t>
      </w:r>
      <w:r w:rsidR="007627AF">
        <w:rPr>
          <w:rFonts w:ascii="Times New Roman" w:hAnsi="Times New Roman" w:cs="Times New Roman"/>
        </w:rPr>
        <w:t>,</w:t>
      </w:r>
      <w:r w:rsidRPr="004A762D">
        <w:rPr>
          <w:rFonts w:ascii="Times New Roman" w:hAnsi="Times New Roman" w:cs="Times New Roman"/>
        </w:rPr>
        <w:t xml:space="preserve"> and business interruption risks</w:t>
      </w:r>
      <w:r w:rsidR="00840626" w:rsidRPr="004A762D">
        <w:rPr>
          <w:rFonts w:ascii="Times New Roman" w:hAnsi="Times New Roman" w:cs="Times New Roman"/>
          <w:noProof/>
        </w:rPr>
        <w:t xml:space="preserve"> (Crowe, 2020)</w:t>
      </w:r>
      <w:r w:rsidRPr="004A762D">
        <w:rPr>
          <w:rFonts w:ascii="Times New Roman" w:hAnsi="Times New Roman" w:cs="Times New Roman"/>
        </w:rPr>
        <w:t>. Most SMEs lack formalized decision-making processes, increasing strategic risks. With shifting external and internal environment</w:t>
      </w:r>
      <w:r w:rsidR="007627AF">
        <w:rPr>
          <w:rFonts w:ascii="Times New Roman" w:hAnsi="Times New Roman" w:cs="Times New Roman"/>
        </w:rPr>
        <w:t>s</w:t>
      </w:r>
      <w:r w:rsidRPr="004A762D">
        <w:rPr>
          <w:rFonts w:ascii="Times New Roman" w:hAnsi="Times New Roman" w:cs="Times New Roman"/>
        </w:rPr>
        <w:t xml:space="preserve">, addressing this risk involves strategically preparing for transitions through research and planning. </w:t>
      </w:r>
      <w:r w:rsidR="004A20A1" w:rsidRPr="004A762D">
        <w:rPr>
          <w:rFonts w:ascii="Times New Roman" w:hAnsi="Times New Roman" w:cs="Times New Roman"/>
        </w:rPr>
        <w:t>Contin</w:t>
      </w:r>
      <w:r w:rsidR="007627AF">
        <w:rPr>
          <w:rFonts w:ascii="Times New Roman" w:hAnsi="Times New Roman" w:cs="Times New Roman"/>
        </w:rPr>
        <w:t>u</w:t>
      </w:r>
      <w:r w:rsidR="004A20A1" w:rsidRPr="004A762D">
        <w:rPr>
          <w:rFonts w:ascii="Times New Roman" w:hAnsi="Times New Roman" w:cs="Times New Roman"/>
        </w:rPr>
        <w:t>ous improvement addre</w:t>
      </w:r>
      <w:r w:rsidR="007627AF">
        <w:rPr>
          <w:rFonts w:ascii="Times New Roman" w:hAnsi="Times New Roman" w:cs="Times New Roman"/>
        </w:rPr>
        <w:t>s</w:t>
      </w:r>
      <w:r w:rsidR="004A20A1" w:rsidRPr="004A762D">
        <w:rPr>
          <w:rFonts w:ascii="Times New Roman" w:hAnsi="Times New Roman" w:cs="Times New Roman"/>
        </w:rPr>
        <w:t>ses this risk. business interruption risk occurs due to the effects of unforeseen circumstances including natural disasters, supply chain issues</w:t>
      </w:r>
      <w:r w:rsidR="007627AF">
        <w:rPr>
          <w:rFonts w:ascii="Times New Roman" w:hAnsi="Times New Roman" w:cs="Times New Roman"/>
        </w:rPr>
        <w:t>,</w:t>
      </w:r>
      <w:r w:rsidR="004A20A1" w:rsidRPr="004A762D">
        <w:rPr>
          <w:rFonts w:ascii="Times New Roman" w:hAnsi="Times New Roman" w:cs="Times New Roman"/>
        </w:rPr>
        <w:t xml:space="preserve"> and pandemics. </w:t>
      </w:r>
      <w:r w:rsidR="004A20A1" w:rsidRPr="004A762D">
        <w:rPr>
          <w:rFonts w:ascii="Times New Roman" w:hAnsi="Times New Roman" w:cs="Times New Roman"/>
        </w:rPr>
        <w:lastRenderedPageBreak/>
        <w:t xml:space="preserve">Overreliance on primary plans and failing to provide contingencies expose SMEs to </w:t>
      </w:r>
      <w:r w:rsidR="001F40B0" w:rsidRPr="004A762D">
        <w:rPr>
          <w:rFonts w:ascii="Times New Roman" w:hAnsi="Times New Roman" w:cs="Times New Roman"/>
        </w:rPr>
        <w:t>interruption risks</w:t>
      </w:r>
      <w:r w:rsidR="00840626" w:rsidRPr="004A762D">
        <w:rPr>
          <w:rFonts w:ascii="Times New Roman" w:hAnsi="Times New Roman" w:cs="Times New Roman"/>
          <w:noProof/>
        </w:rPr>
        <w:t xml:space="preserve"> (Crowe, 2020)</w:t>
      </w:r>
      <w:r w:rsidR="001F40B0" w:rsidRPr="004A762D">
        <w:rPr>
          <w:rFonts w:ascii="Times New Roman" w:hAnsi="Times New Roman" w:cs="Times New Roman"/>
        </w:rPr>
        <w:t>. These risks can be mitigated by creating business continuity plans that help SMEs respond to crises and minimize the impact of interruptions. Finally, SMEs face increasing exposure to cybersecurity risks which occasion disruption, financial loss</w:t>
      </w:r>
      <w:r w:rsidR="007627AF">
        <w:rPr>
          <w:rFonts w:ascii="Times New Roman" w:hAnsi="Times New Roman" w:cs="Times New Roman"/>
        </w:rPr>
        <w:t>,</w:t>
      </w:r>
      <w:r w:rsidR="001F40B0" w:rsidRPr="004A762D">
        <w:rPr>
          <w:rFonts w:ascii="Times New Roman" w:hAnsi="Times New Roman" w:cs="Times New Roman"/>
        </w:rPr>
        <w:t xml:space="preserve"> and reputational damage. Formalizing risk management and incident response processes is required to mitigate cybersecurity risk</w:t>
      </w:r>
      <w:r w:rsidR="00295EAE" w:rsidRPr="004A762D">
        <w:rPr>
          <w:rFonts w:ascii="Times New Roman" w:hAnsi="Times New Roman" w:cs="Times New Roman"/>
        </w:rPr>
        <w:t xml:space="preserve"> and limit downtime</w:t>
      </w:r>
      <w:r w:rsidR="001F40B0" w:rsidRPr="004A762D">
        <w:rPr>
          <w:rFonts w:ascii="Times New Roman" w:hAnsi="Times New Roman" w:cs="Times New Roman"/>
        </w:rPr>
        <w:t>.</w:t>
      </w:r>
      <w:r w:rsidR="00295EAE" w:rsidRPr="004A762D">
        <w:rPr>
          <w:rFonts w:ascii="Times New Roman" w:hAnsi="Times New Roman" w:cs="Times New Roman"/>
        </w:rPr>
        <w:t xml:space="preserve"> </w:t>
      </w:r>
    </w:p>
    <w:p w14:paraId="5EECA6CB" w14:textId="4A2DBC70" w:rsidR="00840626" w:rsidRPr="004A762D" w:rsidRDefault="00840626" w:rsidP="007627AF">
      <w:pPr>
        <w:ind w:firstLine="0"/>
        <w:jc w:val="center"/>
        <w:rPr>
          <w:rFonts w:ascii="Times New Roman" w:hAnsi="Times New Roman" w:cs="Times New Roman"/>
        </w:rPr>
      </w:pPr>
      <w:r w:rsidRPr="004A762D">
        <w:rPr>
          <w:rFonts w:ascii="Times New Roman" w:hAnsi="Times New Roman" w:cs="Times New Roman"/>
        </w:rPr>
        <w:t>Considerations for ERP selection</w:t>
      </w:r>
    </w:p>
    <w:p w14:paraId="61B78157" w14:textId="79943DD4" w:rsidR="00DC5D58" w:rsidRPr="004A762D" w:rsidRDefault="00295EAE" w:rsidP="007627AF">
      <w:pPr>
        <w:rPr>
          <w:rFonts w:ascii="Times New Roman" w:hAnsi="Times New Roman" w:cs="Times New Roman"/>
        </w:rPr>
      </w:pPr>
      <w:r w:rsidRPr="004A762D">
        <w:rPr>
          <w:rFonts w:ascii="Times New Roman" w:hAnsi="Times New Roman" w:cs="Times New Roman"/>
        </w:rPr>
        <w:t>For effective ERP selection, each option has its upside and downside. The commercial ERP alternative offers well-tested and established systems which provide adequate solutions for firms. However, they also have a restrictive cost aspect. The $100K software purchase and $50K support package</w:t>
      </w:r>
      <w:r w:rsidR="00EE6597" w:rsidRPr="004A762D">
        <w:rPr>
          <w:rFonts w:ascii="Times New Roman" w:hAnsi="Times New Roman" w:cs="Times New Roman"/>
        </w:rPr>
        <w:t xml:space="preserve"> introduce a cost that may not be practical for an SME. There are also significant costs associated with installation. On the other hand, open-source ERP </w:t>
      </w:r>
      <w:r w:rsidR="007627AF">
        <w:rPr>
          <w:rFonts w:ascii="Times New Roman" w:hAnsi="Times New Roman" w:cs="Times New Roman"/>
        </w:rPr>
        <w:t>is</w:t>
      </w:r>
      <w:r w:rsidR="00EE6597" w:rsidRPr="004A762D">
        <w:rPr>
          <w:rFonts w:ascii="Times New Roman" w:hAnsi="Times New Roman" w:cs="Times New Roman"/>
        </w:rPr>
        <w:t xml:space="preserve"> increasingly popular because there is no need for installation; users can link their systems to the ERP. Vibrant community support also ensures that problems can easily be addressed. Besides, open-source ERP support</w:t>
      </w:r>
      <w:r w:rsidR="007627AF">
        <w:rPr>
          <w:rFonts w:ascii="Times New Roman" w:hAnsi="Times New Roman" w:cs="Times New Roman"/>
        </w:rPr>
        <w:t>s</w:t>
      </w:r>
      <w:r w:rsidR="00EE6597" w:rsidRPr="004A762D">
        <w:rPr>
          <w:rFonts w:ascii="Times New Roman" w:hAnsi="Times New Roman" w:cs="Times New Roman"/>
        </w:rPr>
        <w:t xml:space="preserve"> more diverse platforms</w:t>
      </w:r>
      <w:r w:rsidR="007627AF">
        <w:rPr>
          <w:rFonts w:ascii="Times New Roman" w:hAnsi="Times New Roman" w:cs="Times New Roman"/>
          <w:noProof/>
        </w:rPr>
        <w:t xml:space="preserve"> </w:t>
      </w:r>
      <w:r w:rsidR="007627AF" w:rsidRPr="007627AF">
        <w:rPr>
          <w:rFonts w:ascii="Times New Roman" w:hAnsi="Times New Roman" w:cs="Times New Roman"/>
          <w:noProof/>
        </w:rPr>
        <w:t>(Baggott, 2019)</w:t>
      </w:r>
      <w:r w:rsidR="00EE6597" w:rsidRPr="004A762D">
        <w:rPr>
          <w:rFonts w:ascii="Times New Roman" w:hAnsi="Times New Roman" w:cs="Times New Roman"/>
        </w:rPr>
        <w:t xml:space="preserve">. </w:t>
      </w:r>
      <w:r w:rsidR="00E4742D" w:rsidRPr="004A762D">
        <w:rPr>
          <w:rFonts w:ascii="Times New Roman" w:hAnsi="Times New Roman" w:cs="Times New Roman"/>
        </w:rPr>
        <w:t>However, the community support may fail to offer solutions to challenges leading users to become stuck. Data issues could also inconvenience the company and create costly problems. Due to its open-source approach, bugs are not addressed</w:t>
      </w:r>
      <w:r w:rsidR="007627AF">
        <w:rPr>
          <w:rFonts w:ascii="Times New Roman" w:hAnsi="Times New Roman" w:cs="Times New Roman"/>
          <w:noProof/>
        </w:rPr>
        <w:t xml:space="preserve"> </w:t>
      </w:r>
      <w:r w:rsidR="007627AF" w:rsidRPr="007627AF">
        <w:rPr>
          <w:rFonts w:ascii="Times New Roman" w:hAnsi="Times New Roman" w:cs="Times New Roman"/>
          <w:noProof/>
        </w:rPr>
        <w:t>(Baggott, 2019)</w:t>
      </w:r>
      <w:r w:rsidR="00E4742D" w:rsidRPr="004A762D">
        <w:rPr>
          <w:rFonts w:ascii="Times New Roman" w:hAnsi="Times New Roman" w:cs="Times New Roman"/>
        </w:rPr>
        <w:t>. Finally, an in</w:t>
      </w:r>
      <w:r w:rsidR="007627AF">
        <w:rPr>
          <w:rFonts w:ascii="Times New Roman" w:hAnsi="Times New Roman" w:cs="Times New Roman"/>
        </w:rPr>
        <w:t>-</w:t>
      </w:r>
      <w:r w:rsidR="00E4742D" w:rsidRPr="004A762D">
        <w:rPr>
          <w:rFonts w:ascii="Times New Roman" w:hAnsi="Times New Roman" w:cs="Times New Roman"/>
        </w:rPr>
        <w:t>house solution presents a cheap alternative with available in</w:t>
      </w:r>
      <w:r w:rsidR="007627AF">
        <w:rPr>
          <w:rFonts w:ascii="Times New Roman" w:hAnsi="Times New Roman" w:cs="Times New Roman"/>
        </w:rPr>
        <w:t>-</w:t>
      </w:r>
      <w:r w:rsidR="00E4742D" w:rsidRPr="004A762D">
        <w:rPr>
          <w:rFonts w:ascii="Times New Roman" w:hAnsi="Times New Roman" w:cs="Times New Roman"/>
        </w:rPr>
        <w:t>house support</w:t>
      </w:r>
      <w:r w:rsidR="00840626" w:rsidRPr="004A762D">
        <w:rPr>
          <w:rFonts w:ascii="Times New Roman" w:hAnsi="Times New Roman" w:cs="Times New Roman"/>
        </w:rPr>
        <w:t>. The legacy system</w:t>
      </w:r>
      <w:r w:rsidR="006B67F9" w:rsidRPr="004A762D">
        <w:rPr>
          <w:rFonts w:ascii="Times New Roman" w:hAnsi="Times New Roman" w:cs="Times New Roman"/>
        </w:rPr>
        <w:t xml:space="preserve"> would be efficient for firm-specific tasks, create continuity in business operations, and create a familiar system that provides all the benefits of ERP. </w:t>
      </w:r>
      <w:r w:rsidR="004A762D" w:rsidRPr="004A762D">
        <w:rPr>
          <w:rFonts w:ascii="Times New Roman" w:hAnsi="Times New Roman" w:cs="Times New Roman"/>
        </w:rPr>
        <w:t>Users</w:t>
      </w:r>
      <w:r w:rsidR="0047394C" w:rsidRPr="004A762D">
        <w:rPr>
          <w:rFonts w:ascii="Times New Roman" w:hAnsi="Times New Roman" w:cs="Times New Roman"/>
        </w:rPr>
        <w:t xml:space="preserve"> may, however, experience compat</w:t>
      </w:r>
      <w:r w:rsidR="007627AF">
        <w:rPr>
          <w:rFonts w:ascii="Times New Roman" w:hAnsi="Times New Roman" w:cs="Times New Roman"/>
        </w:rPr>
        <w:t>i</w:t>
      </w:r>
      <w:r w:rsidR="0047394C" w:rsidRPr="004A762D">
        <w:rPr>
          <w:rFonts w:ascii="Times New Roman" w:hAnsi="Times New Roman" w:cs="Times New Roman"/>
        </w:rPr>
        <w:t>bility problems</w:t>
      </w:r>
      <w:r w:rsidR="004A762D" w:rsidRPr="004A762D">
        <w:rPr>
          <w:rFonts w:ascii="Times New Roman" w:hAnsi="Times New Roman" w:cs="Times New Roman"/>
        </w:rPr>
        <w:t>, functionality issues, costly maintenance</w:t>
      </w:r>
      <w:r w:rsidR="007627AF">
        <w:rPr>
          <w:rFonts w:ascii="Times New Roman" w:hAnsi="Times New Roman" w:cs="Times New Roman"/>
        </w:rPr>
        <w:t>,</w:t>
      </w:r>
      <w:r w:rsidR="004A762D" w:rsidRPr="004A762D">
        <w:rPr>
          <w:rFonts w:ascii="Times New Roman" w:hAnsi="Times New Roman" w:cs="Times New Roman"/>
        </w:rPr>
        <w:t xml:space="preserve"> and </w:t>
      </w:r>
      <w:r w:rsidR="007627AF">
        <w:rPr>
          <w:rFonts w:ascii="Times New Roman" w:hAnsi="Times New Roman" w:cs="Times New Roman"/>
        </w:rPr>
        <w:t>greater exposure</w:t>
      </w:r>
      <w:r w:rsidR="004A762D" w:rsidRPr="004A762D">
        <w:rPr>
          <w:rFonts w:ascii="Times New Roman" w:hAnsi="Times New Roman" w:cs="Times New Roman"/>
        </w:rPr>
        <w:t xml:space="preserve"> to security vulnerabilities</w:t>
      </w:r>
      <w:r w:rsidR="004A762D" w:rsidRPr="004A762D">
        <w:rPr>
          <w:rFonts w:ascii="Times New Roman" w:hAnsi="Times New Roman" w:cs="Times New Roman"/>
          <w:noProof/>
        </w:rPr>
        <w:t xml:space="preserve"> (Vlad, 2021)</w:t>
      </w:r>
      <w:r w:rsidR="004A762D" w:rsidRPr="004A762D">
        <w:rPr>
          <w:rFonts w:ascii="Times New Roman" w:hAnsi="Times New Roman" w:cs="Times New Roman"/>
        </w:rPr>
        <w:t>. As technology changes, old interfaces may be redundant</w:t>
      </w:r>
      <w:r w:rsidR="007627AF">
        <w:rPr>
          <w:rFonts w:ascii="Times New Roman" w:hAnsi="Times New Roman" w:cs="Times New Roman"/>
        </w:rPr>
        <w:t>,</w:t>
      </w:r>
      <w:r w:rsidR="004A762D" w:rsidRPr="004A762D">
        <w:rPr>
          <w:rFonts w:ascii="Times New Roman" w:hAnsi="Times New Roman" w:cs="Times New Roman"/>
        </w:rPr>
        <w:t xml:space="preserve"> and replacing the system could prove problematic. </w:t>
      </w:r>
      <w:r w:rsidR="00DC5D58" w:rsidRPr="004A762D">
        <w:rPr>
          <w:rFonts w:ascii="Times New Roman" w:hAnsi="Times New Roman" w:cs="Times New Roman"/>
        </w:rPr>
        <w:br w:type="page"/>
      </w:r>
    </w:p>
    <w:p w14:paraId="13459711" w14:textId="1CD8102C" w:rsidR="00F01BE8" w:rsidRPr="004A762D" w:rsidRDefault="00DC5D58" w:rsidP="007627AF">
      <w:pPr>
        <w:ind w:firstLine="0"/>
        <w:jc w:val="center"/>
        <w:rPr>
          <w:rFonts w:ascii="Times New Roman" w:hAnsi="Times New Roman" w:cs="Times New Roman"/>
        </w:rPr>
      </w:pPr>
      <w:r w:rsidRPr="004A762D">
        <w:rPr>
          <w:rFonts w:ascii="Times New Roman" w:hAnsi="Times New Roman" w:cs="Times New Roman"/>
        </w:rPr>
        <w:lastRenderedPageBreak/>
        <w:t>References</w:t>
      </w:r>
    </w:p>
    <w:p w14:paraId="7E379A0D" w14:textId="3A314A68" w:rsidR="007627AF" w:rsidRDefault="007627AF" w:rsidP="007627AF">
      <w:pPr>
        <w:pStyle w:val="Bibliography"/>
        <w:rPr>
          <w:noProof/>
        </w:rPr>
      </w:pPr>
      <w:r>
        <w:rPr>
          <w:noProof/>
        </w:rPr>
        <w:t xml:space="preserve">Baggott, A., 2019. </w:t>
      </w:r>
      <w:r>
        <w:rPr>
          <w:i/>
          <w:iCs/>
          <w:noProof/>
        </w:rPr>
        <w:t xml:space="preserve">ERP open source: advantages and disadvantages. </w:t>
      </w:r>
      <w:r>
        <w:rPr>
          <w:noProof/>
        </w:rPr>
        <w:t xml:space="preserve">Available at: </w:t>
      </w:r>
      <w:hyperlink r:id="rId8" w:anchor=":~:text=Vendor%20licenced%20products%20can%20be,appealing%20solution%20for%20many%20businesses.&amp;text=One%20of%20the%20biggest%20disadvantages,support%20can%20be%20very%20limited" w:history="1">
        <w:r w:rsidRPr="00B73F95">
          <w:rPr>
            <w:rStyle w:val="Hyperlink"/>
            <w:noProof/>
          </w:rPr>
          <w:t>https://www.holded.com/blog/erp-open-source-advantages-and-disadvantages#:~:text=Vendor%20licenced%20products%20can%20be,appealing%20solution%20for%20many%20businesses.&amp;text=One%20of%20the%20biggest%20disadvantages,support%20can%20be%20very%20limited</w:t>
        </w:r>
      </w:hyperlink>
      <w:r>
        <w:rPr>
          <w:noProof/>
          <w:u w:val="single"/>
        </w:rPr>
        <w:t xml:space="preserve">. </w:t>
      </w:r>
      <w:r>
        <w:rPr>
          <w:noProof/>
        </w:rPr>
        <w:t>[Accessed 30 June 2022].</w:t>
      </w:r>
    </w:p>
    <w:p w14:paraId="31309108" w14:textId="2065D8B7" w:rsidR="004A762D" w:rsidRPr="004A762D" w:rsidRDefault="004A762D" w:rsidP="007627AF">
      <w:pPr>
        <w:pStyle w:val="Bibliography"/>
        <w:rPr>
          <w:noProof/>
        </w:rPr>
      </w:pPr>
      <w:r w:rsidRPr="004A762D">
        <w:rPr>
          <w:noProof/>
        </w:rPr>
        <w:t xml:space="preserve">Crowe, G., 2020. </w:t>
      </w:r>
      <w:r w:rsidRPr="004A762D">
        <w:rPr>
          <w:i/>
          <w:iCs/>
          <w:noProof/>
        </w:rPr>
        <w:t xml:space="preserve">The 6 Biggest Risks Concerning Small Businesses. </w:t>
      </w:r>
      <w:r w:rsidRPr="004A762D">
        <w:rPr>
          <w:noProof/>
        </w:rPr>
        <w:t xml:space="preserve">Available at: </w:t>
      </w:r>
      <w:hyperlink r:id="rId9" w:history="1">
        <w:r w:rsidR="007627AF" w:rsidRPr="00B73F95">
          <w:rPr>
            <w:rStyle w:val="Hyperlink"/>
            <w:noProof/>
          </w:rPr>
          <w:t>https://www.clearrisk.com/risk-management-blog/bid/47419/the-6-biggest-risks-concerning-small-businesses</w:t>
        </w:r>
      </w:hyperlink>
      <w:r w:rsidR="007627AF">
        <w:rPr>
          <w:noProof/>
          <w:u w:val="single"/>
        </w:rPr>
        <w:t xml:space="preserve"> </w:t>
      </w:r>
      <w:r w:rsidRPr="004A762D">
        <w:rPr>
          <w:noProof/>
        </w:rPr>
        <w:t>[Accessed 30 June 2022].</w:t>
      </w:r>
    </w:p>
    <w:p w14:paraId="2F38AF8E" w14:textId="62BEE4F1" w:rsidR="004A762D" w:rsidRPr="004A762D" w:rsidRDefault="004A762D" w:rsidP="007627AF">
      <w:pPr>
        <w:pStyle w:val="Bibliography"/>
        <w:rPr>
          <w:noProof/>
        </w:rPr>
      </w:pPr>
      <w:r w:rsidRPr="004A762D">
        <w:rPr>
          <w:noProof/>
        </w:rPr>
        <w:t>Hanggraeni, D. &amp; Sinamo, T., 2021. Quality of Entrepreneurship and Micro-, Small-and Medium-sized Enterprises'</w:t>
      </w:r>
      <w:r w:rsidR="007627AF">
        <w:rPr>
          <w:noProof/>
        </w:rPr>
        <w:t xml:space="preserve"> </w:t>
      </w:r>
      <w:r w:rsidRPr="004A762D">
        <w:rPr>
          <w:noProof/>
        </w:rPr>
        <w:t xml:space="preserve">(MSMEs) Financial Performance in Indonesia. </w:t>
      </w:r>
      <w:r w:rsidRPr="004A762D">
        <w:rPr>
          <w:i/>
          <w:iCs/>
          <w:noProof/>
        </w:rPr>
        <w:t>The Journal of Asian Finance, Economics</w:t>
      </w:r>
      <w:r w:rsidR="007627AF">
        <w:rPr>
          <w:i/>
          <w:iCs/>
          <w:noProof/>
        </w:rPr>
        <w:t>,</w:t>
      </w:r>
      <w:r w:rsidRPr="004A762D">
        <w:rPr>
          <w:i/>
          <w:iCs/>
          <w:noProof/>
        </w:rPr>
        <w:t xml:space="preserve"> and Business, </w:t>
      </w:r>
      <w:r w:rsidRPr="004A762D">
        <w:rPr>
          <w:noProof/>
        </w:rPr>
        <w:t>8(4), pp. 897-907.</w:t>
      </w:r>
    </w:p>
    <w:p w14:paraId="2CB3B7A6" w14:textId="0B512123" w:rsidR="004A762D" w:rsidRPr="004A762D" w:rsidRDefault="004A762D" w:rsidP="007627AF">
      <w:pPr>
        <w:pStyle w:val="Bibliography"/>
        <w:rPr>
          <w:noProof/>
        </w:rPr>
      </w:pPr>
      <w:r w:rsidRPr="004A762D">
        <w:rPr>
          <w:noProof/>
        </w:rPr>
        <w:t xml:space="preserve">Mazars, 2021. </w:t>
      </w:r>
      <w:r w:rsidRPr="004A762D">
        <w:rPr>
          <w:i/>
          <w:iCs/>
          <w:noProof/>
        </w:rPr>
        <w:t xml:space="preserve">Nigeria: Achieving Financial Stability For Small &amp; Medium Enterprises. </w:t>
      </w:r>
      <w:r w:rsidRPr="004A762D">
        <w:rPr>
          <w:noProof/>
        </w:rPr>
        <w:t xml:space="preserve">Available at: </w:t>
      </w:r>
      <w:hyperlink r:id="rId10" w:history="1">
        <w:r w:rsidR="007627AF" w:rsidRPr="00B73F95">
          <w:rPr>
            <w:rStyle w:val="Hyperlink"/>
            <w:noProof/>
          </w:rPr>
          <w:t>https://www.mondaq.com/nigeria/financial-services/1140762/achieving-financial-stability-for-small-medium-enterprises</w:t>
        </w:r>
      </w:hyperlink>
      <w:r w:rsidR="007627AF">
        <w:rPr>
          <w:noProof/>
          <w:u w:val="single"/>
        </w:rPr>
        <w:t xml:space="preserve"> </w:t>
      </w:r>
      <w:r w:rsidRPr="004A762D">
        <w:rPr>
          <w:noProof/>
        </w:rPr>
        <w:t>[Accessed 30 June 2022].</w:t>
      </w:r>
    </w:p>
    <w:p w14:paraId="059925B6" w14:textId="77777777" w:rsidR="004A762D" w:rsidRPr="004A762D" w:rsidRDefault="004A762D" w:rsidP="007627AF">
      <w:pPr>
        <w:pStyle w:val="Bibliography"/>
        <w:rPr>
          <w:noProof/>
        </w:rPr>
      </w:pPr>
      <w:r w:rsidRPr="004A762D">
        <w:rPr>
          <w:noProof/>
        </w:rPr>
        <w:t xml:space="preserve">Mbatha, N. &amp; Ngibe, M., 2017. Factors affecting financial stability of small and medium enterprises: A case study of emerging markets. </w:t>
      </w:r>
      <w:r w:rsidRPr="004A762D">
        <w:rPr>
          <w:i/>
          <w:iCs/>
          <w:noProof/>
        </w:rPr>
        <w:t xml:space="preserve">Risk governance &amp; control: Financial markets &amp; institutions, </w:t>
      </w:r>
      <w:r w:rsidRPr="004A762D">
        <w:rPr>
          <w:noProof/>
        </w:rPr>
        <w:t>7(1), pp. 7-17.</w:t>
      </w:r>
    </w:p>
    <w:p w14:paraId="5F4878C1" w14:textId="4F3F56DD" w:rsidR="004A762D" w:rsidRPr="004A762D" w:rsidRDefault="004A762D" w:rsidP="007627AF">
      <w:pPr>
        <w:pStyle w:val="Bibliography"/>
        <w:rPr>
          <w:noProof/>
        </w:rPr>
      </w:pPr>
      <w:r w:rsidRPr="004A762D">
        <w:rPr>
          <w:noProof/>
        </w:rPr>
        <w:t xml:space="preserve">Page, H., 2016. </w:t>
      </w:r>
      <w:r w:rsidRPr="004A762D">
        <w:rPr>
          <w:i/>
          <w:iCs/>
          <w:noProof/>
        </w:rPr>
        <w:t xml:space="preserve">Seven key challenges in assessing SME credit risk. </w:t>
      </w:r>
      <w:r w:rsidRPr="004A762D">
        <w:rPr>
          <w:noProof/>
        </w:rPr>
        <w:t xml:space="preserve">Available at: </w:t>
      </w:r>
      <w:hyperlink r:id="rId11" w:history="1">
        <w:r w:rsidR="007627AF" w:rsidRPr="00B73F95">
          <w:rPr>
            <w:rStyle w:val="Hyperlink"/>
            <w:noProof/>
          </w:rPr>
          <w:t>https://www.moodysanalytics.com/-/media/whitepaper/2016/seven-key-challenges-assessing%20small-medium-enterprises-sme-credit-risk.pdf</w:t>
        </w:r>
      </w:hyperlink>
      <w:r w:rsidR="007627AF">
        <w:rPr>
          <w:noProof/>
          <w:u w:val="single"/>
        </w:rPr>
        <w:t xml:space="preserve"> </w:t>
      </w:r>
      <w:r w:rsidRPr="004A762D">
        <w:rPr>
          <w:noProof/>
        </w:rPr>
        <w:t>[Accessed 30 June 2022].</w:t>
      </w:r>
    </w:p>
    <w:p w14:paraId="571FDAD2" w14:textId="21303EC2" w:rsidR="007627AF" w:rsidRDefault="004A762D" w:rsidP="007627AF">
      <w:pPr>
        <w:pStyle w:val="FootnoteText"/>
        <w:spacing w:line="480" w:lineRule="auto"/>
        <w:ind w:left="720" w:hanging="720"/>
      </w:pPr>
      <w:r w:rsidRPr="004A762D">
        <w:rPr>
          <w:noProof/>
          <w:sz w:val="24"/>
          <w:szCs w:val="24"/>
        </w:rPr>
        <w:t xml:space="preserve">Vlad, V., 2021. </w:t>
      </w:r>
      <w:r w:rsidRPr="004A762D">
        <w:rPr>
          <w:i/>
          <w:iCs/>
          <w:noProof/>
          <w:sz w:val="24"/>
          <w:szCs w:val="24"/>
        </w:rPr>
        <w:t xml:space="preserve">Advantages and disadvantages of legacy systems. What to choose — to maintain or to modernize?. </w:t>
      </w:r>
      <w:r w:rsidRPr="004A762D">
        <w:rPr>
          <w:noProof/>
          <w:sz w:val="24"/>
          <w:szCs w:val="24"/>
        </w:rPr>
        <w:t xml:space="preserve">Available at: </w:t>
      </w:r>
      <w:hyperlink r:id="rId12" w:history="1">
        <w:r w:rsidR="007627AF" w:rsidRPr="00B73F95">
          <w:rPr>
            <w:rStyle w:val="Hyperlink"/>
            <w:noProof/>
            <w:sz w:val="24"/>
            <w:szCs w:val="24"/>
          </w:rPr>
          <w:t>https://modlogix.com/blog/advantages-and-</w:t>
        </w:r>
        <w:r w:rsidR="007627AF" w:rsidRPr="00B73F95">
          <w:rPr>
            <w:rStyle w:val="Hyperlink"/>
            <w:noProof/>
            <w:sz w:val="24"/>
            <w:szCs w:val="24"/>
          </w:rPr>
          <w:lastRenderedPageBreak/>
          <w:t>disadvantages-of-legacy-systems-what-to-choose-to-maintain-or-to-modernize/</w:t>
        </w:r>
      </w:hyperlink>
      <w:r w:rsidR="007627AF">
        <w:rPr>
          <w:noProof/>
          <w:sz w:val="24"/>
          <w:szCs w:val="24"/>
          <w:u w:val="single"/>
        </w:rPr>
        <w:t xml:space="preserve"> </w:t>
      </w:r>
      <w:r w:rsidRPr="004A762D">
        <w:rPr>
          <w:noProof/>
          <w:sz w:val="24"/>
          <w:szCs w:val="24"/>
        </w:rPr>
        <w:t>[Accessed 30 June 2022].</w:t>
      </w:r>
    </w:p>
    <w:p w14:paraId="7D598AE6" w14:textId="77777777" w:rsidR="004A762D" w:rsidRPr="004A762D" w:rsidRDefault="004A762D" w:rsidP="007627AF">
      <w:pPr>
        <w:pStyle w:val="FootnoteText"/>
        <w:spacing w:line="480" w:lineRule="auto"/>
        <w:ind w:left="720" w:hanging="720"/>
        <w:rPr>
          <w:rFonts w:ascii="Times New Roman" w:hAnsi="Times New Roman" w:cs="Times New Roman"/>
          <w:color w:val="222222"/>
          <w:sz w:val="24"/>
          <w:szCs w:val="24"/>
          <w:shd w:val="clear" w:color="auto" w:fill="FFFFFF"/>
        </w:rPr>
      </w:pPr>
    </w:p>
    <w:sectPr w:rsidR="004A762D" w:rsidRPr="004A762D" w:rsidSect="007A42C5">
      <w:headerReference w:type="default" r:id="rId13"/>
      <w:headerReference w:type="first" r:id="rId14"/>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DC88B" w14:textId="77777777" w:rsidR="000F7031" w:rsidRDefault="000F7031">
      <w:pPr>
        <w:spacing w:line="240" w:lineRule="auto"/>
      </w:pPr>
      <w:r>
        <w:separator/>
      </w:r>
    </w:p>
    <w:p w14:paraId="02E34B1A" w14:textId="77777777" w:rsidR="000F7031" w:rsidRDefault="000F7031"/>
  </w:endnote>
  <w:endnote w:type="continuationSeparator" w:id="0">
    <w:p w14:paraId="6BF8C8CC" w14:textId="77777777" w:rsidR="000F7031" w:rsidRDefault="000F7031">
      <w:pPr>
        <w:spacing w:line="240" w:lineRule="auto"/>
      </w:pPr>
      <w:r>
        <w:continuationSeparator/>
      </w:r>
    </w:p>
    <w:p w14:paraId="423C33DE" w14:textId="77777777" w:rsidR="000F7031" w:rsidRDefault="000F7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9553A" w14:textId="77777777" w:rsidR="000F7031" w:rsidRDefault="000F7031">
      <w:pPr>
        <w:spacing w:line="240" w:lineRule="auto"/>
      </w:pPr>
      <w:r>
        <w:separator/>
      </w:r>
    </w:p>
    <w:p w14:paraId="5FE7763F" w14:textId="77777777" w:rsidR="000F7031" w:rsidRDefault="000F7031"/>
  </w:footnote>
  <w:footnote w:type="continuationSeparator" w:id="0">
    <w:p w14:paraId="7EFF60B9" w14:textId="77777777" w:rsidR="000F7031" w:rsidRDefault="000F7031">
      <w:pPr>
        <w:spacing w:line="240" w:lineRule="auto"/>
      </w:pPr>
      <w:r>
        <w:continuationSeparator/>
      </w:r>
    </w:p>
    <w:p w14:paraId="262E9B22" w14:textId="77777777" w:rsidR="000F7031" w:rsidRDefault="000F703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057534"/>
      <w:docPartObj>
        <w:docPartGallery w:val="Page Numbers (Top of Page)"/>
        <w:docPartUnique/>
      </w:docPartObj>
    </w:sdtPr>
    <w:sdtEndPr>
      <w:rPr>
        <w:noProof/>
      </w:rPr>
    </w:sdtEndPr>
    <w:sdtContent>
      <w:p w14:paraId="6AB2081F" w14:textId="5B5E6BBD" w:rsidR="007A42C5" w:rsidRDefault="00C62B18">
        <w:pPr>
          <w:pStyle w:val="Header"/>
          <w:jc w:val="right"/>
        </w:pPr>
        <w:r>
          <w:rPr>
            <w:rFonts w:ascii="Times New Roman" w:hAnsi="Times New Roman" w:cs="Times New Roman"/>
          </w:rPr>
          <w:t xml:space="preserve">Acme Manufacturing </w:t>
        </w:r>
        <w:r w:rsidRPr="00C62B18">
          <w:rPr>
            <w:rFonts w:ascii="Times New Roman" w:hAnsi="Times New Roman" w:cs="Times New Roman"/>
          </w:rPr>
          <w:t xml:space="preserve">Status Report </w:t>
        </w:r>
        <w:r w:rsidR="007A42C5">
          <w:fldChar w:fldCharType="begin"/>
        </w:r>
        <w:r w:rsidR="007A42C5">
          <w:instrText xml:space="preserve"> PAGE   \* MERGEFORMAT </w:instrText>
        </w:r>
        <w:r w:rsidR="007A42C5">
          <w:fldChar w:fldCharType="separate"/>
        </w:r>
        <w:r w:rsidR="00343805">
          <w:rPr>
            <w:noProof/>
          </w:rPr>
          <w:t>1</w:t>
        </w:r>
        <w:r w:rsidR="007A42C5">
          <w:rPr>
            <w:noProof/>
          </w:rPr>
          <w:fldChar w:fldCharType="end"/>
        </w:r>
      </w:p>
    </w:sdtContent>
  </w:sdt>
  <w:p w14:paraId="701CAA9D" w14:textId="77509D5E" w:rsidR="00E81978" w:rsidRDefault="00E8197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042F1" w14:textId="77777777" w:rsidR="00E81978" w:rsidRDefault="005D3A03">
    <w:pPr>
      <w:pStyle w:val="Header"/>
      <w:rPr>
        <w:rStyle w:val="Strong"/>
      </w:rPr>
    </w:pPr>
    <w:r>
      <w:t xml:space="preserve">Running head: </w:t>
    </w:r>
    <w:sdt>
      <w:sdtPr>
        <w:rPr>
          <w:rStyle w:val="Strong"/>
        </w:rPr>
        <w:alias w:val="Running head"/>
        <w:tag w:val=""/>
        <w:id w:val="-696842620"/>
        <w:placeholder>
          <w:docPart w:val="7E31A230A8744F72952B13256393EAD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yNDc3MgERZmamSjpKwanFxZn5eSAFprUAs+eiXSwAAAA="/>
  </w:docVars>
  <w:rsids>
    <w:rsidRoot w:val="007A42C5"/>
    <w:rsid w:val="00011D31"/>
    <w:rsid w:val="000450D8"/>
    <w:rsid w:val="0004528A"/>
    <w:rsid w:val="00046178"/>
    <w:rsid w:val="00046E70"/>
    <w:rsid w:val="000B44A0"/>
    <w:rsid w:val="000B5FBB"/>
    <w:rsid w:val="000D3F41"/>
    <w:rsid w:val="000D5F02"/>
    <w:rsid w:val="000F4567"/>
    <w:rsid w:val="000F7031"/>
    <w:rsid w:val="001328B1"/>
    <w:rsid w:val="00157563"/>
    <w:rsid w:val="00157EC1"/>
    <w:rsid w:val="001D0EE1"/>
    <w:rsid w:val="001D3F1B"/>
    <w:rsid w:val="001F40B0"/>
    <w:rsid w:val="00216D87"/>
    <w:rsid w:val="0026623A"/>
    <w:rsid w:val="0027039B"/>
    <w:rsid w:val="00270F26"/>
    <w:rsid w:val="00282D7B"/>
    <w:rsid w:val="00295EAE"/>
    <w:rsid w:val="002B451B"/>
    <w:rsid w:val="002C7315"/>
    <w:rsid w:val="00306AFD"/>
    <w:rsid w:val="00335747"/>
    <w:rsid w:val="00343805"/>
    <w:rsid w:val="00355DCA"/>
    <w:rsid w:val="00357885"/>
    <w:rsid w:val="003671AE"/>
    <w:rsid w:val="003E1961"/>
    <w:rsid w:val="0047394C"/>
    <w:rsid w:val="004756FE"/>
    <w:rsid w:val="004910E7"/>
    <w:rsid w:val="004A20A1"/>
    <w:rsid w:val="004A6C6E"/>
    <w:rsid w:val="004A762D"/>
    <w:rsid w:val="005112BB"/>
    <w:rsid w:val="00517733"/>
    <w:rsid w:val="005422E1"/>
    <w:rsid w:val="00551A02"/>
    <w:rsid w:val="005534FA"/>
    <w:rsid w:val="005660CB"/>
    <w:rsid w:val="005D3A03"/>
    <w:rsid w:val="00634BC2"/>
    <w:rsid w:val="00656545"/>
    <w:rsid w:val="00675E36"/>
    <w:rsid w:val="006A0039"/>
    <w:rsid w:val="006A56BD"/>
    <w:rsid w:val="006B67F9"/>
    <w:rsid w:val="006B7DAD"/>
    <w:rsid w:val="006F7636"/>
    <w:rsid w:val="00711AD6"/>
    <w:rsid w:val="00731842"/>
    <w:rsid w:val="007627AF"/>
    <w:rsid w:val="00783546"/>
    <w:rsid w:val="007A42C5"/>
    <w:rsid w:val="007D55B1"/>
    <w:rsid w:val="008002C0"/>
    <w:rsid w:val="00840626"/>
    <w:rsid w:val="00846AF8"/>
    <w:rsid w:val="00860986"/>
    <w:rsid w:val="008A4495"/>
    <w:rsid w:val="008C5323"/>
    <w:rsid w:val="00910D33"/>
    <w:rsid w:val="0098660B"/>
    <w:rsid w:val="009A3EE9"/>
    <w:rsid w:val="009A6A3B"/>
    <w:rsid w:val="009B2FDB"/>
    <w:rsid w:val="009D63DA"/>
    <w:rsid w:val="009E5369"/>
    <w:rsid w:val="00AB4B23"/>
    <w:rsid w:val="00AC195A"/>
    <w:rsid w:val="00AC68FD"/>
    <w:rsid w:val="00AE076B"/>
    <w:rsid w:val="00B823AA"/>
    <w:rsid w:val="00BA45DB"/>
    <w:rsid w:val="00BC6A54"/>
    <w:rsid w:val="00BF0BB1"/>
    <w:rsid w:val="00BF4184"/>
    <w:rsid w:val="00BF758E"/>
    <w:rsid w:val="00C00495"/>
    <w:rsid w:val="00C0601E"/>
    <w:rsid w:val="00C06AA9"/>
    <w:rsid w:val="00C31D30"/>
    <w:rsid w:val="00C34EBC"/>
    <w:rsid w:val="00C366E8"/>
    <w:rsid w:val="00C62B18"/>
    <w:rsid w:val="00C94328"/>
    <w:rsid w:val="00CC0AD4"/>
    <w:rsid w:val="00CD6E39"/>
    <w:rsid w:val="00CF6E91"/>
    <w:rsid w:val="00D34BEA"/>
    <w:rsid w:val="00D37EAB"/>
    <w:rsid w:val="00D85B68"/>
    <w:rsid w:val="00D94D67"/>
    <w:rsid w:val="00DC5D58"/>
    <w:rsid w:val="00E4742D"/>
    <w:rsid w:val="00E57604"/>
    <w:rsid w:val="00E6004D"/>
    <w:rsid w:val="00E778D0"/>
    <w:rsid w:val="00E81978"/>
    <w:rsid w:val="00EA6A91"/>
    <w:rsid w:val="00EC01B9"/>
    <w:rsid w:val="00EE1C34"/>
    <w:rsid w:val="00EE6597"/>
    <w:rsid w:val="00F01BE8"/>
    <w:rsid w:val="00F17CF7"/>
    <w:rsid w:val="00F379B7"/>
    <w:rsid w:val="00F525FA"/>
    <w:rsid w:val="00F75C53"/>
    <w:rsid w:val="00F956A8"/>
    <w:rsid w:val="00FC441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37B1F"/>
  <w15:chartTrackingRefBased/>
  <w15:docId w15:val="{D88812E9-358A-42AA-939F-5C40EE2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uiPriority w:val="2"/>
    <w:qFormat/>
    <w:rsid w:val="002B451B"/>
    <w:pPr>
      <w:pageBreakBefore/>
      <w:ind w:firstLine="0"/>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autoRedefine/>
    <w:qFormat/>
    <w:rsid w:val="00EC01B9"/>
    <w:pPr>
      <w:spacing w:before="240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rsid w:val="00EC01B9"/>
    <w:rPr>
      <w:rFonts w:asciiTheme="majorHAnsi" w:eastAsiaTheme="majorEastAsia" w:hAnsiTheme="majorHAnsi" w:cstheme="majorBidi"/>
      <w:b/>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34BEA"/>
    <w:rPr>
      <w:color w:val="0000FF"/>
      <w:u w:val="single"/>
    </w:rPr>
  </w:style>
  <w:style w:type="character" w:customStyle="1" w:styleId="name">
    <w:name w:val="name"/>
    <w:basedOn w:val="DefaultParagraphFont"/>
    <w:rsid w:val="005660CB"/>
  </w:style>
  <w:style w:type="character" w:customStyle="1" w:styleId="Date1">
    <w:name w:val="Date1"/>
    <w:basedOn w:val="DefaultParagraphFont"/>
    <w:rsid w:val="005660CB"/>
  </w:style>
  <w:style w:type="character" w:customStyle="1" w:styleId="occupation">
    <w:name w:val="occupation"/>
    <w:basedOn w:val="DefaultParagraphFont"/>
    <w:rsid w:val="005660CB"/>
  </w:style>
  <w:style w:type="character" w:customStyle="1" w:styleId="work">
    <w:name w:val="work"/>
    <w:basedOn w:val="DefaultParagraphFont"/>
    <w:rsid w:val="005660CB"/>
  </w:style>
  <w:style w:type="character" w:customStyle="1" w:styleId="inlinequote">
    <w:name w:val="inlinequote"/>
    <w:basedOn w:val="DefaultParagraphFont"/>
    <w:rsid w:val="005660CB"/>
  </w:style>
  <w:style w:type="character" w:customStyle="1" w:styleId="measurement">
    <w:name w:val="measurement"/>
    <w:basedOn w:val="DefaultParagraphFont"/>
    <w:rsid w:val="005660CB"/>
  </w:style>
  <w:style w:type="character" w:customStyle="1" w:styleId="money">
    <w:name w:val="money"/>
    <w:basedOn w:val="DefaultParagraphFont"/>
    <w:rsid w:val="00711AD6"/>
  </w:style>
  <w:style w:type="character" w:customStyle="1" w:styleId="bibitem">
    <w:name w:val="bibitem"/>
    <w:basedOn w:val="DefaultParagraphFont"/>
    <w:rsid w:val="00711AD6"/>
  </w:style>
  <w:style w:type="character" w:customStyle="1" w:styleId="UnresolvedMention">
    <w:name w:val="Unresolved Mention"/>
    <w:basedOn w:val="DefaultParagraphFont"/>
    <w:uiPriority w:val="99"/>
    <w:semiHidden/>
    <w:unhideWhenUsed/>
    <w:rsid w:val="005422E1"/>
    <w:rPr>
      <w:color w:val="605E5C"/>
      <w:shd w:val="clear" w:color="auto" w:fill="E1DFDD"/>
    </w:rPr>
  </w:style>
  <w:style w:type="character" w:customStyle="1" w:styleId="mw-headline">
    <w:name w:val="mw-headline"/>
    <w:basedOn w:val="DefaultParagraphFont"/>
    <w:rsid w:val="00E57604"/>
  </w:style>
  <w:style w:type="character" w:customStyle="1" w:styleId="mw-editsection">
    <w:name w:val="mw-editsection"/>
    <w:basedOn w:val="DefaultParagraphFont"/>
    <w:rsid w:val="00E57604"/>
  </w:style>
  <w:style w:type="character" w:customStyle="1" w:styleId="mw-editsection-bracket">
    <w:name w:val="mw-editsection-bracket"/>
    <w:basedOn w:val="DefaultParagraphFont"/>
    <w:rsid w:val="00E57604"/>
  </w:style>
  <w:style w:type="character" w:customStyle="1" w:styleId="nowrap">
    <w:name w:val="nowrap"/>
    <w:basedOn w:val="DefaultParagraphFont"/>
    <w:rsid w:val="00E5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982">
      <w:bodyDiv w:val="1"/>
      <w:marLeft w:val="0"/>
      <w:marRight w:val="0"/>
      <w:marTop w:val="0"/>
      <w:marBottom w:val="0"/>
      <w:divBdr>
        <w:top w:val="none" w:sz="0" w:space="0" w:color="auto"/>
        <w:left w:val="none" w:sz="0" w:space="0" w:color="auto"/>
        <w:bottom w:val="none" w:sz="0" w:space="0" w:color="auto"/>
        <w:right w:val="none" w:sz="0" w:space="0" w:color="auto"/>
      </w:divBdr>
    </w:div>
    <w:div w:id="118452449">
      <w:bodyDiv w:val="1"/>
      <w:marLeft w:val="0"/>
      <w:marRight w:val="0"/>
      <w:marTop w:val="0"/>
      <w:marBottom w:val="0"/>
      <w:divBdr>
        <w:top w:val="none" w:sz="0" w:space="0" w:color="auto"/>
        <w:left w:val="none" w:sz="0" w:space="0" w:color="auto"/>
        <w:bottom w:val="none" w:sz="0" w:space="0" w:color="auto"/>
        <w:right w:val="none" w:sz="0" w:space="0" w:color="auto"/>
      </w:divBdr>
    </w:div>
    <w:div w:id="12439353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35634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057486">
      <w:bodyDiv w:val="1"/>
      <w:marLeft w:val="0"/>
      <w:marRight w:val="0"/>
      <w:marTop w:val="0"/>
      <w:marBottom w:val="0"/>
      <w:divBdr>
        <w:top w:val="none" w:sz="0" w:space="0" w:color="auto"/>
        <w:left w:val="none" w:sz="0" w:space="0" w:color="auto"/>
        <w:bottom w:val="none" w:sz="0" w:space="0" w:color="auto"/>
        <w:right w:val="none" w:sz="0" w:space="0" w:color="auto"/>
      </w:divBdr>
    </w:div>
    <w:div w:id="44342444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82419562">
      <w:bodyDiv w:val="1"/>
      <w:marLeft w:val="0"/>
      <w:marRight w:val="0"/>
      <w:marTop w:val="0"/>
      <w:marBottom w:val="0"/>
      <w:divBdr>
        <w:top w:val="none" w:sz="0" w:space="0" w:color="auto"/>
        <w:left w:val="none" w:sz="0" w:space="0" w:color="auto"/>
        <w:bottom w:val="none" w:sz="0" w:space="0" w:color="auto"/>
        <w:right w:val="none" w:sz="0" w:space="0" w:color="auto"/>
      </w:divBdr>
    </w:div>
    <w:div w:id="620263493">
      <w:bodyDiv w:val="1"/>
      <w:marLeft w:val="0"/>
      <w:marRight w:val="0"/>
      <w:marTop w:val="0"/>
      <w:marBottom w:val="0"/>
      <w:divBdr>
        <w:top w:val="none" w:sz="0" w:space="0" w:color="auto"/>
        <w:left w:val="none" w:sz="0" w:space="0" w:color="auto"/>
        <w:bottom w:val="none" w:sz="0" w:space="0" w:color="auto"/>
        <w:right w:val="none" w:sz="0" w:space="0" w:color="auto"/>
      </w:divBdr>
    </w:div>
    <w:div w:id="6490191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440534">
      <w:bodyDiv w:val="1"/>
      <w:marLeft w:val="0"/>
      <w:marRight w:val="0"/>
      <w:marTop w:val="0"/>
      <w:marBottom w:val="0"/>
      <w:divBdr>
        <w:top w:val="none" w:sz="0" w:space="0" w:color="auto"/>
        <w:left w:val="none" w:sz="0" w:space="0" w:color="auto"/>
        <w:bottom w:val="none" w:sz="0" w:space="0" w:color="auto"/>
        <w:right w:val="none" w:sz="0" w:space="0" w:color="auto"/>
      </w:divBdr>
    </w:div>
    <w:div w:id="762606755">
      <w:bodyDiv w:val="1"/>
      <w:marLeft w:val="0"/>
      <w:marRight w:val="0"/>
      <w:marTop w:val="0"/>
      <w:marBottom w:val="0"/>
      <w:divBdr>
        <w:top w:val="none" w:sz="0" w:space="0" w:color="auto"/>
        <w:left w:val="none" w:sz="0" w:space="0" w:color="auto"/>
        <w:bottom w:val="none" w:sz="0" w:space="0" w:color="auto"/>
        <w:right w:val="none" w:sz="0" w:space="0" w:color="auto"/>
      </w:divBdr>
    </w:div>
    <w:div w:id="813715748">
      <w:bodyDiv w:val="1"/>
      <w:marLeft w:val="0"/>
      <w:marRight w:val="0"/>
      <w:marTop w:val="0"/>
      <w:marBottom w:val="0"/>
      <w:divBdr>
        <w:top w:val="none" w:sz="0" w:space="0" w:color="auto"/>
        <w:left w:val="none" w:sz="0" w:space="0" w:color="auto"/>
        <w:bottom w:val="none" w:sz="0" w:space="0" w:color="auto"/>
        <w:right w:val="none" w:sz="0" w:space="0" w:color="auto"/>
      </w:divBdr>
    </w:div>
    <w:div w:id="842626241">
      <w:bodyDiv w:val="1"/>
      <w:marLeft w:val="0"/>
      <w:marRight w:val="0"/>
      <w:marTop w:val="0"/>
      <w:marBottom w:val="0"/>
      <w:divBdr>
        <w:top w:val="none" w:sz="0" w:space="0" w:color="auto"/>
        <w:left w:val="none" w:sz="0" w:space="0" w:color="auto"/>
        <w:bottom w:val="none" w:sz="0" w:space="0" w:color="auto"/>
        <w:right w:val="none" w:sz="0" w:space="0" w:color="auto"/>
      </w:divBdr>
    </w:div>
    <w:div w:id="877013740">
      <w:bodyDiv w:val="1"/>
      <w:marLeft w:val="0"/>
      <w:marRight w:val="0"/>
      <w:marTop w:val="0"/>
      <w:marBottom w:val="0"/>
      <w:divBdr>
        <w:top w:val="none" w:sz="0" w:space="0" w:color="auto"/>
        <w:left w:val="none" w:sz="0" w:space="0" w:color="auto"/>
        <w:bottom w:val="none" w:sz="0" w:space="0" w:color="auto"/>
        <w:right w:val="none" w:sz="0" w:space="0" w:color="auto"/>
      </w:divBdr>
    </w:div>
    <w:div w:id="977564360">
      <w:bodyDiv w:val="1"/>
      <w:marLeft w:val="0"/>
      <w:marRight w:val="0"/>
      <w:marTop w:val="0"/>
      <w:marBottom w:val="0"/>
      <w:divBdr>
        <w:top w:val="none" w:sz="0" w:space="0" w:color="auto"/>
        <w:left w:val="none" w:sz="0" w:space="0" w:color="auto"/>
        <w:bottom w:val="none" w:sz="0" w:space="0" w:color="auto"/>
        <w:right w:val="none" w:sz="0" w:space="0" w:color="auto"/>
      </w:divBdr>
    </w:div>
    <w:div w:id="10247482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699386">
      <w:bodyDiv w:val="1"/>
      <w:marLeft w:val="0"/>
      <w:marRight w:val="0"/>
      <w:marTop w:val="0"/>
      <w:marBottom w:val="0"/>
      <w:divBdr>
        <w:top w:val="none" w:sz="0" w:space="0" w:color="auto"/>
        <w:left w:val="none" w:sz="0" w:space="0" w:color="auto"/>
        <w:bottom w:val="none" w:sz="0" w:space="0" w:color="auto"/>
        <w:right w:val="none" w:sz="0" w:space="0" w:color="auto"/>
      </w:divBdr>
    </w:div>
    <w:div w:id="1155074303">
      <w:bodyDiv w:val="1"/>
      <w:marLeft w:val="0"/>
      <w:marRight w:val="0"/>
      <w:marTop w:val="0"/>
      <w:marBottom w:val="0"/>
      <w:divBdr>
        <w:top w:val="none" w:sz="0" w:space="0" w:color="auto"/>
        <w:left w:val="none" w:sz="0" w:space="0" w:color="auto"/>
        <w:bottom w:val="none" w:sz="0" w:space="0" w:color="auto"/>
        <w:right w:val="none" w:sz="0" w:space="0" w:color="auto"/>
      </w:divBdr>
    </w:div>
    <w:div w:id="11577713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12589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3820289">
      <w:bodyDiv w:val="1"/>
      <w:marLeft w:val="0"/>
      <w:marRight w:val="0"/>
      <w:marTop w:val="0"/>
      <w:marBottom w:val="0"/>
      <w:divBdr>
        <w:top w:val="none" w:sz="0" w:space="0" w:color="auto"/>
        <w:left w:val="none" w:sz="0" w:space="0" w:color="auto"/>
        <w:bottom w:val="none" w:sz="0" w:space="0" w:color="auto"/>
        <w:right w:val="none" w:sz="0" w:space="0" w:color="auto"/>
      </w:divBdr>
    </w:div>
    <w:div w:id="138078346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5596031">
      <w:bodyDiv w:val="1"/>
      <w:marLeft w:val="0"/>
      <w:marRight w:val="0"/>
      <w:marTop w:val="0"/>
      <w:marBottom w:val="0"/>
      <w:divBdr>
        <w:top w:val="none" w:sz="0" w:space="0" w:color="auto"/>
        <w:left w:val="none" w:sz="0" w:space="0" w:color="auto"/>
        <w:bottom w:val="none" w:sz="0" w:space="0" w:color="auto"/>
        <w:right w:val="none" w:sz="0" w:space="0" w:color="auto"/>
      </w:divBdr>
    </w:div>
    <w:div w:id="1444955115">
      <w:bodyDiv w:val="1"/>
      <w:marLeft w:val="0"/>
      <w:marRight w:val="0"/>
      <w:marTop w:val="0"/>
      <w:marBottom w:val="0"/>
      <w:divBdr>
        <w:top w:val="none" w:sz="0" w:space="0" w:color="auto"/>
        <w:left w:val="none" w:sz="0" w:space="0" w:color="auto"/>
        <w:bottom w:val="none" w:sz="0" w:space="0" w:color="auto"/>
        <w:right w:val="none" w:sz="0" w:space="0" w:color="auto"/>
      </w:divBdr>
      <w:divsChild>
        <w:div w:id="960190072">
          <w:blockQuote w:val="1"/>
          <w:marLeft w:val="0"/>
          <w:marRight w:val="0"/>
          <w:marTop w:val="240"/>
          <w:marBottom w:val="240"/>
          <w:divBdr>
            <w:top w:val="none" w:sz="0" w:space="0" w:color="auto"/>
            <w:left w:val="none" w:sz="0" w:space="0" w:color="auto"/>
            <w:bottom w:val="none" w:sz="0" w:space="0" w:color="auto"/>
            <w:right w:val="none" w:sz="0" w:space="0" w:color="auto"/>
          </w:divBdr>
        </w:div>
        <w:div w:id="13020728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7673922">
      <w:bodyDiv w:val="1"/>
      <w:marLeft w:val="0"/>
      <w:marRight w:val="0"/>
      <w:marTop w:val="0"/>
      <w:marBottom w:val="0"/>
      <w:divBdr>
        <w:top w:val="none" w:sz="0" w:space="0" w:color="auto"/>
        <w:left w:val="none" w:sz="0" w:space="0" w:color="auto"/>
        <w:bottom w:val="none" w:sz="0" w:space="0" w:color="auto"/>
        <w:right w:val="none" w:sz="0" w:space="0" w:color="auto"/>
      </w:divBdr>
    </w:div>
    <w:div w:id="145969014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411902">
      <w:bodyDiv w:val="1"/>
      <w:marLeft w:val="0"/>
      <w:marRight w:val="0"/>
      <w:marTop w:val="0"/>
      <w:marBottom w:val="0"/>
      <w:divBdr>
        <w:top w:val="none" w:sz="0" w:space="0" w:color="auto"/>
        <w:left w:val="none" w:sz="0" w:space="0" w:color="auto"/>
        <w:bottom w:val="none" w:sz="0" w:space="0" w:color="auto"/>
        <w:right w:val="none" w:sz="0" w:space="0" w:color="auto"/>
      </w:divBdr>
    </w:div>
    <w:div w:id="1484733063">
      <w:bodyDiv w:val="1"/>
      <w:marLeft w:val="0"/>
      <w:marRight w:val="0"/>
      <w:marTop w:val="0"/>
      <w:marBottom w:val="0"/>
      <w:divBdr>
        <w:top w:val="none" w:sz="0" w:space="0" w:color="auto"/>
        <w:left w:val="none" w:sz="0" w:space="0" w:color="auto"/>
        <w:bottom w:val="none" w:sz="0" w:space="0" w:color="auto"/>
        <w:right w:val="none" w:sz="0" w:space="0" w:color="auto"/>
      </w:divBdr>
    </w:div>
    <w:div w:id="150412285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35339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676256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98388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9760133">
      <w:bodyDiv w:val="1"/>
      <w:marLeft w:val="0"/>
      <w:marRight w:val="0"/>
      <w:marTop w:val="0"/>
      <w:marBottom w:val="0"/>
      <w:divBdr>
        <w:top w:val="none" w:sz="0" w:space="0" w:color="auto"/>
        <w:left w:val="none" w:sz="0" w:space="0" w:color="auto"/>
        <w:bottom w:val="none" w:sz="0" w:space="0" w:color="auto"/>
        <w:right w:val="none" w:sz="0" w:space="0" w:color="auto"/>
      </w:divBdr>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869678528">
      <w:bodyDiv w:val="1"/>
      <w:marLeft w:val="0"/>
      <w:marRight w:val="0"/>
      <w:marTop w:val="0"/>
      <w:marBottom w:val="0"/>
      <w:divBdr>
        <w:top w:val="none" w:sz="0" w:space="0" w:color="auto"/>
        <w:left w:val="none" w:sz="0" w:space="0" w:color="auto"/>
        <w:bottom w:val="none" w:sz="0" w:space="0" w:color="auto"/>
        <w:right w:val="none" w:sz="0" w:space="0" w:color="auto"/>
      </w:divBdr>
    </w:div>
    <w:div w:id="18837832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703121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ded.com/blog/erp-open-source-advantages-and-disadvantag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dlogix.com/blog/advantages-and-disadvantages-of-legacy-systems-what-to-choose-to-maintain-or-to-moderniz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odysanalytics.com/-/media/whitepaper/2016/seven-key-challenges-assessing%20small-medium-enterprises-sme-credit-risk.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daq.com/nigeria/financial-services/1140762/achieving-financial-stability-for-small-medium-enterprises" TargetMode="External"/><Relationship Id="rId4" Type="http://schemas.openxmlformats.org/officeDocument/2006/relationships/settings" Target="settings.xml"/><Relationship Id="rId9" Type="http://schemas.openxmlformats.org/officeDocument/2006/relationships/hyperlink" Target="https://www.clearrisk.com/risk-management-blog/bid/47419/the-6-biggest-risks-concerning-small-businesse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ang\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31A230A8744F72952B13256393EADB"/>
        <w:category>
          <w:name w:val="General"/>
          <w:gallery w:val="placeholder"/>
        </w:category>
        <w:types>
          <w:type w:val="bbPlcHdr"/>
        </w:types>
        <w:behaviors>
          <w:behavior w:val="content"/>
        </w:behaviors>
        <w:guid w:val="{0EECFF83-4BF7-4CFE-9B74-E099CEF5D92F}"/>
      </w:docPartPr>
      <w:docPartBody>
        <w:p w:rsidR="00E47A9F" w:rsidRDefault="004823D1">
          <w:pPr>
            <w:pStyle w:val="7E31A230A8744F72952B13256393EAD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D1"/>
    <w:rsid w:val="00444288"/>
    <w:rsid w:val="004823D1"/>
    <w:rsid w:val="009E5436"/>
    <w:rsid w:val="00AC3121"/>
    <w:rsid w:val="00BA5722"/>
    <w:rsid w:val="00D269A0"/>
    <w:rsid w:val="00E47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E31A230A8744F72952B13256393EADB">
    <w:name w:val="7E31A230A8744F72952B13256393E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HarvardAnglia2008OfficeOnline.xsl" StyleName="Harvard - Anglia" Version="2008">
  <b:Source>
    <b:Tag>Mba17</b:Tag>
    <b:SourceType>JournalArticle</b:SourceType>
    <b:Guid>{B65B9D59-DACB-402E-8061-1B4920ACA641}</b:Guid>
    <b:Title>Factors affecting financial stability of small and medium enterprises: A case study of emerging markets</b:Title>
    <b:Year>2017</b:Year>
    <b:Author>
      <b:Author>
        <b:NameList>
          <b:Person>
            <b:Last>Mbatha</b:Last>
            <b:First>N.</b:First>
          </b:Person>
          <b:Person>
            <b:Last>Ngibe</b:Last>
            <b:First>M.</b:First>
          </b:Person>
        </b:NameList>
      </b:Author>
    </b:Author>
    <b:JournalName>Risk governance &amp; control: Financial markets &amp; institutions</b:JournalName>
    <b:Pages>7-17</b:Pages>
    <b:Volume>7</b:Volume>
    <b:Issue>1</b:Issue>
    <b:RefOrder>1</b:RefOrder>
  </b:Source>
  <b:Source>
    <b:Tag>Maz21</b:Tag>
    <b:SourceType>InternetSite</b:SourceType>
    <b:Guid>{47254733-05D3-4578-90B9-A720842BDECA}</b:Guid>
    <b:Title>Nigeria: Achieving Financial Stability For Small &amp; Medium Enterprises</b:Title>
    <b:Year>2021</b:Year>
    <b:Author>
      <b:Author>
        <b:NameList>
          <b:Person>
            <b:Last>Mazars</b:Last>
          </b:Person>
        </b:NameList>
      </b:Author>
    </b:Author>
    <b:YearAccessed>2022</b:YearAccessed>
    <b:MonthAccessed>June</b:MonthAccessed>
    <b:DayAccessed>30</b:DayAccessed>
    <b:URL>https://www.mondaq.com/nigeria/financial-services/1140762/achieving-financial-stability-for-small-medium-enterprises</b:URL>
    <b:RefOrder>2</b:RefOrder>
  </b:Source>
  <b:Source>
    <b:Tag>Han211</b:Tag>
    <b:SourceType>JournalArticle</b:SourceType>
    <b:Guid>{B2D6FAA0-073C-4050-9E50-D5183BBFA506}</b:Guid>
    <b:Title>Quality of Entrepreneurship and Micro-, Small-and Medium-sized Enterprises'(MSMEs) Financial Performance in Indonesia</b:Title>
    <b:Year>2021</b:Year>
    <b:Author>
      <b:Author>
        <b:NameList>
          <b:Person>
            <b:Last>Hanggraeni</b:Last>
            <b:First>D.</b:First>
          </b:Person>
          <b:Person>
            <b:Last>Sinamo</b:Last>
            <b:First>T.</b:First>
          </b:Person>
        </b:NameList>
      </b:Author>
    </b:Author>
    <b:JournalName>The Journal of Asian Finance, Economics and Business</b:JournalName>
    <b:Pages>897-907</b:Pages>
    <b:Volume>8</b:Volume>
    <b:Issue>4</b:Issue>
    <b:RefOrder>3</b:RefOrder>
  </b:Source>
  <b:Source>
    <b:Tag>Hel16</b:Tag>
    <b:SourceType>InternetSite</b:SourceType>
    <b:Guid>{C50A462F-A3FC-4A01-912B-D71FD3C14347}</b:Guid>
    <b:Title>Seven key challenges in assessing SME credit risk</b:Title>
    <b:Year>2016</b:Year>
    <b:Author>
      <b:Author>
        <b:NameList>
          <b:Person>
            <b:Last>Page</b:Last>
            <b:First>Helen</b:First>
          </b:Person>
        </b:NameList>
      </b:Author>
    </b:Author>
    <b:YearAccessed>2022</b:YearAccessed>
    <b:MonthAccessed>June</b:MonthAccessed>
    <b:DayAccessed>30</b:DayAccessed>
    <b:URL>https://www.moodysanalytics.com/-/media/whitepaper/2016/seven-key-challenges-assessing%20small-medium-enterprises-sme-credit-risk.pdf</b:URL>
    <b:RefOrder>4</b:RefOrder>
  </b:Source>
  <b:Source>
    <b:Tag>Gre20</b:Tag>
    <b:SourceType>InternetSite</b:SourceType>
    <b:Guid>{CF74A1BB-1CC5-4A5B-AA19-F27E73CD7C12}</b:Guid>
    <b:Author>
      <b:Author>
        <b:NameList>
          <b:Person>
            <b:Last>Crowe</b:Last>
            <b:First>Greg</b:First>
          </b:Person>
        </b:NameList>
      </b:Author>
    </b:Author>
    <b:Title>The 6 Biggest Risks Concerning Small Businesses</b:Title>
    <b:Year>2020</b:Year>
    <b:YearAccessed>2022</b:YearAccessed>
    <b:MonthAccessed>June</b:MonthAccessed>
    <b:DayAccessed>30</b:DayAccessed>
    <b:URL>https://www.clearrisk.com/risk-management-blog/bid/47419/the-6-biggest-risks-concerning-small-businesses</b:URL>
    <b:RefOrder>5</b:RefOrder>
  </b:Source>
  <b:Source>
    <b:Tag>VVl21</b:Tag>
    <b:SourceType>InternetSite</b:SourceType>
    <b:Guid>{24D99125-DAFD-427B-9482-BD7AF6B57724}</b:Guid>
    <b:Author>
      <b:Author>
        <b:NameList>
          <b:Person>
            <b:Last>Vlad</b:Last>
            <b:First>V.</b:First>
          </b:Person>
        </b:NameList>
      </b:Author>
    </b:Author>
    <b:Title>ADVANTAGES AND DISADVANTAGES OF LEGACY SYSTEMS. WHAT TO CHOOSE — TO MAINTAIN OR TO MODERNIZE?</b:Title>
    <b:Year>2021</b:Year>
    <b:YearAccessed>2022</b:YearAccessed>
    <b:MonthAccessed>June</b:MonthAccessed>
    <b:DayAccessed>30</b:DayAccessed>
    <b:URL>https://modlogix.com/blog/advantages-and-disadvantages-of-legacy-systems-what-to-choose-to-maintain-or-to-modernize/</b:URL>
    <b:RefOrder>6</b:RefOrder>
  </b:Source>
  <b:Source>
    <b:Tag>Ash19</b:Tag>
    <b:SourceType>InternetSite</b:SourceType>
    <b:Guid>{CE072124-1492-4BA0-BE77-19B3467C4749}</b:Guid>
    <b:Author>
      <b:Author>
        <b:NameList>
          <b:Person>
            <b:Last>Baggott</b:Last>
            <b:First>Ash</b:First>
          </b:Person>
        </b:NameList>
      </b:Author>
    </b:Author>
    <b:Title>ERP open source: advantages and disadvantages</b:Title>
    <b:Year>2019</b:Year>
    <b:YearAccessed>2022</b:YearAccessed>
    <b:MonthAccessed>June</b:MonthAccessed>
    <b:DayAccessed>30</b:DayAccessed>
    <b:URL>https://www.holded.com/blog/erp-open-source-advantages-and-disadvantages#:~:text=Vendor%20licenced%20products%20can%20be,appealing%20solution%20for%20many%20businesses.&amp;text=One%20of%20the%20biggest%20disadvantages,support%20can%20be%20very%20limited.</b:URL>
    <b:RefOrder>7</b:RefOrder>
  </b:Source>
</b:Sources>
</file>

<file path=customXml/itemProps1.xml><?xml version="1.0" encoding="utf-8"?>
<ds:datastoreItem xmlns:ds="http://schemas.openxmlformats.org/officeDocument/2006/customXml" ds:itemID="{5FF5B5D5-28A1-4810-91F1-1A7B105B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2022-07-01T04:50:00Z</dcterms:created>
  <dcterms:modified xsi:type="dcterms:W3CDTF">2022-07-01T04:50:00Z</dcterms:modified>
  <cp:category/>
  <cp:contentStatus/>
  <dc:language/>
  <cp:version/>
</cp:coreProperties>
</file>