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7E9" w:rsidRPr="009A0B20" w:rsidRDefault="00B737E9" w:rsidP="00B737E9">
      <w:pPr>
        <w:spacing w:line="480" w:lineRule="auto"/>
        <w:jc w:val="center"/>
        <w:rPr>
          <w:rFonts w:asciiTheme="minorBidi" w:hAnsiTheme="minorBidi"/>
          <w:b/>
          <w:sz w:val="24"/>
          <w:szCs w:val="24"/>
        </w:rPr>
      </w:pPr>
      <w:bookmarkStart w:id="0" w:name="_GoBack"/>
      <w:r w:rsidRPr="009A0B20">
        <w:rPr>
          <w:rFonts w:asciiTheme="minorBidi" w:hAnsiTheme="minorBidi"/>
          <w:b/>
          <w:sz w:val="24"/>
          <w:szCs w:val="24"/>
        </w:rPr>
        <w:t>Future Trends for IRM</w:t>
      </w:r>
    </w:p>
    <w:p w:rsidR="00B737E9" w:rsidRPr="009A0B20" w:rsidRDefault="00760B40" w:rsidP="00B737E9">
      <w:pPr>
        <w:spacing w:line="480" w:lineRule="auto"/>
        <w:rPr>
          <w:rFonts w:asciiTheme="minorBidi" w:hAnsiTheme="minorBidi"/>
          <w:sz w:val="24"/>
          <w:szCs w:val="24"/>
        </w:rPr>
      </w:pPr>
      <w:r w:rsidRPr="009A0B20">
        <w:rPr>
          <w:rFonts w:asciiTheme="minorBidi" w:hAnsiTheme="minorBidi"/>
          <w:sz w:val="24"/>
          <w:szCs w:val="24"/>
        </w:rPr>
        <w:tab/>
        <w:t xml:space="preserve">The problems which involve </w:t>
      </w:r>
      <w:r w:rsidR="00EF5FA7" w:rsidRPr="009A0B20">
        <w:rPr>
          <w:rFonts w:asciiTheme="minorBidi" w:hAnsiTheme="minorBidi"/>
          <w:sz w:val="24"/>
          <w:szCs w:val="24"/>
        </w:rPr>
        <w:t xml:space="preserve">the </w:t>
      </w:r>
      <w:r w:rsidRPr="009A0B20">
        <w:rPr>
          <w:rFonts w:asciiTheme="minorBidi" w:hAnsiTheme="minorBidi"/>
          <w:sz w:val="24"/>
          <w:szCs w:val="24"/>
        </w:rPr>
        <w:t xml:space="preserve">use of information risk management include policy governed secure collaboration, understanding and accounting for human behavior, and security metrics driven SDLC. The rationale </w:t>
      </w:r>
      <w:r w:rsidR="00EF5FA7" w:rsidRPr="009A0B20">
        <w:rPr>
          <w:rFonts w:asciiTheme="minorBidi" w:hAnsiTheme="minorBidi"/>
          <w:sz w:val="24"/>
          <w:szCs w:val="24"/>
        </w:rPr>
        <w:t xml:space="preserve">for </w:t>
      </w:r>
      <w:r w:rsidRPr="009A0B20">
        <w:rPr>
          <w:rFonts w:asciiTheme="minorBidi" w:hAnsiTheme="minorBidi"/>
          <w:sz w:val="24"/>
          <w:szCs w:val="24"/>
        </w:rPr>
        <w:t>these concerns require</w:t>
      </w:r>
      <w:r w:rsidR="00EF5FA7" w:rsidRPr="009A0B20">
        <w:rPr>
          <w:rFonts w:asciiTheme="minorBidi" w:hAnsiTheme="minorBidi"/>
          <w:sz w:val="24"/>
          <w:szCs w:val="24"/>
        </w:rPr>
        <w:t>s</w:t>
      </w:r>
      <w:r w:rsidRPr="009A0B20">
        <w:rPr>
          <w:rFonts w:asciiTheme="minorBidi" w:hAnsiTheme="minorBidi"/>
          <w:sz w:val="24"/>
          <w:szCs w:val="24"/>
        </w:rPr>
        <w:t xml:space="preserve"> </w:t>
      </w:r>
      <w:r w:rsidR="00EF5FA7" w:rsidRPr="009A0B20">
        <w:rPr>
          <w:rFonts w:asciiTheme="minorBidi" w:hAnsiTheme="minorBidi"/>
          <w:sz w:val="24"/>
          <w:szCs w:val="24"/>
        </w:rPr>
        <w:t xml:space="preserve">the </w:t>
      </w:r>
      <w:r w:rsidRPr="009A0B20">
        <w:rPr>
          <w:rFonts w:asciiTheme="minorBidi" w:hAnsiTheme="minorBidi"/>
          <w:sz w:val="24"/>
          <w:szCs w:val="24"/>
        </w:rPr>
        <w:t>use of information risk management because they are critical to the extent that their intervention require</w:t>
      </w:r>
      <w:r w:rsidR="00EF5FA7" w:rsidRPr="009A0B20">
        <w:rPr>
          <w:rFonts w:asciiTheme="minorBidi" w:hAnsiTheme="minorBidi"/>
          <w:sz w:val="24"/>
          <w:szCs w:val="24"/>
        </w:rPr>
        <w:t>s</w:t>
      </w:r>
      <w:r w:rsidRPr="009A0B20">
        <w:rPr>
          <w:rFonts w:asciiTheme="minorBidi" w:hAnsiTheme="minorBidi"/>
          <w:sz w:val="24"/>
          <w:szCs w:val="24"/>
        </w:rPr>
        <w:t xml:space="preserve"> critical consideration of IRM</w:t>
      </w:r>
      <w:r w:rsidR="00EF5FA7" w:rsidRPr="009A0B20">
        <w:rPr>
          <w:rFonts w:asciiTheme="minorBidi" w:hAnsiTheme="minorBidi"/>
          <w:sz w:val="24"/>
          <w:szCs w:val="24"/>
        </w:rPr>
        <w:t xml:space="preserve"> (Willumsen et al., 2019)</w:t>
      </w:r>
      <w:r w:rsidRPr="009A0B20">
        <w:rPr>
          <w:rFonts w:asciiTheme="minorBidi" w:hAnsiTheme="minorBidi"/>
          <w:sz w:val="24"/>
          <w:szCs w:val="24"/>
        </w:rPr>
        <w:t xml:space="preserve">. In addition, these issues </w:t>
      </w:r>
      <w:r w:rsidR="00EF5FA7" w:rsidRPr="009A0B20">
        <w:rPr>
          <w:rFonts w:asciiTheme="minorBidi" w:hAnsiTheme="minorBidi"/>
          <w:sz w:val="24"/>
          <w:szCs w:val="24"/>
        </w:rPr>
        <w:t>will most likely</w:t>
      </w:r>
      <w:r w:rsidRPr="009A0B20">
        <w:rPr>
          <w:rFonts w:asciiTheme="minorBidi" w:hAnsiTheme="minorBidi"/>
          <w:sz w:val="24"/>
          <w:szCs w:val="24"/>
        </w:rPr>
        <w:t xml:space="preserve"> affect systems/software in the future. In addition, these concerns are connected to how sensitive data is developed and stored to enhance security and avoid risks. </w:t>
      </w:r>
    </w:p>
    <w:p w:rsidR="00760B40" w:rsidRPr="009A0B20" w:rsidRDefault="00760B40" w:rsidP="00B737E9">
      <w:pPr>
        <w:spacing w:line="480" w:lineRule="auto"/>
        <w:rPr>
          <w:rFonts w:asciiTheme="minorBidi" w:hAnsiTheme="minorBidi"/>
          <w:sz w:val="24"/>
          <w:szCs w:val="24"/>
        </w:rPr>
      </w:pPr>
      <w:r w:rsidRPr="009A0B20">
        <w:rPr>
          <w:rFonts w:asciiTheme="minorBidi" w:hAnsiTheme="minorBidi"/>
          <w:sz w:val="24"/>
          <w:szCs w:val="24"/>
        </w:rPr>
        <w:tab/>
      </w:r>
      <w:r w:rsidR="00727B63" w:rsidRPr="009A0B20">
        <w:rPr>
          <w:rFonts w:asciiTheme="minorBidi" w:hAnsiTheme="minorBidi"/>
          <w:sz w:val="24"/>
          <w:szCs w:val="24"/>
        </w:rPr>
        <w:t>The</w:t>
      </w:r>
      <w:r w:rsidRPr="009A0B20">
        <w:rPr>
          <w:rFonts w:asciiTheme="minorBidi" w:hAnsiTheme="minorBidi"/>
          <w:sz w:val="24"/>
          <w:szCs w:val="24"/>
        </w:rPr>
        <w:t xml:space="preserve"> main factor driving the development of the information management (IR</w:t>
      </w:r>
      <w:r w:rsidR="00727B63" w:rsidRPr="009A0B20">
        <w:rPr>
          <w:rFonts w:asciiTheme="minorBidi" w:hAnsiTheme="minorBidi"/>
          <w:sz w:val="24"/>
          <w:szCs w:val="24"/>
        </w:rPr>
        <w:t>M) field in the next five years is conducting information audit</w:t>
      </w:r>
      <w:r w:rsidR="00EF5FA7" w:rsidRPr="009A0B20">
        <w:rPr>
          <w:rFonts w:asciiTheme="minorBidi" w:hAnsiTheme="minorBidi"/>
          <w:sz w:val="24"/>
          <w:szCs w:val="24"/>
        </w:rPr>
        <w:t>s (Wangen et al., 2018)</w:t>
      </w:r>
      <w:r w:rsidR="00727B63" w:rsidRPr="009A0B20">
        <w:rPr>
          <w:rFonts w:asciiTheme="minorBidi" w:hAnsiTheme="minorBidi"/>
          <w:sz w:val="24"/>
          <w:szCs w:val="24"/>
        </w:rPr>
        <w:t>. This trend is also regarded as the knowledge identity used to determine the current resources to project the future of given entities. In five years, it can help understand the importance and usage of the IRM in systems and software development</w:t>
      </w:r>
      <w:r w:rsidR="00EF5FA7" w:rsidRPr="009A0B20">
        <w:rPr>
          <w:rFonts w:asciiTheme="minorBidi" w:hAnsiTheme="minorBidi"/>
          <w:sz w:val="24"/>
          <w:szCs w:val="24"/>
        </w:rPr>
        <w:t xml:space="preserve"> (Bjerga et al. 2016)</w:t>
      </w:r>
      <w:r w:rsidR="00727B63" w:rsidRPr="009A0B20">
        <w:rPr>
          <w:rFonts w:asciiTheme="minorBidi" w:hAnsiTheme="minorBidi"/>
          <w:sz w:val="24"/>
          <w:szCs w:val="24"/>
        </w:rPr>
        <w:t xml:space="preserve">. Moreover, it can incorporate what is already known to explain the risks </w:t>
      </w:r>
      <w:r w:rsidR="00EF5FA7" w:rsidRPr="009A0B20">
        <w:rPr>
          <w:rFonts w:asciiTheme="minorBidi" w:hAnsiTheme="minorBidi"/>
          <w:sz w:val="24"/>
          <w:szCs w:val="24"/>
        </w:rPr>
        <w:t>certain information systems are exposed to, thus</w:t>
      </w:r>
      <w:r w:rsidR="00727B63" w:rsidRPr="009A0B20">
        <w:rPr>
          <w:rFonts w:asciiTheme="minorBidi" w:hAnsiTheme="minorBidi"/>
          <w:sz w:val="24"/>
          <w:szCs w:val="24"/>
        </w:rPr>
        <w:t xml:space="preserve"> helping the users determine profound solutions. </w:t>
      </w:r>
    </w:p>
    <w:p w:rsidR="00727B63" w:rsidRPr="009A0B20" w:rsidRDefault="00727B63" w:rsidP="00B737E9">
      <w:pPr>
        <w:spacing w:line="480" w:lineRule="auto"/>
        <w:rPr>
          <w:rFonts w:asciiTheme="minorBidi" w:hAnsiTheme="minorBidi"/>
          <w:sz w:val="24"/>
          <w:szCs w:val="24"/>
        </w:rPr>
      </w:pPr>
      <w:r w:rsidRPr="009A0B20">
        <w:rPr>
          <w:rFonts w:asciiTheme="minorBidi" w:hAnsiTheme="minorBidi"/>
          <w:sz w:val="24"/>
          <w:szCs w:val="24"/>
        </w:rPr>
        <w:tab/>
        <w:t xml:space="preserve">In response </w:t>
      </w:r>
      <w:r w:rsidR="00EF5FA7" w:rsidRPr="009A0B20">
        <w:rPr>
          <w:rFonts w:asciiTheme="minorBidi" w:hAnsiTheme="minorBidi"/>
          <w:sz w:val="24"/>
          <w:szCs w:val="24"/>
        </w:rPr>
        <w:t>to the issue, “How can we display risk information without misrepresenting what we know and do not know?” several strategies</w:t>
      </w:r>
      <w:r w:rsidRPr="009A0B20">
        <w:rPr>
          <w:rFonts w:asciiTheme="minorBidi" w:hAnsiTheme="minorBidi"/>
          <w:sz w:val="24"/>
          <w:szCs w:val="24"/>
        </w:rPr>
        <w:t xml:space="preserve"> can be used. First, one can display risk information by prioritizing the risks. Similarly, the second strategy is communicating the relative risks with the concerned parties</w:t>
      </w:r>
      <w:r w:rsidR="00EF5FA7" w:rsidRPr="009A0B20">
        <w:rPr>
          <w:rFonts w:asciiTheme="minorBidi" w:hAnsiTheme="minorBidi"/>
          <w:sz w:val="24"/>
          <w:szCs w:val="24"/>
        </w:rPr>
        <w:t xml:space="preserve"> (Aven, 2016)</w:t>
      </w:r>
      <w:r w:rsidRPr="009A0B20">
        <w:rPr>
          <w:rFonts w:asciiTheme="minorBidi" w:hAnsiTheme="minorBidi"/>
          <w:sz w:val="24"/>
          <w:szCs w:val="24"/>
        </w:rPr>
        <w:t>. Clear communication helps visualize the critical risks effectively</w:t>
      </w:r>
      <w:r w:rsidR="00EF5FA7" w:rsidRPr="009A0B20">
        <w:rPr>
          <w:rFonts w:asciiTheme="minorBidi" w:hAnsiTheme="minorBidi"/>
          <w:sz w:val="24"/>
          <w:szCs w:val="24"/>
        </w:rPr>
        <w:t>, thus determining</w:t>
      </w:r>
      <w:r w:rsidRPr="009A0B20">
        <w:rPr>
          <w:rFonts w:asciiTheme="minorBidi" w:hAnsiTheme="minorBidi"/>
          <w:sz w:val="24"/>
          <w:szCs w:val="24"/>
        </w:rPr>
        <w:t xml:space="preserve"> a profound </w:t>
      </w:r>
      <w:r w:rsidRPr="009A0B20">
        <w:rPr>
          <w:rFonts w:asciiTheme="minorBidi" w:hAnsiTheme="minorBidi"/>
          <w:sz w:val="24"/>
          <w:szCs w:val="24"/>
        </w:rPr>
        <w:lastRenderedPageBreak/>
        <w:t>risk management approach</w:t>
      </w:r>
      <w:r w:rsidR="00EF5FA7" w:rsidRPr="009A0B20">
        <w:rPr>
          <w:rFonts w:asciiTheme="minorBidi" w:hAnsiTheme="minorBidi"/>
          <w:sz w:val="24"/>
          <w:szCs w:val="24"/>
        </w:rPr>
        <w:t xml:space="preserve"> (Wang and Hsu, 2009)</w:t>
      </w:r>
      <w:r w:rsidRPr="009A0B20">
        <w:rPr>
          <w:rFonts w:asciiTheme="minorBidi" w:hAnsiTheme="minorBidi"/>
          <w:sz w:val="24"/>
          <w:szCs w:val="24"/>
        </w:rPr>
        <w:t xml:space="preserve">. In addition, the other way to display risk information is </w:t>
      </w:r>
      <w:r w:rsidR="00EF5FA7" w:rsidRPr="009A0B20">
        <w:rPr>
          <w:rFonts w:asciiTheme="minorBidi" w:hAnsiTheme="minorBidi"/>
          <w:sz w:val="24"/>
          <w:szCs w:val="24"/>
        </w:rPr>
        <w:t>to be</w:t>
      </w:r>
      <w:r w:rsidRPr="009A0B20">
        <w:rPr>
          <w:rFonts w:asciiTheme="minorBidi" w:hAnsiTheme="minorBidi"/>
          <w:sz w:val="24"/>
          <w:szCs w:val="24"/>
        </w:rPr>
        <w:t xml:space="preserve"> dynamic and data-rich to perceive the source of risk and identify better mitigation approaches.</w:t>
      </w:r>
    </w:p>
    <w:p w:rsidR="00727B63" w:rsidRPr="009A0B20" w:rsidRDefault="00727B63" w:rsidP="007275C8">
      <w:pPr>
        <w:spacing w:line="480" w:lineRule="auto"/>
        <w:rPr>
          <w:rFonts w:asciiTheme="minorBidi" w:hAnsiTheme="minorBidi"/>
          <w:b/>
          <w:sz w:val="24"/>
          <w:szCs w:val="24"/>
        </w:rPr>
      </w:pPr>
      <w:r w:rsidRPr="009A0B20">
        <w:rPr>
          <w:rFonts w:asciiTheme="minorBidi" w:hAnsiTheme="minorBidi"/>
          <w:b/>
          <w:sz w:val="24"/>
          <w:szCs w:val="24"/>
        </w:rPr>
        <w:t>Reference</w:t>
      </w:r>
      <w:r w:rsidR="009E6647" w:rsidRPr="009A0B20">
        <w:rPr>
          <w:rFonts w:asciiTheme="minorBidi" w:hAnsiTheme="minorBidi"/>
          <w:b/>
          <w:sz w:val="24"/>
          <w:szCs w:val="24"/>
        </w:rPr>
        <w:t>s</w:t>
      </w:r>
      <w:r w:rsidRPr="009A0B20">
        <w:rPr>
          <w:rFonts w:asciiTheme="minorBidi" w:hAnsiTheme="minorBidi"/>
          <w:b/>
          <w:sz w:val="24"/>
          <w:szCs w:val="24"/>
        </w:rPr>
        <w:t xml:space="preserve"> </w:t>
      </w:r>
    </w:p>
    <w:p w:rsidR="00727B63" w:rsidRPr="009A0B20" w:rsidRDefault="00EF5FA7" w:rsidP="00EF5FA7">
      <w:pPr>
        <w:spacing w:line="480" w:lineRule="auto"/>
        <w:ind w:left="567" w:hanging="567"/>
        <w:rPr>
          <w:rFonts w:asciiTheme="minorBidi" w:hAnsiTheme="minorBidi"/>
          <w:sz w:val="24"/>
          <w:szCs w:val="24"/>
        </w:rPr>
      </w:pPr>
      <w:r w:rsidRPr="009A0B20">
        <w:rPr>
          <w:rFonts w:asciiTheme="minorBidi" w:hAnsiTheme="minorBidi"/>
          <w:sz w:val="24"/>
          <w:szCs w:val="24"/>
        </w:rPr>
        <w:t>Aven, T., 2016. Risk assessment and risk management: Review of recent advances on their foundation. </w:t>
      </w:r>
      <w:r w:rsidRPr="009A0B20">
        <w:rPr>
          <w:rFonts w:asciiTheme="minorBidi" w:hAnsiTheme="minorBidi"/>
          <w:i/>
          <w:iCs/>
          <w:sz w:val="24"/>
          <w:szCs w:val="24"/>
        </w:rPr>
        <w:t>European Journal of Operational Research</w:t>
      </w:r>
      <w:r w:rsidRPr="009A0B20">
        <w:rPr>
          <w:rFonts w:asciiTheme="minorBidi" w:hAnsiTheme="minorBidi"/>
          <w:sz w:val="24"/>
          <w:szCs w:val="24"/>
        </w:rPr>
        <w:t>, </w:t>
      </w:r>
      <w:r w:rsidRPr="009A0B20">
        <w:rPr>
          <w:rFonts w:asciiTheme="minorBidi" w:hAnsiTheme="minorBidi"/>
          <w:i/>
          <w:iCs/>
          <w:sz w:val="24"/>
          <w:szCs w:val="24"/>
        </w:rPr>
        <w:t>253</w:t>
      </w:r>
      <w:r w:rsidRPr="009A0B20">
        <w:rPr>
          <w:rFonts w:asciiTheme="minorBidi" w:hAnsiTheme="minorBidi"/>
          <w:sz w:val="24"/>
          <w:szCs w:val="24"/>
        </w:rPr>
        <w:t>(1), pp.1-13.</w:t>
      </w:r>
    </w:p>
    <w:p w:rsidR="00EF5FA7" w:rsidRPr="009A0B20" w:rsidRDefault="00EF5FA7" w:rsidP="00EF5FA7">
      <w:pPr>
        <w:spacing w:line="480" w:lineRule="auto"/>
        <w:ind w:left="567" w:hanging="567"/>
        <w:rPr>
          <w:rFonts w:asciiTheme="minorBidi" w:hAnsiTheme="minorBidi"/>
          <w:sz w:val="24"/>
          <w:szCs w:val="24"/>
        </w:rPr>
      </w:pPr>
      <w:r w:rsidRPr="009A0B20">
        <w:rPr>
          <w:rFonts w:asciiTheme="minorBidi" w:hAnsiTheme="minorBidi"/>
          <w:sz w:val="24"/>
          <w:szCs w:val="24"/>
        </w:rPr>
        <w:t>Bjerga, T., Aven, T. and Zio, E., 2016. Uncertainty treatment in risk analysis of complex systems: The cases of STAMP and FRAM. </w:t>
      </w:r>
      <w:r w:rsidRPr="009A0B20">
        <w:rPr>
          <w:rFonts w:asciiTheme="minorBidi" w:hAnsiTheme="minorBidi"/>
          <w:i/>
          <w:iCs/>
          <w:sz w:val="24"/>
          <w:szCs w:val="24"/>
        </w:rPr>
        <w:t>Reliability Engineering &amp; System Safety</w:t>
      </w:r>
      <w:r w:rsidRPr="009A0B20">
        <w:rPr>
          <w:rFonts w:asciiTheme="minorBidi" w:hAnsiTheme="minorBidi"/>
          <w:sz w:val="24"/>
          <w:szCs w:val="24"/>
        </w:rPr>
        <w:t>, </w:t>
      </w:r>
      <w:r w:rsidRPr="009A0B20">
        <w:rPr>
          <w:rFonts w:asciiTheme="minorBidi" w:hAnsiTheme="minorBidi"/>
          <w:i/>
          <w:iCs/>
          <w:sz w:val="24"/>
          <w:szCs w:val="24"/>
        </w:rPr>
        <w:t>156</w:t>
      </w:r>
      <w:r w:rsidRPr="009A0B20">
        <w:rPr>
          <w:rFonts w:asciiTheme="minorBidi" w:hAnsiTheme="minorBidi"/>
          <w:sz w:val="24"/>
          <w:szCs w:val="24"/>
        </w:rPr>
        <w:t>, pp.203-209.</w:t>
      </w:r>
    </w:p>
    <w:p w:rsidR="00EF5FA7" w:rsidRPr="009A0B20" w:rsidRDefault="00EF5FA7" w:rsidP="00EF5FA7">
      <w:pPr>
        <w:spacing w:line="480" w:lineRule="auto"/>
        <w:ind w:left="567" w:hanging="567"/>
        <w:rPr>
          <w:rFonts w:asciiTheme="minorBidi" w:hAnsiTheme="minorBidi"/>
          <w:sz w:val="24"/>
          <w:szCs w:val="24"/>
        </w:rPr>
      </w:pPr>
      <w:r w:rsidRPr="009A0B20">
        <w:rPr>
          <w:rFonts w:asciiTheme="minorBidi" w:hAnsiTheme="minorBidi"/>
          <w:sz w:val="24"/>
          <w:szCs w:val="24"/>
        </w:rPr>
        <w:t>Willumsen, P., Oehmen, J., Stingl, V. and Geraldi, J., 2019. Value creation through project risk management. </w:t>
      </w:r>
      <w:r w:rsidRPr="009A0B20">
        <w:rPr>
          <w:rFonts w:asciiTheme="minorBidi" w:hAnsiTheme="minorBidi"/>
          <w:i/>
          <w:iCs/>
          <w:sz w:val="24"/>
          <w:szCs w:val="24"/>
        </w:rPr>
        <w:t>International Journal of Project Management</w:t>
      </w:r>
      <w:r w:rsidRPr="009A0B20">
        <w:rPr>
          <w:rFonts w:asciiTheme="minorBidi" w:hAnsiTheme="minorBidi"/>
          <w:sz w:val="24"/>
          <w:szCs w:val="24"/>
        </w:rPr>
        <w:t>, </w:t>
      </w:r>
      <w:r w:rsidRPr="009A0B20">
        <w:rPr>
          <w:rFonts w:asciiTheme="minorBidi" w:hAnsiTheme="minorBidi"/>
          <w:i/>
          <w:iCs/>
          <w:sz w:val="24"/>
          <w:szCs w:val="24"/>
        </w:rPr>
        <w:t>37</w:t>
      </w:r>
      <w:r w:rsidRPr="009A0B20">
        <w:rPr>
          <w:rFonts w:asciiTheme="minorBidi" w:hAnsiTheme="minorBidi"/>
          <w:sz w:val="24"/>
          <w:szCs w:val="24"/>
        </w:rPr>
        <w:t>(5), pp.731-749.</w:t>
      </w:r>
    </w:p>
    <w:p w:rsidR="00EF5FA7" w:rsidRPr="009A0B20" w:rsidRDefault="00EF5FA7" w:rsidP="00EF5FA7">
      <w:pPr>
        <w:spacing w:line="480" w:lineRule="auto"/>
        <w:ind w:left="567" w:hanging="567"/>
        <w:rPr>
          <w:rFonts w:asciiTheme="minorBidi" w:hAnsiTheme="minorBidi"/>
          <w:sz w:val="24"/>
          <w:szCs w:val="24"/>
        </w:rPr>
      </w:pPr>
      <w:r w:rsidRPr="009A0B20">
        <w:rPr>
          <w:rFonts w:asciiTheme="minorBidi" w:hAnsiTheme="minorBidi"/>
          <w:sz w:val="24"/>
          <w:szCs w:val="24"/>
        </w:rPr>
        <w:t>Wang, H.F. and Hsu, F.C., 2009. An integrated operation module for individual risk management. </w:t>
      </w:r>
      <w:r w:rsidRPr="009A0B20">
        <w:rPr>
          <w:rFonts w:asciiTheme="minorBidi" w:hAnsiTheme="minorBidi"/>
          <w:i/>
          <w:iCs/>
          <w:sz w:val="24"/>
          <w:szCs w:val="24"/>
        </w:rPr>
        <w:t>European Journal of Operational Research</w:t>
      </w:r>
      <w:r w:rsidRPr="009A0B20">
        <w:rPr>
          <w:rFonts w:asciiTheme="minorBidi" w:hAnsiTheme="minorBidi"/>
          <w:sz w:val="24"/>
          <w:szCs w:val="24"/>
        </w:rPr>
        <w:t>, </w:t>
      </w:r>
      <w:r w:rsidRPr="009A0B20">
        <w:rPr>
          <w:rFonts w:asciiTheme="minorBidi" w:hAnsiTheme="minorBidi"/>
          <w:i/>
          <w:iCs/>
          <w:sz w:val="24"/>
          <w:szCs w:val="24"/>
        </w:rPr>
        <w:t>198</w:t>
      </w:r>
      <w:r w:rsidRPr="009A0B20">
        <w:rPr>
          <w:rFonts w:asciiTheme="minorBidi" w:hAnsiTheme="minorBidi"/>
          <w:sz w:val="24"/>
          <w:szCs w:val="24"/>
        </w:rPr>
        <w:t>(2), pp.610-617.</w:t>
      </w:r>
    </w:p>
    <w:p w:rsidR="00EF5FA7" w:rsidRPr="009A0B20" w:rsidRDefault="00EF5FA7" w:rsidP="00EF5FA7">
      <w:pPr>
        <w:spacing w:line="480" w:lineRule="auto"/>
        <w:ind w:left="567" w:hanging="567"/>
        <w:rPr>
          <w:rFonts w:asciiTheme="minorBidi" w:hAnsiTheme="minorBidi"/>
          <w:sz w:val="24"/>
          <w:szCs w:val="24"/>
        </w:rPr>
      </w:pPr>
      <w:r w:rsidRPr="009A0B20">
        <w:rPr>
          <w:rFonts w:asciiTheme="minorBidi" w:hAnsiTheme="minorBidi"/>
          <w:sz w:val="24"/>
          <w:szCs w:val="24"/>
        </w:rPr>
        <w:t>Wangen, G., Hallstensen, C. and Snekkenes, E., 2018. A framework for estimating information security risk assessment method completeness. </w:t>
      </w:r>
      <w:r w:rsidRPr="009A0B20">
        <w:rPr>
          <w:rFonts w:asciiTheme="minorBidi" w:hAnsiTheme="minorBidi"/>
          <w:i/>
          <w:iCs/>
          <w:sz w:val="24"/>
          <w:szCs w:val="24"/>
        </w:rPr>
        <w:t>International Journal of Information Security</w:t>
      </w:r>
      <w:r w:rsidRPr="009A0B20">
        <w:rPr>
          <w:rFonts w:asciiTheme="minorBidi" w:hAnsiTheme="minorBidi"/>
          <w:sz w:val="24"/>
          <w:szCs w:val="24"/>
        </w:rPr>
        <w:t>, </w:t>
      </w:r>
      <w:r w:rsidRPr="009A0B20">
        <w:rPr>
          <w:rFonts w:asciiTheme="minorBidi" w:hAnsiTheme="minorBidi"/>
          <w:i/>
          <w:iCs/>
          <w:sz w:val="24"/>
          <w:szCs w:val="24"/>
        </w:rPr>
        <w:t>17</w:t>
      </w:r>
      <w:r w:rsidRPr="009A0B20">
        <w:rPr>
          <w:rFonts w:asciiTheme="minorBidi" w:hAnsiTheme="minorBidi"/>
          <w:sz w:val="24"/>
          <w:szCs w:val="24"/>
        </w:rPr>
        <w:t>(6), pp.681-699.</w:t>
      </w:r>
    </w:p>
    <w:p w:rsidR="00760B40" w:rsidRPr="009A0B20" w:rsidRDefault="00760B40" w:rsidP="00B737E9">
      <w:pPr>
        <w:spacing w:line="480" w:lineRule="auto"/>
        <w:rPr>
          <w:rFonts w:asciiTheme="minorBidi" w:hAnsiTheme="minorBidi"/>
          <w:sz w:val="24"/>
          <w:szCs w:val="24"/>
        </w:rPr>
      </w:pPr>
      <w:r w:rsidRPr="009A0B20">
        <w:rPr>
          <w:rFonts w:asciiTheme="minorBidi" w:hAnsiTheme="minorBidi"/>
          <w:sz w:val="24"/>
          <w:szCs w:val="24"/>
        </w:rPr>
        <w:tab/>
      </w:r>
      <w:bookmarkEnd w:id="0"/>
    </w:p>
    <w:sectPr w:rsidR="00760B40" w:rsidRPr="009A0B2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BEE" w:rsidRDefault="003F2BEE" w:rsidP="00B737E9">
      <w:pPr>
        <w:spacing w:after="0" w:line="240" w:lineRule="auto"/>
      </w:pPr>
      <w:r>
        <w:separator/>
      </w:r>
    </w:p>
  </w:endnote>
  <w:endnote w:type="continuationSeparator" w:id="0">
    <w:p w:rsidR="003F2BEE" w:rsidRDefault="003F2BEE" w:rsidP="00B73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647" w:rsidRDefault="009E664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647" w:rsidRDefault="009E664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647" w:rsidRDefault="009E66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BEE" w:rsidRDefault="003F2BEE" w:rsidP="00B737E9">
      <w:pPr>
        <w:spacing w:after="0" w:line="240" w:lineRule="auto"/>
      </w:pPr>
      <w:r>
        <w:separator/>
      </w:r>
    </w:p>
  </w:footnote>
  <w:footnote w:type="continuationSeparator" w:id="0">
    <w:p w:rsidR="003F2BEE" w:rsidRDefault="003F2BEE" w:rsidP="00B73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647" w:rsidRDefault="009E664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197483"/>
      <w:docPartObj>
        <w:docPartGallery w:val="Page Numbers (Top of Page)"/>
        <w:docPartUnique/>
      </w:docPartObj>
    </w:sdtPr>
    <w:sdtEndPr>
      <w:rPr>
        <w:rFonts w:ascii="Times New Roman" w:hAnsi="Times New Roman" w:cs="Times New Roman"/>
        <w:noProof/>
        <w:sz w:val="24"/>
        <w:szCs w:val="24"/>
      </w:rPr>
    </w:sdtEndPr>
    <w:sdtContent>
      <w:p w:rsidR="009E6647" w:rsidRPr="009E6647" w:rsidRDefault="009E6647" w:rsidP="009E6647">
        <w:pPr>
          <w:pStyle w:val="Header"/>
          <w:spacing w:line="480" w:lineRule="auto"/>
          <w:jc w:val="right"/>
          <w:rPr>
            <w:rFonts w:ascii="Times New Roman" w:hAnsi="Times New Roman" w:cs="Times New Roman"/>
            <w:sz w:val="24"/>
            <w:szCs w:val="24"/>
          </w:rPr>
        </w:pPr>
        <w:r w:rsidRPr="009E6647">
          <w:rPr>
            <w:rFonts w:ascii="Times New Roman" w:hAnsi="Times New Roman" w:cs="Times New Roman"/>
            <w:sz w:val="24"/>
            <w:szCs w:val="24"/>
          </w:rPr>
          <w:fldChar w:fldCharType="begin"/>
        </w:r>
        <w:r w:rsidRPr="009E6647">
          <w:rPr>
            <w:rFonts w:ascii="Times New Roman" w:hAnsi="Times New Roman" w:cs="Times New Roman"/>
            <w:sz w:val="24"/>
            <w:szCs w:val="24"/>
          </w:rPr>
          <w:instrText xml:space="preserve"> PAGE   \* MERGEFORMAT </w:instrText>
        </w:r>
        <w:r w:rsidRPr="009E6647">
          <w:rPr>
            <w:rFonts w:ascii="Times New Roman" w:hAnsi="Times New Roman" w:cs="Times New Roman"/>
            <w:sz w:val="24"/>
            <w:szCs w:val="24"/>
          </w:rPr>
          <w:fldChar w:fldCharType="separate"/>
        </w:r>
        <w:r w:rsidR="003F2BEE">
          <w:rPr>
            <w:rFonts w:ascii="Times New Roman" w:hAnsi="Times New Roman" w:cs="Times New Roman"/>
            <w:noProof/>
            <w:sz w:val="24"/>
            <w:szCs w:val="24"/>
          </w:rPr>
          <w:t>1</w:t>
        </w:r>
        <w:r w:rsidRPr="009E6647">
          <w:rPr>
            <w:rFonts w:ascii="Times New Roman" w:hAnsi="Times New Roman" w:cs="Times New Roman"/>
            <w:noProof/>
            <w:sz w:val="24"/>
            <w:szCs w:val="24"/>
          </w:rPr>
          <w:fldChar w:fldCharType="end"/>
        </w:r>
      </w:p>
    </w:sdtContent>
  </w:sdt>
  <w:p w:rsidR="00B737E9" w:rsidRDefault="00B737E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647" w:rsidRDefault="009E66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I1MzA1srCwMDA3NjVW0lEKTi0uzszPAykwqgUAaUnKmywAAAA="/>
  </w:docVars>
  <w:rsids>
    <w:rsidRoot w:val="008C2529"/>
    <w:rsid w:val="00222ADE"/>
    <w:rsid w:val="003D6DB9"/>
    <w:rsid w:val="003F2BEE"/>
    <w:rsid w:val="00466354"/>
    <w:rsid w:val="00717E74"/>
    <w:rsid w:val="007275C8"/>
    <w:rsid w:val="00727B63"/>
    <w:rsid w:val="00760B40"/>
    <w:rsid w:val="008C2529"/>
    <w:rsid w:val="00981D9C"/>
    <w:rsid w:val="009A0B20"/>
    <w:rsid w:val="009E6647"/>
    <w:rsid w:val="00B737E9"/>
    <w:rsid w:val="00CC5740"/>
    <w:rsid w:val="00DB2006"/>
    <w:rsid w:val="00E847D0"/>
    <w:rsid w:val="00EF5F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9B606-2414-49B8-B3A7-0AC23215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7E9"/>
  </w:style>
  <w:style w:type="paragraph" w:styleId="Footer">
    <w:name w:val="footer"/>
    <w:basedOn w:val="Normal"/>
    <w:link w:val="FooterChar"/>
    <w:uiPriority w:val="99"/>
    <w:unhideWhenUsed/>
    <w:rsid w:val="00B73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QNB</cp:lastModifiedBy>
  <cp:revision>5</cp:revision>
  <cp:lastPrinted>2022-07-18T03:42:00Z</cp:lastPrinted>
  <dcterms:created xsi:type="dcterms:W3CDTF">2022-07-18T03:33:00Z</dcterms:created>
  <dcterms:modified xsi:type="dcterms:W3CDTF">2022-07-18T03:42:00Z</dcterms:modified>
  <cp:category/>
  <cp:contentStatus/>
  <dc:language/>
  <cp:version/>
</cp:coreProperties>
</file>