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16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23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22/12/2019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Write more Test cases &amp; test report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log in, log out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book, view details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upload book, comment and rate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Problem statement, product position statement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Project management: team structure and responsibilities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testing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Analysis and design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requirements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Demo: demo a key scenario of the software.</w:t>
            </w:r>
            <w:bookmarkStart w:id="0" w:name="_GoBack"/>
            <w:bookmarkEnd w:id="0"/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43E87"/>
    <w:rsid w:val="00F75859"/>
    <w:rsid w:val="00FD00C8"/>
    <w:rsid w:val="00FD43B2"/>
    <w:rsid w:val="1046106E"/>
    <w:rsid w:val="13643CD5"/>
    <w:rsid w:val="1E43709A"/>
    <w:rsid w:val="33041832"/>
    <w:rsid w:val="3741127E"/>
    <w:rsid w:val="380C206C"/>
    <w:rsid w:val="3CDB2784"/>
    <w:rsid w:val="3D5A1BB7"/>
    <w:rsid w:val="415E64B5"/>
    <w:rsid w:val="4518513B"/>
    <w:rsid w:val="45923612"/>
    <w:rsid w:val="47464A76"/>
    <w:rsid w:val="4C6E0DC0"/>
    <w:rsid w:val="4C894928"/>
    <w:rsid w:val="53550C92"/>
    <w:rsid w:val="583E533B"/>
    <w:rsid w:val="6F414B4C"/>
    <w:rsid w:val="78C60B24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2019-12-22T20:21:08Z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