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3356" w14:textId="77777777" w:rsidR="001B0B19" w:rsidRDefault="001E7564">
      <w:pPr>
        <w:numPr>
          <w:ilvl w:val="0"/>
          <w:numId w:val="1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When comparing the calculated carbon intensity (CI) of corn- and wheat-based (non-durum) bioethanol, what do we observe?</w:t>
      </w:r>
    </w:p>
    <w:p w14:paraId="162C3359" w14:textId="77777777" w:rsidR="001B0B19" w:rsidRDefault="001E75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62C3367" wp14:editId="162C3368">
            <wp:extent cx="57312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C335A" w14:textId="77777777" w:rsidR="001B0B19" w:rsidRDefault="001E75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Bioethanol CI from Wheat (</w:t>
      </w:r>
      <w:proofErr w:type="spellStart"/>
      <w:r>
        <w:rPr>
          <w:rFonts w:ascii="Calibri" w:eastAsia="Calibri" w:hAnsi="Calibri" w:cs="Calibri"/>
        </w:rPr>
        <w:t>non durum</w:t>
      </w:r>
      <w:proofErr w:type="spellEnd"/>
      <w:r>
        <w:rPr>
          <w:rFonts w:ascii="Calibri" w:eastAsia="Calibri" w:hAnsi="Calibri" w:cs="Calibri"/>
        </w:rPr>
        <w:t>) (Global): 15.88 g CO2-eq/MJ</w:t>
      </w:r>
    </w:p>
    <w:p w14:paraId="162C335B" w14:textId="77777777" w:rsidR="001B0B19" w:rsidRDefault="001E75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62C3369" wp14:editId="162C336A">
            <wp:extent cx="5731200" cy="173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C335D" w14:textId="77777777" w:rsidR="001B0B19" w:rsidRDefault="001B0B19">
      <w:pPr>
        <w:rPr>
          <w:rFonts w:ascii="Calibri" w:eastAsia="Calibri" w:hAnsi="Calibri" w:cs="Calibri"/>
        </w:rPr>
      </w:pPr>
    </w:p>
    <w:p w14:paraId="60FC0CD6" w14:textId="77777777" w:rsidR="005B6337" w:rsidRDefault="005B6337">
      <w:pPr>
        <w:rPr>
          <w:rFonts w:ascii="Calibri" w:eastAsia="Calibri" w:hAnsi="Calibri" w:cs="Calibri"/>
        </w:rPr>
      </w:pPr>
    </w:p>
    <w:p w14:paraId="162C335E" w14:textId="77777777" w:rsidR="001B0B19" w:rsidRDefault="001E7564">
      <w:pPr>
        <w:numPr>
          <w:ilvl w:val="0"/>
          <w:numId w:val="1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Why is carbon dioxide (CO₂, biogenic) reported as zero for both corn- and wheat-based (non-durum) bioethanol, even though biomass is used as the feedstock?</w:t>
      </w:r>
    </w:p>
    <w:p w14:paraId="162C335F" w14:textId="144A1E7A" w:rsidR="001B0B19" w:rsidRDefault="001E75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Reference: Fuel Life Cycle Assessment Model Methodology (2.8 Life cycle impact assessment methods) - [</w:t>
      </w:r>
      <w:hyperlink r:id="rId7" w:anchor="toc15">
        <w:r>
          <w:rPr>
            <w:rFonts w:ascii="Calibri" w:eastAsia="Calibri" w:hAnsi="Calibri" w:cs="Calibri"/>
            <w:color w:val="1155CC"/>
            <w:u w:val="single"/>
          </w:rPr>
          <w:t>Link</w:t>
        </w:r>
      </w:hyperlink>
      <w:r>
        <w:rPr>
          <w:rFonts w:ascii="Calibri" w:eastAsia="Calibri" w:hAnsi="Calibri" w:cs="Calibri"/>
        </w:rPr>
        <w:t>]</w:t>
      </w:r>
    </w:p>
    <w:p w14:paraId="18A40E29" w14:textId="77777777" w:rsidR="005B6337" w:rsidRDefault="005B6337">
      <w:pPr>
        <w:rPr>
          <w:rFonts w:ascii="Calibri" w:eastAsia="Calibri" w:hAnsi="Calibri" w:cs="Calibri"/>
        </w:rPr>
      </w:pPr>
    </w:p>
    <w:p w14:paraId="162C3361" w14:textId="77777777" w:rsidR="001B0B19" w:rsidRDefault="001B0B19">
      <w:pPr>
        <w:rPr>
          <w:rFonts w:ascii="Calibri" w:eastAsia="Calibri" w:hAnsi="Calibri" w:cs="Calibri"/>
        </w:rPr>
      </w:pPr>
    </w:p>
    <w:p w14:paraId="162C3362" w14:textId="77777777" w:rsidR="001B0B19" w:rsidRDefault="001E7564">
      <w:pPr>
        <w:numPr>
          <w:ilvl w:val="0"/>
          <w:numId w:val="1"/>
        </w:num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How do these results compare with industry-average values? What strategies could bioethanol plants adopt to further reduce their lifecycle greenhouse gas emissions?</w:t>
      </w:r>
    </w:p>
    <w:p w14:paraId="162C3363" w14:textId="77777777" w:rsidR="001B0B19" w:rsidRDefault="001E75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Reference: Clean Fuel Regulations (CFR) data - [</w:t>
      </w:r>
      <w:hyperlink r:id="rId8">
        <w:r>
          <w:rPr>
            <w:rFonts w:ascii="Calibri" w:eastAsia="Calibri" w:hAnsi="Calibri" w:cs="Calibri"/>
            <w:color w:val="1155CC"/>
            <w:u w:val="single"/>
          </w:rPr>
          <w:t>Link</w:t>
        </w:r>
      </w:hyperlink>
      <w:r>
        <w:rPr>
          <w:rFonts w:ascii="Calibri" w:eastAsia="Calibri" w:hAnsi="Calibri" w:cs="Calibri"/>
        </w:rPr>
        <w:t>].</w:t>
      </w:r>
    </w:p>
    <w:p w14:paraId="162C3366" w14:textId="1F430C92" w:rsidR="001B0B19" w:rsidRDefault="001B0B19">
      <w:pPr>
        <w:rPr>
          <w:rFonts w:ascii="Calibri" w:eastAsia="Calibri" w:hAnsi="Calibri" w:cs="Calibri"/>
        </w:rPr>
      </w:pPr>
    </w:p>
    <w:p w14:paraId="1C9B166A" w14:textId="77777777" w:rsidR="005B6337" w:rsidRDefault="005B6337"/>
    <w:sectPr w:rsidR="005B63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8F68F67-63EC-EF4E-AAC3-E126F2F111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11016136-5673-364C-A001-FBB949E72D97}"/>
    <w:embedItalic r:id="rId3" w:fontKey="{8B6B6952-079C-A64F-96A4-C3EA173836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B97E2B5-23F0-5648-A57C-934B11F770A0}"/>
    <w:embedBold r:id="rId5" w:fontKey="{22F7688F-06EB-D24C-875F-320AF064FD0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D3A39C-F913-3B46-A6D3-345FF8EA72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57CD"/>
    <w:multiLevelType w:val="multilevel"/>
    <w:tmpl w:val="181E9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705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B19"/>
    <w:rsid w:val="001B0B19"/>
    <w:rsid w:val="001E7564"/>
    <w:rsid w:val="005B6337"/>
    <w:rsid w:val="0075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C3356"/>
  <w15:docId w15:val="{E16AF047-06FF-CB45-AF2E-A917CF53D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-donnees.az.ec.gc.ca/data/regulatee/climateoutreach/carbon-intensity-calculations-for-the-clean-fuel-regulations/en?lang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ada.ca/en/environment-climate-change/services/managing-pollution/fuel-life-cycle-assessment-model/methodolog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Tu, Qingshi</cp:lastModifiedBy>
  <cp:revision>2</cp:revision>
  <dcterms:created xsi:type="dcterms:W3CDTF">2026-01-30T05:33:00Z</dcterms:created>
  <dcterms:modified xsi:type="dcterms:W3CDTF">2026-01-30T05:33:00Z</dcterms:modified>
</cp:coreProperties>
</file>