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00000">
      <w:pPr>
        <w:pStyle w:val="32"/>
      </w:pPr>
      <w:r>
        <w:t>Быстрое распараллеливание на GPU программ для расчетов моделей кардиологии</w:t>
      </w:r>
    </w:p>
    <w:p w14:paraId="04000000">
      <w:pPr>
        <w:widowControl/>
        <w:spacing w:line="360" w:lineRule="auto"/>
      </w:pPr>
    </w:p>
    <w:p w14:paraId="05000000">
      <w:pPr>
        <w:widowControl/>
        <w:spacing w:line="360" w:lineRule="auto"/>
        <w:jc w:val="center"/>
        <w:rPr>
          <w:rStyle w:val="37"/>
          <w:rFonts w:ascii="Times New Roman" w:hAnsi="Times New Roman"/>
          <w:b w:val="0"/>
          <w:sz w:val="24"/>
        </w:rPr>
      </w:pPr>
      <w:r>
        <w:rPr>
          <w:rStyle w:val="37"/>
          <w:rFonts w:ascii="Times New Roman" w:hAnsi="Times New Roman"/>
          <w:b w:val="0"/>
          <w:sz w:val="24"/>
        </w:rPr>
        <w:t>Карпаев А.А.</w:t>
      </w:r>
      <w:r>
        <w:rPr>
          <w:rStyle w:val="37"/>
          <w:rFonts w:ascii="Times New Roman" w:hAnsi="Times New Roman"/>
          <w:b w:val="0"/>
          <w:sz w:val="24"/>
          <w:vertAlign w:val="superscript"/>
        </w:rPr>
        <w:t>1</w:t>
      </w:r>
      <w:r>
        <w:rPr>
          <w:rStyle w:val="37"/>
          <w:rFonts w:ascii="Times New Roman" w:hAnsi="Times New Roman"/>
          <w:b w:val="0"/>
          <w:sz w:val="24"/>
        </w:rPr>
        <w:t>, Алиев Р.Р.</w:t>
      </w:r>
      <w:r>
        <w:rPr>
          <w:rStyle w:val="37"/>
          <w:rFonts w:ascii="Times New Roman" w:hAnsi="Times New Roman"/>
          <w:b w:val="0"/>
          <w:sz w:val="24"/>
          <w:vertAlign w:val="superscript"/>
        </w:rPr>
        <w:t>1,2</w:t>
      </w:r>
    </w:p>
    <w:p w14:paraId="06000000">
      <w:pPr>
        <w:widowControl/>
        <w:spacing w:line="360" w:lineRule="auto"/>
        <w:jc w:val="center"/>
        <w:rPr>
          <w:rStyle w:val="37"/>
          <w:rFonts w:ascii="Times New Roman" w:hAnsi="Times New Roman"/>
          <w:b w:val="0"/>
          <w:i/>
          <w:sz w:val="24"/>
        </w:rPr>
      </w:pPr>
      <w:r>
        <w:rPr>
          <w:rStyle w:val="37"/>
          <w:rFonts w:ascii="Times New Roman" w:hAnsi="Times New Roman"/>
          <w:b w:val="0"/>
          <w:i/>
          <w:sz w:val="24"/>
          <w:vertAlign w:val="superscript"/>
        </w:rPr>
        <w:t>1</w:t>
      </w:r>
      <w:r>
        <w:rPr>
          <w:rStyle w:val="37"/>
          <w:rFonts w:ascii="Times New Roman" w:hAnsi="Times New Roman"/>
          <w:b w:val="0"/>
          <w:i/>
          <w:sz w:val="24"/>
        </w:rPr>
        <w:t>Московский физико-технический институт (государственный университет)</w:t>
      </w:r>
    </w:p>
    <w:p w14:paraId="07000000">
      <w:pPr>
        <w:widowControl/>
        <w:spacing w:line="360" w:lineRule="auto"/>
        <w:jc w:val="center"/>
        <w:rPr>
          <w:rStyle w:val="37"/>
          <w:rFonts w:ascii="Times New Roman" w:hAnsi="Times New Roman"/>
          <w:b w:val="0"/>
          <w:i/>
          <w:sz w:val="24"/>
        </w:rPr>
      </w:pPr>
      <w:r>
        <w:rPr>
          <w:rStyle w:val="37"/>
          <w:rFonts w:ascii="Times New Roman" w:hAnsi="Times New Roman"/>
          <w:b w:val="0"/>
          <w:i/>
          <w:sz w:val="24"/>
          <w:vertAlign w:val="superscript"/>
        </w:rPr>
        <w:t>2</w:t>
      </w:r>
      <w:r>
        <w:rPr>
          <w:rStyle w:val="37"/>
          <w:rFonts w:ascii="Times New Roman" w:hAnsi="Times New Roman"/>
          <w:b w:val="0"/>
          <w:i/>
          <w:sz w:val="24"/>
        </w:rPr>
        <w:t>Институт теоретической и экспериментальной биофизики РАН</w:t>
      </w:r>
    </w:p>
    <w:p w14:paraId="08000000">
      <w:pPr>
        <w:widowControl/>
        <w:spacing w:line="360" w:lineRule="auto"/>
        <w:jc w:val="center"/>
        <w:rPr>
          <w:i/>
          <w:spacing w:val="5"/>
        </w:rPr>
      </w:pPr>
    </w:p>
    <w:p w14:paraId="09000000">
      <w:pPr>
        <w:pStyle w:val="2"/>
      </w:pPr>
      <w:r>
        <w:t>Абстракт</w:t>
      </w:r>
    </w:p>
    <w:p w14:paraId="0A000000">
      <w:pPr>
        <w:widowControl/>
        <w:spacing w:line="360" w:lineRule="auto"/>
        <w:ind w:firstLine="708"/>
        <w:rPr>
          <w:color w:val="000000"/>
        </w:rPr>
      </w:pPr>
      <w:r>
        <w:t xml:space="preserve">Произведено распараллеливание программ для моделирования 2D-ткани миокарда на видеокарты (GPU) с помощью высокоуровневой технологии OpenACC. В качестве моделей клеток были выбраны модели AP, BR и YNI, формально покрывающие весь спектр моделей кардиоцитов. Начальные условия задавались таким образом, чтобы привести к возникновению реентри. Для каждой модели на различных пространственных сетках получены значения ускорений параллельной программы в сравнении с последовательной. При вычислениях использовались GPU </w:t>
      </w:r>
      <w:r>
        <w:rPr>
          <w:color w:val="FF0000"/>
        </w:rPr>
        <w:t>любительского (entry level ©)</w:t>
      </w:r>
      <w:r>
        <w:t xml:space="preserve"> (серия GeForce) и </w:t>
      </w:r>
      <w:r>
        <w:rPr>
          <w:color w:val="FF0000"/>
        </w:rPr>
        <w:t xml:space="preserve">профессионального </w:t>
      </w:r>
      <w:r>
        <w:t xml:space="preserve">(серия Tesla) уровней. </w:t>
      </w:r>
      <w:r>
        <w:rPr>
          <w:color w:val="000000"/>
        </w:rPr>
        <w:t>Обсуждены применение продвинутых опций оптимизации OpenACC, а также выгода использования последней по сравнению с низкоуровневой технологией CUDA.</w:t>
      </w:r>
    </w:p>
    <w:p w14:paraId="0B000000">
      <w:pPr>
        <w:widowControl/>
        <w:spacing w:line="360" w:lineRule="auto"/>
        <w:ind w:firstLine="708"/>
        <w:rPr>
          <w:color w:val="000000"/>
        </w:rPr>
      </w:pPr>
    </w:p>
    <w:p w14:paraId="0C000000">
      <w:pPr>
        <w:widowControl/>
        <w:spacing w:line="360" w:lineRule="auto"/>
        <w:ind w:firstLine="708"/>
      </w:pPr>
      <w:r>
        <w:rPr>
          <w:color w:val="000000"/>
        </w:rPr>
        <w:t>Ключевые слова: электрофизиология, кардиология, параллельные вычисления, GPU, OpenACC, концептуальные модели, детальные модели.</w:t>
      </w:r>
    </w:p>
    <w:p w14:paraId="0D000000">
      <w:pPr>
        <w:pStyle w:val="2"/>
      </w:pPr>
      <w:r>
        <w:br w:type="page"/>
      </w:r>
      <w:r>
        <w:t>Введение</w:t>
      </w:r>
    </w:p>
    <w:p w14:paraId="0E000000">
      <w:pPr>
        <w:widowControl/>
        <w:spacing w:line="360" w:lineRule="auto"/>
        <w:ind w:firstLine="709"/>
        <w:rPr>
          <w:rStyle w:val="61"/>
          <w:color w:val="000000"/>
        </w:rPr>
      </w:pPr>
      <w:r>
        <w:rPr>
          <w:rStyle w:val="61"/>
          <w:color w:val="000000"/>
        </w:rPr>
        <w:t xml:space="preserve">Сердечно-сосудистые заболевания занимают </w:t>
      </w:r>
      <w:r>
        <w:rPr>
          <w:rStyle w:val="61"/>
          <w:color w:val="FF0000"/>
        </w:rPr>
        <w:t>лидирующее</w:t>
      </w:r>
      <w:r>
        <w:rPr>
          <w:rStyle w:val="61"/>
          <w:color w:val="000000"/>
        </w:rPr>
        <w:t xml:space="preserve"> место в мире в списке причин смерти пациентов.</w:t>
      </w:r>
    </w:p>
    <w:p w14:paraId="0F000000">
      <w:pPr>
        <w:widowControl/>
        <w:spacing w:line="360" w:lineRule="auto"/>
        <w:ind w:firstLine="709"/>
        <w:rPr>
          <w:rStyle w:val="61"/>
          <w:strike/>
          <w:color w:val="000000"/>
        </w:rPr>
      </w:pPr>
      <w:r>
        <w:rPr>
          <w:rStyle w:val="61"/>
          <w:color w:val="000000"/>
        </w:rPr>
        <w:t>Компьютерное</w:t>
      </w:r>
      <w:r>
        <w:t xml:space="preserve"> моделирование играет значительную роль в кардиологической практике:</w:t>
      </w:r>
      <w:r>
        <w:rPr>
          <w:rStyle w:val="61"/>
          <w:color w:val="000000"/>
        </w:rPr>
        <w:t xml:space="preserve"> позволяет избежать экспериментов на сердцах животных и человека, неэтичных и дорогостоящих, проводимых </w:t>
      </w:r>
      <w:r>
        <w:t xml:space="preserve">для оценки эффективности воздействия </w:t>
      </w:r>
      <w:r>
        <w:rPr>
          <w:rStyle w:val="61"/>
          <w:color w:val="000000"/>
        </w:rPr>
        <w:t>на сердце</w:t>
      </w:r>
      <w:r>
        <w:t xml:space="preserve"> лекарственных препаратов, объяснения причин возникновения аритмий, оптимизации воздействи</w:t>
      </w:r>
      <w:r>
        <w:rPr>
          <w:rStyle w:val="61"/>
          <w:color w:val="000000"/>
        </w:rPr>
        <w:t>я</w:t>
      </w:r>
      <w:r>
        <w:t xml:space="preserve"> </w:t>
      </w:r>
      <w:r>
        <w:rPr>
          <w:color w:val="FF0000"/>
        </w:rPr>
        <w:t>имплантов,</w:t>
      </w:r>
      <w:r>
        <w:t xml:space="preserve"> дефибрилляторов </w:t>
      </w:r>
      <w:r>
        <w:rPr>
          <w:rStyle w:val="61"/>
          <w:color w:val="000000"/>
        </w:rPr>
        <w:t xml:space="preserve">и др. В настоящее время </w:t>
      </w:r>
      <w:r>
        <w:rPr>
          <w:rStyle w:val="61"/>
          <w:color w:val="FF0000"/>
        </w:rPr>
        <w:t>уровень</w:t>
      </w:r>
      <w:r>
        <w:rPr>
          <w:rStyle w:val="61"/>
          <w:color w:val="000000"/>
        </w:rPr>
        <w:t xml:space="preserve"> развития детальных моделей клеток миокарда (кардиоцитов) </w:t>
      </w:r>
      <w:r>
        <w:rPr>
          <w:rStyle w:val="61"/>
          <w:color w:val="FF0000"/>
        </w:rPr>
        <w:t>достаточно высок</w:t>
      </w:r>
      <w:r>
        <w:rPr>
          <w:rStyle w:val="61"/>
          <w:color w:val="000000"/>
        </w:rPr>
        <w:t>, что позволяет получать результаты,</w:t>
      </w:r>
      <w:r>
        <w:t xml:space="preserve"> применимые на практике, в ближайшем будущем (5-10 лет [ссылка]). Как и в других предметных областях, в кардиологии ускорение расчетов играет значительную роль.</w:t>
      </w:r>
    </w:p>
    <w:p w14:paraId="10000000">
      <w:pPr>
        <w:widowControl/>
        <w:spacing w:line="360" w:lineRule="auto"/>
        <w:ind w:firstLine="708"/>
      </w:pPr>
      <w:r>
        <w:rPr>
          <w:rStyle w:val="61"/>
          <w:color w:val="000000"/>
        </w:rPr>
        <w:t>Ранее для этой цели использовали кластеры из CPU; в</w:t>
      </w:r>
      <w:r>
        <w:t xml:space="preserve"> последнее десятилетие трендом в области высокопроизводительных вычислений является использование GPU (graphic processing unit</w:t>
      </w:r>
      <w:r>
        <w:rPr>
          <w:rStyle w:val="61"/>
          <w:color w:val="000000"/>
        </w:rPr>
        <w:t xml:space="preserve">). </w:t>
      </w:r>
      <w:r>
        <w:rPr>
          <w:rStyle w:val="61"/>
          <w:color w:val="FF0000"/>
        </w:rPr>
        <w:t>Строго говоря, с появлением соответствующих технологий программирования графические процессоры стали называть GP-GPU (general purpose graphic processing unit).</w:t>
      </w:r>
    </w:p>
    <w:p w14:paraId="11000000">
      <w:pPr>
        <w:widowControl/>
        <w:spacing w:line="360" w:lineRule="auto"/>
        <w:ind w:firstLine="709"/>
      </w:pPr>
      <w:r>
        <w:t xml:space="preserve">Для программирования GPU первой была создана технология CUDA (подходит только для GPU фирмы NVidia), затем появилась технология OpenCL (для GPU фирмы AMD и многоядерных CPU различных производителей). Обе технологии являются низкоуровневыми и, следовательно, довольно громоздки в программной реализации: от разработчика требуется явное управление копированием данных между CPU и GPU, явная синхронизация потоков исполнения и др.; это серьезно замедляет труд ученых-биофизиков, не всегда досконально разбирающихся технологиях программирования. </w:t>
      </w:r>
    </w:p>
    <w:p w14:paraId="12000000">
      <w:pPr>
        <w:widowControl/>
        <w:spacing w:line="360" w:lineRule="auto"/>
        <w:ind w:firstLine="709"/>
      </w:pPr>
      <w:r>
        <w:t xml:space="preserve">Решением этой проблемы стала технология OpenACC, впервые увидевшая свет в </w:t>
      </w:r>
      <w:r>
        <w:rPr>
          <w:strike/>
        </w:rPr>
        <w:t>ноябре</w:t>
      </w:r>
      <w:r>
        <w:t xml:space="preserve"> 2011 г.: была выпущена спецификация OpenACC – технологии, позволяющей переносить код на GPU посредством кратких директив (#pragma) для компилятора, что не требует погружения в детали архитектуры GPU и значительно сокращает время, затрачиваемое на распараллеливание исходной программы. Синтаксически OpenACC очень похожа на технологию OpenMP, используемой для распараллеливания программ на многоядерных CPU уже более 20 лет.</w:t>
      </w:r>
    </w:p>
    <w:p w14:paraId="13000000">
      <w:pPr>
        <w:widowControl/>
        <w:spacing w:line="360" w:lineRule="auto"/>
        <w:ind w:firstLine="709"/>
        <w:rPr>
          <w:color w:val="000000"/>
        </w:rPr>
      </w:pPr>
      <w:r>
        <w:t xml:space="preserve">В данной работе приводится демонстрация применения технологии OpenACC для быстрого распараллеливания программ численного моделирования электрической активности клеток миокарда. Используются типичные представители концептуальных и детальных моделей </w:t>
      </w:r>
      <w:r>
        <w:rPr>
          <w:color w:val="000000"/>
        </w:rPr>
        <w:t xml:space="preserve">клеток </w:t>
      </w:r>
      <w:r>
        <w:rPr>
          <w:color w:val="FF0000"/>
        </w:rPr>
        <w:t xml:space="preserve">как из «ждущей», так и автоколебательной [ссылки на термины] сред. </w:t>
      </w:r>
      <w:r>
        <w:rPr>
          <w:color w:val="000000"/>
        </w:rPr>
        <w:t>Материал статьи будет полезен в первую очередь ученым-биофизикам, использующих компьютерное моделирование в своих исследованиях; программистам данная работа также сможет представить некоторый интерес.</w:t>
      </w:r>
    </w:p>
    <w:p w14:paraId="14000000">
      <w:pPr>
        <w:pStyle w:val="2"/>
      </w:pPr>
      <w:r>
        <w:t>Материалы и методы</w:t>
      </w:r>
    </w:p>
    <w:p w14:paraId="15000000">
      <w:pPr>
        <w:pStyle w:val="3"/>
      </w:pPr>
      <w:r>
        <w:t>Введение в архитектуру GPU</w:t>
      </w:r>
    </w:p>
    <w:p w14:paraId="16000000">
      <w:pPr>
        <w:widowControl/>
        <w:spacing w:line="360" w:lineRule="auto"/>
        <w:ind w:firstLine="708"/>
        <w:rPr>
          <w:color w:val="000000"/>
        </w:rPr>
      </w:pPr>
      <w:r>
        <w:t xml:space="preserve">В первом приближении GPU можно представить как многоядерный CPU. Главные отличия следующие: </w:t>
      </w:r>
      <w:r>
        <w:rPr>
          <w:color w:val="FF0000"/>
        </w:rPr>
        <w:t xml:space="preserve">на порядок </w:t>
      </w:r>
      <w:r>
        <w:t xml:space="preserve">большее число вычислительных ядер, существенно меньшая тактовая частота их работы, </w:t>
      </w:r>
      <w:r>
        <w:rPr>
          <w:color w:val="FF0000"/>
        </w:rPr>
        <w:t>меньший</w:t>
      </w:r>
      <w:r>
        <w:t xml:space="preserve"> размер кэша, </w:t>
      </w:r>
      <w:r>
        <w:rPr>
          <w:color w:val="FF0000"/>
        </w:rPr>
        <w:t>коллективный</w:t>
      </w:r>
      <w:r>
        <w:t xml:space="preserve"> доступ к памяти ядрами, </w:t>
      </w:r>
      <w:r>
        <w:rPr>
          <w:color w:val="FF0000"/>
        </w:rPr>
        <w:t xml:space="preserve">[что-то еще]. </w:t>
      </w:r>
      <w:r>
        <w:t xml:space="preserve">Из-за данных особенностей архитектуры GPU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более</w:t>
      </w:r>
      <w:r>
        <w:t xml:space="preserve"> энергоэффективны и относительно дешевы </w:t>
      </w:r>
      <w:r>
        <w:rPr>
          <w:color w:val="000000"/>
        </w:rPr>
        <w:t>в производстве.</w:t>
      </w:r>
    </w:p>
    <w:p w14:paraId="17000000">
      <w:pPr>
        <w:widowControl/>
        <w:spacing w:line="360" w:lineRule="auto"/>
        <w:ind w:firstLine="708"/>
      </w:pPr>
      <w:r>
        <w:t xml:space="preserve">Архитектура GPU принадлежит к типу SIMT (Single Instruction Multiple Thread), являющейся вариацией типа SIMD из классификации параллельных </w:t>
      </w:r>
      <w:r>
        <w:rPr>
          <w:color w:val="000000"/>
        </w:rPr>
        <w:t>архитектур</w:t>
      </w:r>
      <w:r>
        <w:t xml:space="preserve"> по М. Флинну [ссылка]. Все потоки (в дальнейшем будем называть их </w:t>
      </w:r>
      <w:r>
        <w:rPr>
          <w:i/>
        </w:rPr>
        <w:t>нитями</w:t>
      </w:r>
      <w:r>
        <w:t xml:space="preserve">) исполнения упорядочены в сетку, разделенную на блоки. </w:t>
      </w:r>
      <w:r>
        <w:rPr>
          <w:color w:val="FF0000"/>
        </w:rPr>
        <w:t xml:space="preserve">[Написать что-нибудь про блоки] </w:t>
      </w:r>
      <w:r>
        <w:t xml:space="preserve">Фактически параллельно способны исполняться только нити, объединенные внутри блока в так называемые </w:t>
      </w:r>
      <w:r>
        <w:rPr>
          <w:i/>
        </w:rPr>
        <w:t>warp’ы</w:t>
      </w:r>
      <w:r>
        <w:t xml:space="preserve"> (наборы по 32 нити), при этом процессом их запуска заведует управляющая логика GPU.</w:t>
      </w:r>
    </w:p>
    <w:p w14:paraId="18000000">
      <w:pPr>
        <w:widowControl/>
        <w:spacing w:line="360" w:lineRule="auto"/>
        <w:ind w:firstLine="708"/>
      </w:pPr>
      <w:r>
        <w:rPr>
          <w:color w:val="000000"/>
        </w:rPr>
        <w:t xml:space="preserve">Соответственно, параллельное программирование для GPU </w:t>
      </w:r>
      <w:r>
        <w:rPr>
          <w:color w:val="FF0000"/>
        </w:rPr>
        <w:t>немного</w:t>
      </w:r>
      <w:r>
        <w:rPr>
          <w:color w:val="000000"/>
        </w:rPr>
        <w:t xml:space="preserve"> отличается от такового для многоядерного CPU.</w:t>
      </w:r>
    </w:p>
    <w:p w14:paraId="19000000">
      <w:pPr>
        <w:pStyle w:val="3"/>
      </w:pPr>
      <w:r>
        <w:t>Технологии программирования GPU</w:t>
      </w:r>
    </w:p>
    <w:p w14:paraId="1A000000">
      <w:pPr>
        <w:widowControl/>
        <w:spacing w:line="360" w:lineRule="auto"/>
      </w:pPr>
      <w:r>
        <w:tab/>
      </w:r>
      <w:r>
        <w:t>Существует несколько технологий подобного сорта (приведены в порядке появления на свет):</w:t>
      </w:r>
    </w:p>
    <w:p w14:paraId="1B000000">
      <w:pPr>
        <w:pStyle w:val="62"/>
        <w:widowControl/>
        <w:numPr>
          <w:ilvl w:val="0"/>
          <w:numId w:val="2"/>
        </w:numPr>
        <w:spacing w:line="360" w:lineRule="auto"/>
        <w:rPr>
          <w:color w:val="FF0000"/>
        </w:rPr>
      </w:pPr>
      <w:r>
        <w:rPr>
          <w:color w:val="FF0000"/>
        </w:rPr>
        <w:t>[шейдеры или preCUDA]</w:t>
      </w:r>
    </w:p>
    <w:p w14:paraId="1C000000">
      <w:pPr>
        <w:pStyle w:val="62"/>
        <w:widowControl/>
        <w:numPr>
          <w:ilvl w:val="0"/>
          <w:numId w:val="2"/>
        </w:numPr>
        <w:spacing w:line="360" w:lineRule="auto"/>
      </w:pPr>
      <w:r>
        <w:t>CUDA (2007)</w:t>
      </w:r>
    </w:p>
    <w:p w14:paraId="1D000000">
      <w:pPr>
        <w:pStyle w:val="62"/>
        <w:widowControl/>
        <w:numPr>
          <w:ilvl w:val="0"/>
          <w:numId w:val="2"/>
        </w:numPr>
        <w:spacing w:line="360" w:lineRule="auto"/>
      </w:pPr>
      <w:r>
        <w:t>OpenCL (2008)</w:t>
      </w:r>
    </w:p>
    <w:p w14:paraId="1E000000">
      <w:pPr>
        <w:pStyle w:val="62"/>
        <w:widowControl/>
        <w:numPr>
          <w:ilvl w:val="0"/>
          <w:numId w:val="2"/>
        </w:numPr>
        <w:spacing w:line="360" w:lineRule="auto"/>
      </w:pPr>
      <w:r>
        <w:t>OpenACC (2011)</w:t>
      </w:r>
    </w:p>
    <w:p w14:paraId="1F000000">
      <w:pPr>
        <w:widowControl/>
        <w:spacing w:line="360" w:lineRule="auto"/>
        <w:ind w:firstLine="708"/>
      </w:pPr>
      <w:r>
        <w:t xml:space="preserve">Технологии CUDA и OpenCL представляют из себя расширения для языка Си, </w:t>
      </w:r>
      <w:r>
        <w:rPr>
          <w:color w:val="FF0000"/>
        </w:rPr>
        <w:t>привнесшие каждая в него новые типы данных и компилятор, соответственно</w:t>
      </w:r>
      <w:r>
        <w:t xml:space="preserve">; технологии являются </w:t>
      </w:r>
      <w:r>
        <w:rPr>
          <w:i/>
        </w:rPr>
        <w:t>низкоуровневыми</w:t>
      </w:r>
      <w:r>
        <w:t xml:space="preserve"> – распараллеливание программ требует значительных </w:t>
      </w:r>
      <w:r>
        <w:rPr>
          <w:color w:val="FF0000"/>
        </w:rPr>
        <w:t>трудовремязатрат</w:t>
      </w:r>
      <w:r>
        <w:t xml:space="preserve"> от программиста.</w:t>
      </w:r>
    </w:p>
    <w:p w14:paraId="20000000">
      <w:pPr>
        <w:widowControl/>
        <w:spacing w:line="360" w:lineRule="auto"/>
      </w:pPr>
    </w:p>
    <w:p w14:paraId="21000000">
      <w:pPr>
        <w:widowControl/>
        <w:spacing w:line="360" w:lineRule="auto"/>
      </w:pPr>
    </w:p>
    <w:p w14:paraId="22000000">
      <w:pPr>
        <w:pStyle w:val="3"/>
      </w:pPr>
      <w:r>
        <w:t>Технология OpenACC</w:t>
      </w:r>
    </w:p>
    <w:p w14:paraId="23000000">
      <w:pPr>
        <w:widowControl/>
        <w:spacing w:line="360" w:lineRule="auto"/>
        <w:ind w:firstLine="360"/>
        <w:rPr>
          <w:color w:val="00B050"/>
        </w:rPr>
      </w:pPr>
      <w:r>
        <w:rPr>
          <w:color w:val="000000"/>
        </w:rPr>
        <w:t xml:space="preserve">CUDA является широкораспространенной технологией для распараллеливания программ на GPU. </w:t>
      </w:r>
      <w:r>
        <w:t xml:space="preserve">OpenACC была создана с целью упрощения данного </w:t>
      </w:r>
      <w:r>
        <w:rPr>
          <w:color w:val="000000"/>
        </w:rPr>
        <w:t xml:space="preserve">процесса. </w:t>
      </w:r>
      <w:r>
        <w:t xml:space="preserve">Управление инициализацией начальных условий, обменом данными между CPU и GPU, запуск фунцкии-ядра GPU производится </w:t>
      </w:r>
      <w:r>
        <w:rPr>
          <w:i/>
        </w:rPr>
        <w:t>неявно</w:t>
      </w:r>
      <w:r>
        <w:t>, путем передачи управления специальным директивам (</w:t>
      </w:r>
      <w:r>
        <w:rPr>
          <w:color w:val="000000"/>
        </w:rPr>
        <w:t>#pragma</w:t>
      </w:r>
      <w:r>
        <w:t>), вставляемых в код программы в требуемых местах. Директивы</w:t>
      </w:r>
      <w:r>
        <w:rPr>
          <w:color w:val="FF0000"/>
        </w:rPr>
        <w:t xml:space="preserve"> </w:t>
      </w:r>
      <w:r>
        <w:rPr>
          <w:color w:val="000000"/>
        </w:rPr>
        <w:t xml:space="preserve">остаются прозрачными для </w:t>
      </w:r>
      <w:r>
        <w:t>«обычного</w:t>
      </w:r>
      <w:r>
        <w:rPr>
          <w:color w:val="000000"/>
        </w:rPr>
        <w:t xml:space="preserve">» компилятора (к примеру, gcc), что </w:t>
      </w:r>
      <w:r>
        <w:t>позволяет использовать одну и ту ж</w:t>
      </w:r>
      <w:r>
        <w:rPr>
          <w:color w:val="000000"/>
        </w:rPr>
        <w:t xml:space="preserve">е версию </w:t>
      </w:r>
      <w:r>
        <w:t xml:space="preserve">программы как для последовательных, так и параллельных вычислений. Стоит отметить, что </w:t>
      </w:r>
      <w:r>
        <w:rPr>
          <w:color w:val="000000"/>
        </w:rPr>
        <w:t xml:space="preserve">технология сильно схожа по синтаксису с технологией OpenMP, широко используемой для распараллеливания программ на многоядерные CPU </w:t>
      </w:r>
      <w:r>
        <w:rPr>
          <w:color w:val="FF0000"/>
        </w:rPr>
        <w:t xml:space="preserve">(системы с общей памятью) </w:t>
      </w:r>
      <w:r>
        <w:rPr>
          <w:color w:val="000000"/>
        </w:rPr>
        <w:t xml:space="preserve">уже более 20 лет. С учетом этого заметим, что </w:t>
      </w:r>
      <w:r>
        <w:rPr>
          <w:color w:val="FF0000"/>
        </w:rPr>
        <w:t xml:space="preserve">в ближайшем будущем [год?] </w:t>
      </w:r>
      <w:r>
        <w:rPr>
          <w:color w:val="000000"/>
        </w:rPr>
        <w:t xml:space="preserve">OpenACC планируется совместить с OpenMP </w:t>
      </w:r>
      <w:r>
        <w:rPr>
          <w:color w:val="FF0000"/>
        </w:rPr>
        <w:t xml:space="preserve">[ </w:t>
      </w:r>
      <w:r>
        <w:rPr>
          <w:rStyle w:val="16"/>
        </w:rPr>
        <w:fldChar w:fldCharType="begin"/>
      </w:r>
      <w:r>
        <w:rPr>
          <w:rStyle w:val="16"/>
        </w:rPr>
        <w:instrText xml:space="preserve">HYPERLINK "http://ccoe.msu.ru/ru/articles/openacc-intro"</w:instrText>
      </w:r>
      <w:r>
        <w:rPr>
          <w:rStyle w:val="16"/>
        </w:rPr>
        <w:fldChar w:fldCharType="separate"/>
      </w:r>
      <w:r>
        <w:rPr>
          <w:rStyle w:val="16"/>
        </w:rPr>
        <w:t>http://ccoe.msu.ru/ru/articles/openacc-intro</w:t>
      </w:r>
      <w:r>
        <w:rPr>
          <w:rStyle w:val="16"/>
        </w:rPr>
        <w:fldChar w:fldCharType="end"/>
      </w:r>
      <w:r>
        <w:rPr>
          <w:color w:val="FF0000"/>
        </w:rPr>
        <w:t>; ссылка - мб найти другую?].</w:t>
      </w:r>
    </w:p>
    <w:p w14:paraId="24000000">
      <w:pPr>
        <w:widowControl/>
        <w:spacing w:line="360" w:lineRule="auto"/>
        <w:ind w:firstLine="360"/>
      </w:pPr>
      <w:r>
        <w:rPr>
          <w:color w:val="000000"/>
        </w:rPr>
        <w:t xml:space="preserve">Перечислим </w:t>
      </w:r>
      <w:r>
        <w:t>использованный в работе набор директив и опций OpenACC, который в принципе можно назвать «базовым»:</w:t>
      </w:r>
    </w:p>
    <w:p w14:paraId="25000000">
      <w:pPr>
        <w:widowControl/>
        <w:numPr>
          <w:ilvl w:val="0"/>
          <w:numId w:val="3"/>
        </w:numPr>
        <w:spacing w:line="360" w:lineRule="auto"/>
      </w:pPr>
      <w:r>
        <w:t xml:space="preserve">#pragma acc data copy [deviceptr]  </w:t>
      </w:r>
      <w:r>
        <w:rPr>
          <w:strike/>
        </w:rPr>
        <w:t>/copyin/copyout</w:t>
      </w:r>
    </w:p>
    <w:p w14:paraId="26000000">
      <w:pPr>
        <w:widowControl/>
        <w:numPr>
          <w:ilvl w:val="0"/>
          <w:numId w:val="3"/>
        </w:numPr>
        <w:spacing w:line="360" w:lineRule="auto"/>
      </w:pPr>
      <w:r>
        <w:t>#pragma acc parallel [present, num_workers, vector_length, async]</w:t>
      </w:r>
    </w:p>
    <w:p w14:paraId="27000000">
      <w:pPr>
        <w:widowControl/>
        <w:numPr>
          <w:ilvl w:val="0"/>
          <w:numId w:val="3"/>
        </w:numPr>
        <w:spacing w:line="360" w:lineRule="auto"/>
      </w:pPr>
      <w:r>
        <w:t>#pragma acc loop [gang, vector]</w:t>
      </w:r>
    </w:p>
    <w:p w14:paraId="28000000">
      <w:pPr>
        <w:widowControl/>
        <w:numPr>
          <w:ilvl w:val="0"/>
          <w:numId w:val="3"/>
        </w:numPr>
        <w:spacing w:line="360" w:lineRule="auto"/>
      </w:pPr>
      <w:r>
        <w:t>#pragma acc routine</w:t>
      </w:r>
    </w:p>
    <w:p w14:paraId="29000000">
      <w:pPr>
        <w:widowControl/>
        <w:numPr>
          <w:ilvl w:val="0"/>
          <w:numId w:val="3"/>
        </w:numPr>
        <w:spacing w:line="360" w:lineRule="auto"/>
      </w:pPr>
      <w:r>
        <w:t>#pragma acc wait</w:t>
      </w:r>
    </w:p>
    <w:p w14:paraId="2A000000">
      <w:pPr>
        <w:widowControl/>
        <w:numPr>
          <w:ilvl w:val="0"/>
          <w:numId w:val="3"/>
        </w:numPr>
        <w:spacing w:line="360" w:lineRule="auto"/>
      </w:pPr>
      <w:r>
        <w:t>#pragma acc update [host]</w:t>
      </w:r>
    </w:p>
    <w:p w14:paraId="2B000000">
      <w:pPr>
        <w:widowControl/>
        <w:spacing w:line="360" w:lineRule="auto"/>
        <w:ind w:firstLine="360"/>
      </w:pPr>
      <w:r>
        <w:t>Компилятор технологии OpenACC (pgcc) автоматически распознает, какие части кода должны исполняться на CPU или GPU, какие участки отвечают за управление памятью и перенос данных между CPU и GPU, и автоматически сгенерирует соответствующие функции (перенос данных, функции-ядра), беря на себя эту часть работы разработчика.</w:t>
      </w:r>
    </w:p>
    <w:p w14:paraId="2C000000">
      <w:pPr>
        <w:widowControl/>
        <w:spacing w:line="240" w:lineRule="auto"/>
      </w:pPr>
      <w:r>
        <w:br w:type="page"/>
      </w:r>
    </w:p>
    <w:p w14:paraId="2D000000">
      <w:pPr>
        <w:pStyle w:val="3"/>
      </w:pPr>
      <w:r>
        <w:t>Математические модели</w:t>
      </w:r>
    </w:p>
    <w:p w14:paraId="2E000000">
      <w:pPr>
        <w:widowControl/>
        <w:ind w:firstLine="708"/>
        <w:rPr>
          <w:color w:val="FF0000"/>
        </w:rPr>
      </w:pPr>
      <w:r>
        <w:t xml:space="preserve">В данной работе мы рассматриваем модели Алиева-Панфилова (AP), Билера-Рейтера (BR) и Янагихары-Номы-Ирисавы (YNI), </w:t>
      </w:r>
      <w:r>
        <w:rPr>
          <w:i/>
        </w:rPr>
        <w:t>формально</w:t>
      </w:r>
      <w:r>
        <w:t xml:space="preserve"> представляющие весь </w:t>
      </w:r>
      <w:r>
        <w:rPr>
          <w:color w:val="FF0000"/>
        </w:rPr>
        <w:t>спектр</w:t>
      </w:r>
      <w:r>
        <w:t xml:space="preserve"> моделей кардиоцитов</w:t>
      </w:r>
      <w:r>
        <w:rPr>
          <w:color w:val="000000"/>
        </w:rPr>
        <w:t xml:space="preserve">: </w:t>
      </w:r>
      <w:r>
        <w:t xml:space="preserve">концептуальная и детальная клеток </w:t>
      </w:r>
      <w:r>
        <w:rPr>
          <w:color w:val="FF0000"/>
        </w:rPr>
        <w:t>ждущей</w:t>
      </w:r>
      <w:r>
        <w:t xml:space="preserve"> среды и детальная клеток </w:t>
      </w:r>
      <w:r>
        <w:rPr>
          <w:color w:val="FF0000"/>
        </w:rPr>
        <w:t>автоколебательной</w:t>
      </w:r>
      <w:r>
        <w:t xml:space="preserve"> среды, </w:t>
      </w:r>
      <w:r>
        <w:rPr>
          <w:color w:val="FF0000"/>
        </w:rPr>
        <w:t>соответственно.</w:t>
      </w:r>
    </w:p>
    <w:p w14:paraId="2F000000">
      <w:pPr>
        <w:rPr>
          <w:color w:val="FF0000"/>
        </w:rPr>
      </w:pPr>
    </w:p>
    <w:p w14:paraId="30000000">
      <w:pPr>
        <w:rPr>
          <w:color w:val="000000"/>
        </w:rPr>
      </w:pPr>
      <w:r>
        <w:rPr>
          <w:color w:val="000000"/>
        </w:rPr>
        <w:t>[Статья для физиологов – используем принятую у них форму записи: без знаков сумм, произведений и пр.]</w:t>
      </w:r>
    </w:p>
    <w:p w14:paraId="31000000"/>
    <w:p w14:paraId="32000000">
      <w:pPr>
        <w:pStyle w:val="4"/>
        <w:rPr>
          <w:strike/>
        </w:rPr>
      </w:pPr>
      <w:r>
        <w:t>Модель AP</w:t>
      </w:r>
    </w:p>
    <w:p w14:paraId="33000000">
      <w:pPr>
        <w:widowControl/>
        <w:ind w:firstLine="708"/>
      </w:pPr>
      <w:r>
        <w:t>Из концептуальных моделей электрофизиологии была выбрана описывающая активность кардиоцитов. Модель можно использовать для эффективного 3D-моделирования миокарда. Уравнения имеют следующий вид:</w:t>
      </w:r>
    </w:p>
    <w:p w14:paraId="34000000">
      <w:pPr>
        <w:widowControl/>
        <w:spacing w:line="360" w:lineRule="auto"/>
        <w:jc w:val="center"/>
      </w:pPr>
      <m:oMathPara>
        <m:oMath>
          <m:d>
            <m:dPr>
              <m:begChr m:val="{"/>
              <m:sepChr m:val=","/>
              <m:endChr m:val=""/>
            </m:dPr>
            <m:e>
              <m:eqArr>
                <m:eqArrPr/>
                <m:e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∂u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∂t</m:t>
                      </m:r>
                    </m:den>
                  </m:f>
                  <m:r>
                    <m:rPr/>
                    <w:rPr>
                      <w:rFonts w:ascii="Cambria Math" w:hAnsi="Cambria Math"/>
                      <w:sz w:val="22"/>
                    </w:rPr>
                    <m:t>=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2"/>
                      <w:lang w:val="en-US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∆V</m:t>
                  </m:r>
                  <m:r>
                    <m:rPr/>
                    <w:rPr>
                      <w:rFonts w:ascii="Cambria Math" w:hAnsi="Cambria Math"/>
                      <w:sz w:val="22"/>
                    </w:rPr>
                    <m:t>−</m:t>
                  </m:r>
                  <m:d>
                    <m:dPr>
                      <m:sepChr m:val=","/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ku</m:t>
                      </m:r>
                      <m:d>
                        <m:dPr>
                          <m:sepChr m:val=","/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2"/>
                            </w:rPr>
                            <m:t>u−a</m:t>
                          </m:r>
                        </m:e>
                      </m:d>
                      <m:d>
                        <m:dPr>
                          <m:sepChr m:val=","/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2"/>
                            </w:rPr>
                            <m:t>u−1</m:t>
                          </m:r>
                        </m:e>
                      </m:d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uv</m:t>
                      </m:r>
                    </m:e>
                  </m:d>
                  <m:r>
                    <m:rPr/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stim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,</m:t>
                  </m:r>
                </m:e>
                <m:e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∂v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∂t</m:t>
                      </m:r>
                    </m:den>
                  </m:f>
                  <m:r>
                    <m:rPr/>
                    <w:rPr>
                      <w:rFonts w:ascii="Cambria Math" w:hAnsi="Cambria Math"/>
                      <w:sz w:val="22"/>
                    </w:rPr>
                    <m:t>=ε</m:t>
                  </m:r>
                  <m:d>
                    <m:dPr>
                      <m:sepChr m:val=","/>
                    </m:dPr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u,v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−v−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ku</m:t>
                      </m:r>
                      <m:d>
                        <m:dPr>
                          <m:sepChr m:val=","/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2"/>
                            </w:rPr>
                            <m:t>u−a−1</m:t>
                          </m:r>
                        </m:e>
                      </m:d>
                    </m:e>
                  </m:d>
                  <m:r>
                    <m:rPr/>
                    <w:rPr>
                      <w:rFonts w:ascii="Cambria Math" w:hAnsi="Cambria Math"/>
                      <w:sz w:val="22"/>
                    </w:rPr>
                    <m:t>.</m:t>
                  </m:r>
                </m:e>
              </m:eqArr>
            </m:e>
          </m:d>
        </m:oMath>
      </m:oMathPara>
      <w:bookmarkStart w:id="0" w:name="_GoBack"/>
      <w:bookmarkEnd w:id="0"/>
    </w:p>
    <w:p w14:paraId="35000000">
      <w:pPr>
        <w:widowControl/>
        <w:spacing w:line="360" w:lineRule="auto"/>
      </w:pPr>
      <w:r>
        <w:t xml:space="preserve">Здесь </w:t>
      </w:r>
      <m:oMath>
        <m:r>
          <m:rPr/>
          <w:rPr>
            <w:rFonts w:ascii="Cambria Math" w:hAnsi="Cambria Math"/>
            <w:sz w:val="22"/>
          </w:rPr>
          <m:t>t</m:t>
        </m:r>
      </m:oMath>
      <w:r>
        <w:t xml:space="preserve"> – безразмерное время, </w:t>
      </w:r>
      <m:oMath>
        <m:r>
          <m:rPr/>
          <w:rPr>
            <w:rFonts w:ascii="Cambria Math" w:hAnsi="Cambria Math"/>
            <w:sz w:val="22"/>
          </w:rPr>
          <m:t>k</m:t>
        </m:r>
      </m:oMath>
      <w:r>
        <w:t xml:space="preserve"> – коэффициент, определяющий время деполяризации, </w:t>
      </w:r>
      <m:oMath>
        <m:r>
          <m:rPr/>
          <w:rPr>
            <w:rFonts w:ascii="Cambria Math" w:hAnsi="Cambria Math"/>
            <w:sz w:val="22"/>
          </w:rPr>
          <m:t>a</m:t>
        </m:r>
      </m:oMath>
      <w:r>
        <w:t xml:space="preserve"> – пороговая величина. Мембранный потенциал можно вычислить по формуле </w:t>
      </w:r>
      <m:oMath>
        <m:r>
          <m:rPr>
            <m:sty m:val="p"/>
          </m:rPr>
          <w:rPr>
            <w:rFonts w:ascii="Cambria Math" w:hAnsi="Cambria Math"/>
            <w:sz w:val="22"/>
          </w:rPr>
          <m:t>V</m:t>
        </m:r>
        <m:d>
          <m:dPr>
            <m:begChr m:val="["/>
            <m:sepChr m:val=","/>
            <m:endChr m:val="]"/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мВ</m:t>
            </m:r>
          </m:e>
        </m:d>
        <m:r>
          <m:rPr/>
          <w:rPr>
            <w:rFonts w:ascii="Cambria Math" w:hAnsi="Cambria Math"/>
            <w:sz w:val="22"/>
          </w:rPr>
          <m:t>=100u−80</m:t>
        </m:r>
      </m:oMath>
      <w:r>
        <w:t xml:space="preserve"> , время – </w:t>
      </w:r>
      <m:oMath>
        <m:r>
          <m:rPr/>
          <w:rPr>
            <w:rFonts w:ascii="Cambria Math" w:hAnsi="Cambria Math"/>
            <w:sz w:val="22"/>
          </w:rPr>
          <m:t>t</m:t>
        </m:r>
        <m:d>
          <m:dPr>
            <m:begChr m:val="["/>
            <m:sepChr m:val=","/>
            <m:endChr m:val="]"/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мс</m:t>
            </m:r>
          </m:e>
        </m:d>
        <m:r>
          <m:rPr/>
          <w:rPr>
            <w:rFonts w:ascii="Cambria Math" w:hAnsi="Cambria Math"/>
            <w:sz w:val="22"/>
          </w:rPr>
          <m:t>=12.9t</m:t>
        </m:r>
      </m:oMath>
      <w:r>
        <w:t>. В данной работе использовались значения параметров, указанные в оригинальной модели [Aliev, Panfilov, 1996].</w:t>
      </w:r>
    </w:p>
    <w:p w14:paraId="36000000">
      <w:pPr>
        <w:pStyle w:val="4"/>
      </w:pPr>
      <w:r>
        <w:t>Модель BR</w:t>
      </w:r>
    </w:p>
    <w:p w14:paraId="37000000">
      <w:pPr>
        <w:widowControl/>
        <w:spacing w:line="360" w:lineRule="auto"/>
        <w:ind w:firstLine="708"/>
      </w:pPr>
      <w:r>
        <w:t xml:space="preserve">Модель описывает активность кардиоцитов желудочка (у собаки). Из множества детальных моделей кардиоцитов </w:t>
      </w:r>
      <w:r>
        <w:rPr>
          <w:color w:val="FF0000"/>
        </w:rPr>
        <w:t xml:space="preserve">«ждущей» </w:t>
      </w:r>
      <w:r>
        <w:t xml:space="preserve">среды она обладает </w:t>
      </w:r>
      <w:r>
        <w:rPr>
          <w:color w:val="000000"/>
        </w:rPr>
        <w:t>относительно средней сложностью и при этом учитывает в себе основные электрофизиологические процессы (некоторые – на качественном уровне), происходящие в кардиоците.</w:t>
      </w:r>
    </w:p>
    <w:p w14:paraId="38000000">
      <w:pPr>
        <w:widowControl/>
        <w:spacing w:line="360" w:lineRule="auto"/>
        <w:ind w:firstLine="708"/>
        <w:rPr>
          <w:color w:val="000000"/>
        </w:rPr>
      </w:pPr>
      <w:r>
        <w:rPr>
          <w:color w:val="000000"/>
        </w:rPr>
        <w:t>Данный выбор, с одной стороны, позволил авторам провести</w:t>
      </w:r>
      <w:r>
        <w:rPr>
          <w:color w:val="FF0000"/>
        </w:rPr>
        <w:t xml:space="preserve"> демонстрацию </w:t>
      </w:r>
      <w:r>
        <w:rPr>
          <w:color w:val="000000"/>
        </w:rPr>
        <w:t xml:space="preserve">применения технологии распараллеливания </w:t>
      </w:r>
      <w:r>
        <w:rPr>
          <w:color w:val="FF0000"/>
        </w:rPr>
        <w:t>на небольшой последовательной программе</w:t>
      </w:r>
      <w:r>
        <w:rPr>
          <w:color w:val="000000"/>
        </w:rPr>
        <w:t xml:space="preserve">, а с другой, позволит </w:t>
      </w:r>
      <w:r>
        <w:rPr>
          <w:color w:val="FF0000"/>
        </w:rPr>
        <w:t>читателям</w:t>
      </w:r>
      <w:r>
        <w:rPr>
          <w:color w:val="000000"/>
        </w:rPr>
        <w:t xml:space="preserve"> без труда обобщить применение технологии на программы для моделирования, использующие более современные детальные модели. Дополнительно отметим, что модель BR не является сильно устаревшей (1977 г.) (по сравнению, например, с моделью Noble (1962 г.)) и до сих пор используется для 3D-моделирования миокарда в силу средней требовательности к вычислительным ресурсам [A Tveito].</w:t>
      </w:r>
    </w:p>
    <w:p w14:paraId="39000000">
      <w:pPr>
        <w:widowControl/>
        <w:spacing w:line="360" w:lineRule="auto"/>
        <w:ind w:firstLine="708"/>
        <w:rPr>
          <w:color w:val="000000"/>
        </w:rPr>
      </w:pPr>
      <w:r>
        <w:rPr>
          <w:color w:val="000000"/>
        </w:rPr>
        <w:t>Уравнения модели записываются в следующем виде:</w:t>
      </w:r>
    </w:p>
    <w:p w14:paraId="3A000000">
      <w:pPr>
        <w:widowControl/>
        <w:spacing w:line="360" w:lineRule="auto"/>
        <w:jc w:val="center"/>
        <w:rPr>
          <w:i/>
        </w:rPr>
      </w:pPr>
      <m:oMathPara>
        <m:oMath>
          <m:d>
            <m:dPr>
              <m:begChr m:val="{"/>
              <m:sepChr m:val=","/>
              <m:endChr m:val=""/>
            </m:dPr>
            <m:e>
              <m:eqArr>
                <m:eqArrPr/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C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sub>
                  </m:sSub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∂V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∂t</m:t>
                      </m:r>
                    </m:den>
                  </m:f>
                  <m:r>
                    <m:rPr/>
                    <w:rPr>
                      <w:rFonts w:ascii="Cambria Math" w:hAnsi="Cambria Math"/>
                      <w:sz w:val="22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D∆V</m:t>
                  </m:r>
                  <m:r>
                    <m:rPr/>
                    <w:rPr>
                      <w:rFonts w:ascii="Cambria Math" w:hAnsi="Cambria Math"/>
                      <w:sz w:val="22"/>
                    </w:rPr>
                    <m:t>−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ion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stim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,</m:t>
                  </m:r>
                </m:e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ion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≡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Na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,</m:t>
                  </m:r>
                </m:e>
                <m:e>
                  <m:f>
                    <m:fPr/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dg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dt</m:t>
                      </m:r>
                    </m:den>
                  </m:f>
                  <m:r>
                    <m:rPr/>
                    <w:rPr>
                      <w:rFonts w:ascii="Cambria Math" w:hAnsi="Cambria Math"/>
                      <w:sz w:val="22"/>
                    </w:rPr>
                    <m:t>=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α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g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V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1−g</m:t>
                      </m:r>
                    </m:e>
                  </m:d>
                  <m:r>
                    <m:rPr/>
                    <w:rPr>
                      <w:rFonts w:ascii="Cambria Math" w:hAnsi="Cambria Math"/>
                      <w:sz w:val="22"/>
                    </w:rPr>
                    <m:t>−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β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g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V</m:t>
                      </m:r>
                    </m:e>
                  </m:d>
                  <m:r>
                    <m:rPr/>
                    <w:rPr>
                      <w:rFonts w:ascii="Cambria Math" w:hAnsi="Cambria Math"/>
                      <w:sz w:val="22"/>
                    </w:rPr>
                    <m:t>g,</m:t>
                  </m:r>
                </m:e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g=m,h,j,d,f,x,</m:t>
                  </m:r>
                </m:e>
                <m:e>
                  <m:f>
                    <m:fPr/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dc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dt</m:t>
                      </m:r>
                    </m:den>
                  </m:f>
                  <m:r>
                    <m:rPr/>
                    <w:rPr>
                      <w:rFonts w:ascii="Cambria Math" w:hAnsi="Cambria Math"/>
                      <w:sz w:val="22"/>
                    </w:rPr>
                    <m:t>=−</m:t>
                  </m:r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10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−7</m:t>
                      </m:r>
                    </m:sup>
                  </m:sSup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+0.07</m:t>
                  </m:r>
                  <m:d>
                    <m:dPr>
                      <m:sepChr m:val=","/>
                    </m:dPr>
                    <m:e>
                      <m:sSup>
                        <m:sSupPr/>
                        <m:e>
                          <m:r>
                            <m:rPr/>
                            <w:rPr>
                              <w:rFonts w:ascii="Cambria Math" w:hAnsi="Cambria Math"/>
                              <w:sz w:val="22"/>
                            </w:rPr>
                            <m:t>10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2"/>
                            </w:rPr>
                            <m:t>−7</m:t>
                          </m:r>
                        </m:sup>
                      </m:sSup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−c</m:t>
                      </m:r>
                    </m:e>
                  </m:d>
                  <m:r>
                    <m:rPr/>
                    <w:rPr>
                      <w:rFonts w:ascii="Cambria Math" w:hAnsi="Cambria Math"/>
                      <w:sz w:val="22"/>
                    </w:rPr>
                    <m:t>,c=</m:t>
                  </m:r>
                  <m:d>
                    <m:dPr>
                      <m:begChr m:val="["/>
                      <m:sepChr m:val=","/>
                      <m:endChr m:val="]"/>
                    </m:dPr>
                    <m:e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Ca</m:t>
                          </m: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2"/>
                            </w:rPr>
                            <m:t>2+</m:t>
                          </m:r>
                        </m:sup>
                      </m:sSup>
                    </m:e>
                  </m:d>
                  <m:r>
                    <m:rPr/>
                    <w:rPr>
                      <w:rFonts w:ascii="Cambria Math" w:hAnsi="Cambria Math"/>
                      <w:sz w:val="22"/>
                    </w:rPr>
                    <m:t>.</m:t>
                  </m:r>
                </m:e>
              </m:eqArr>
            </m:e>
          </m:d>
        </m:oMath>
      </m:oMathPara>
    </w:p>
    <w:p w14:paraId="3B000000">
      <w:pPr>
        <w:widowControl/>
        <w:spacing w:line="360" w:lineRule="auto"/>
        <w:ind w:firstLine="708"/>
        <w:rPr>
          <w:color w:val="000000"/>
        </w:rPr>
      </w:pPr>
    </w:p>
    <w:p w14:paraId="3C000000">
      <w:pPr>
        <w:pStyle w:val="4"/>
      </w:pPr>
      <w:r>
        <w:t>Модель YNI</w:t>
      </w:r>
    </w:p>
    <w:p w14:paraId="3D000000">
      <w:pPr>
        <w:widowControl/>
        <w:spacing w:line="360" w:lineRule="auto"/>
        <w:ind w:firstLine="708"/>
        <w:rPr>
          <w:color w:val="FB290D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Модель описывает автоколебания в клетках-водителях ритма синусового узла </w:t>
      </w:r>
      <w:r>
        <w:rPr>
          <w:color w:val="000000"/>
        </w:rPr>
        <w:t>кролика.</w:t>
      </w:r>
      <w:r>
        <w:rPr>
          <w:color w:val="FF0000"/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Мотивация выбора данной модели – та же самая, что и для модели BR. </w:t>
      </w:r>
      <w:r>
        <w:rPr>
          <w:color w:val="FB290D"/>
        </w:rPr>
        <w:t>Отметим, что изучение моделей кардиоцитов автоколебательной среды является профессиональным интересом авторов в последние годы.</w:t>
      </w:r>
    </w:p>
    <w:p w14:paraId="3E000000">
      <w:pPr>
        <w:widowControl/>
        <w:spacing w:line="360" w:lineRule="auto"/>
        <w:ind w:firstLine="708"/>
      </w:pPr>
      <w:r>
        <w:t>Уравнения детальной модели в общем виде [не пишу систему в общем виде, т.к. целевая аудитория статьи – биофизики, которым не требуется разъяснений]:</w:t>
      </w:r>
    </w:p>
    <w:p w14:paraId="3F000000">
      <w:pPr>
        <w:widowControl/>
        <w:spacing w:line="360" w:lineRule="auto"/>
        <w:ind w:firstLine="708"/>
        <w:jc w:val="center"/>
      </w:pPr>
      <m:oMathPara>
        <m:oMath>
          <m:d>
            <m:dPr>
              <m:begChr m:val="{"/>
              <m:sepChr m:val=","/>
              <m:endChr m:val=""/>
            </m:dPr>
            <m:e>
              <m:eqArr>
                <m:eqArrPr/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C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m</m:t>
                      </m:r>
                    </m:sub>
                  </m:sSub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∂V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∂t</m:t>
                      </m:r>
                    </m:den>
                  </m:f>
                  <m:r>
                    <m:rPr/>
                    <w:rPr>
                      <w:rFonts w:ascii="Cambria Math" w:hAnsi="Cambria Math"/>
                      <w:sz w:val="22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D∆V</m:t>
                  </m:r>
                  <m:r>
                    <m:rPr/>
                    <w:rPr>
                      <w:rFonts w:ascii="Cambria Math" w:hAnsi="Cambria Math"/>
                      <w:sz w:val="22"/>
                    </w:rPr>
                    <m:t>−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ion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stim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,</m:t>
                  </m:r>
                </m:e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ion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≡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Na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h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l</m:t>
                      </m:r>
                    </m:sub>
                  </m:sSub>
                  <m:r>
                    <m:rPr/>
                    <w:rPr>
                      <w:rFonts w:ascii="Cambria Math" w:hAnsi="Cambria Math"/>
                      <w:sz w:val="22"/>
                    </w:rPr>
                    <m:t>,</m:t>
                  </m:r>
                </m:e>
                <m:e>
                  <m:f>
                    <m:fPr/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dg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dt</m:t>
                      </m:r>
                    </m:den>
                  </m:f>
                  <m:r>
                    <m:rPr/>
                    <w:rPr>
                      <w:rFonts w:ascii="Cambria Math" w:hAnsi="Cambria Math"/>
                      <w:sz w:val="22"/>
                    </w:rPr>
                    <m:t>=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α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g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V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1−g</m:t>
                      </m:r>
                    </m:e>
                  </m:d>
                  <m:r>
                    <m:rPr/>
                    <w:rPr>
                      <w:rFonts w:ascii="Cambria Math" w:hAnsi="Cambria Math"/>
                      <w:sz w:val="22"/>
                    </w:rPr>
                    <m:t>−</m:t>
                  </m:r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β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g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V</m:t>
                      </m:r>
                    </m:e>
                  </m:d>
                  <m:r>
                    <m:rPr/>
                    <w:rPr>
                      <w:rFonts w:ascii="Cambria Math" w:hAnsi="Cambria Math"/>
                      <w:sz w:val="22"/>
                    </w:rPr>
                    <m:t>g,</m:t>
                  </m:r>
                </m:e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g=m,h,p,d,f,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q.</m:t>
                  </m:r>
                </m:e>
              </m:eqArr>
            </m:e>
          </m:d>
        </m:oMath>
      </m:oMathPara>
    </w:p>
    <w:p w14:paraId="40000000">
      <w:pPr>
        <w:pStyle w:val="66"/>
        <w:widowControl/>
        <w:spacing w:line="360" w:lineRule="auto"/>
      </w:pPr>
      <w:r>
        <w:t xml:space="preserve">[Это copypaste из статьи по «Сравнению численных методов»] Здесь </w:t>
      </w:r>
      <m:oMath>
        <m:sSub>
          <m:sSubPr/>
          <m:e>
            <m:r>
              <m:rPr/>
              <w:rPr>
                <w:rFonts w:ascii="Cambria Math" w:hAnsi="Cambria Math"/>
                <w:sz w:val="22"/>
              </w:rPr>
              <m:t>C</m:t>
            </m:r>
          </m:e>
          <m:sub>
            <m:r>
              <m:rPr/>
              <w:rPr>
                <w:rFonts w:ascii="Cambria Math" w:hAnsi="Cambria Math"/>
                <w:sz w:val="22"/>
              </w:rPr>
              <m:t>m</m:t>
            </m:r>
          </m:sub>
        </m:sSub>
      </m:oMath>
      <w:r>
        <w:t xml:space="preserve"> – емкость клеточной мембраны, </w:t>
      </w:r>
      <m:oMath>
        <m:r>
          <m:rPr/>
          <w:rPr>
            <w:rFonts w:ascii="Cambria Math" w:hAnsi="Cambria Math"/>
            <w:sz w:val="22"/>
          </w:rPr>
          <m:t>V</m:t>
        </m:r>
      </m:oMath>
      <w:r>
        <w:t xml:space="preserve"> – мембранный потенциал, </w:t>
      </w:r>
      <m:oMath>
        <m:sSub>
          <m:sSubPr/>
          <m:e>
            <m:r>
              <m:rPr/>
              <w:rPr>
                <w:rFonts w:ascii="Cambria Math" w:hAnsi="Cambria Math"/>
                <w:sz w:val="22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>ion</m:t>
            </m:r>
          </m:sub>
        </m:sSub>
      </m:oMath>
      <w:r>
        <w:t xml:space="preserve"> – полный ионный ток,  </w:t>
      </w:r>
      <m:oMath>
        <m:sSub>
          <m:sSubPr/>
          <m:e>
            <m:r>
              <m:rPr/>
              <w:rPr>
                <w:rFonts w:ascii="Cambria Math" w:hAnsi="Cambria Math"/>
                <w:sz w:val="22"/>
              </w:rPr>
              <m:t>g</m:t>
            </m:r>
          </m:e>
          <m:sub>
            <m:r>
              <m:rPr/>
              <w:rPr>
                <w:rFonts w:ascii="Cambria Math" w:hAnsi="Cambria Math"/>
                <w:sz w:val="22"/>
              </w:rPr>
              <m:t>j</m:t>
            </m:r>
          </m:sub>
        </m:sSub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mathit</m:t>
            </m:r>
            <m:r>
              <m:rPr/>
              <w:rPr>
                <w:rFonts w:ascii="Cambria Math" w:hAnsi="Cambria Math"/>
                <w:sz w:val="22"/>
              </w:rPr>
              <m:t>m</m:t>
            </m:r>
          </m:e>
        </m:d>
      </m:oMath>
      <w:r>
        <w:t xml:space="preserve"> – проводимость для </w:t>
      </w:r>
      <m:oMath>
        <m:r>
          <m:rPr/>
          <w:rPr>
            <w:rFonts w:ascii="Cambria Math" w:hAnsi="Cambria Math"/>
            <w:sz w:val="22"/>
          </w:rPr>
          <m:t>j</m:t>
        </m:r>
      </m:oMath>
      <w:r>
        <w:t xml:space="preserve">-го тока (нелинейная функция от вектора воротных переменных </w:t>
      </w:r>
      <m:oMath>
        <m:r>
          <m:rPr>
            <m:sty m:val="p"/>
          </m:rPr>
          <w:rPr>
            <w:rFonts w:ascii="Cambria Math" w:hAnsi="Cambria Math"/>
            <w:sz w:val="22"/>
          </w:rPr>
          <m:t>mathit</m:t>
        </m:r>
        <m:r>
          <m:rPr/>
          <w:rPr>
            <w:rFonts w:ascii="Cambria Math" w:hAnsi="Cambria Math"/>
            <w:sz w:val="22"/>
          </w:rPr>
          <m:t>m</m:t>
        </m:r>
      </m:oMath>
      <w:r>
        <w:t xml:space="preserve">), </w:t>
      </w:r>
      <m:oMath>
        <m:sSub>
          <m:sSubPr/>
          <m:e>
            <m:r>
              <m:rPr/>
              <w:rPr>
                <w:rFonts w:ascii="Cambria Math" w:hAnsi="Cambria Math"/>
                <w:sz w:val="22"/>
              </w:rPr>
              <m:t>E</m:t>
            </m:r>
          </m:e>
          <m:sub>
            <m:r>
              <m:rPr/>
              <w:rPr>
                <w:rFonts w:ascii="Cambria Math" w:hAnsi="Cambria Math"/>
                <w:sz w:val="22"/>
              </w:rPr>
              <m:t>j</m:t>
            </m:r>
          </m:sub>
        </m:sSub>
      </m:oMath>
      <w:r>
        <w:t xml:space="preserve">  – равновесный потенциал для </w:t>
      </w:r>
      <m:oMath>
        <m:r>
          <m:rPr/>
          <w:rPr>
            <w:rFonts w:ascii="Cambria Math" w:hAnsi="Cambria Math"/>
            <w:sz w:val="22"/>
          </w:rPr>
          <m:t>j</m:t>
        </m:r>
      </m:oMath>
      <w:r>
        <w:t xml:space="preserve">-го тока; </w:t>
      </w:r>
      <m:oMath>
        <m:sSub>
          <m:sSubPr/>
          <m:e>
            <m:r>
              <m:rPr/>
              <w:rPr>
                <w:rFonts w:ascii="Cambria Math" w:hAnsi="Cambria Math"/>
                <w:sz w:val="22"/>
              </w:rPr>
              <m:t>α</m:t>
            </m:r>
          </m:e>
          <m:sub>
            <m:r>
              <m:rPr/>
              <w:rPr>
                <w:rFonts w:ascii="Cambria Math" w:hAnsi="Cambria Math"/>
                <w:sz w:val="22"/>
              </w:rPr>
              <m:t>g</m:t>
            </m:r>
          </m:sub>
        </m:sSub>
      </m:oMath>
      <w:r>
        <w:t xml:space="preserve"> и </w:t>
      </w:r>
      <m:oMath>
        <m:sSub>
          <m:sSubPr/>
          <m:e>
            <m:r>
              <m:rPr/>
              <w:rPr>
                <w:rFonts w:ascii="Cambria Math" w:hAnsi="Cambria Math"/>
                <w:sz w:val="22"/>
              </w:rPr>
              <m:t>β</m:t>
            </m:r>
          </m:e>
          <m:sub>
            <m:r>
              <m:rPr/>
              <w:rPr>
                <w:rFonts w:ascii="Cambria Math" w:hAnsi="Cambria Math"/>
                <w:sz w:val="22"/>
              </w:rPr>
              <m:t>g</m:t>
            </m:r>
          </m:sub>
        </m:sSub>
      </m:oMath>
      <w:r>
        <w:t xml:space="preserve"> являются нелинейными функциями от мембранного потенциала </w:t>
      </w:r>
      <m:oMath>
        <m:r>
          <m:rPr/>
          <w:rPr>
            <w:rFonts w:ascii="Cambria Math" w:hAnsi="Cambria Math"/>
            <w:sz w:val="22"/>
          </w:rPr>
          <m:t>V</m:t>
        </m:r>
      </m:oMath>
      <w:r>
        <w:t xml:space="preserve">. Пейсмейкерным током в модели является </w:t>
      </w:r>
      <m:oMath>
        <m:sSub>
          <m:sSubPr/>
          <m:e>
            <m:r>
              <m:rPr/>
              <w:rPr>
                <w:rFonts w:ascii="Cambria Math" w:hAnsi="Cambria Math"/>
                <w:sz w:val="22"/>
              </w:rPr>
              <m:t>I</m:t>
            </m:r>
          </m:e>
          <m:sub>
            <m:r>
              <m:rPr/>
              <w:rPr>
                <w:rFonts w:ascii="Cambria Math" w:hAnsi="Cambria Math"/>
                <w:sz w:val="22"/>
              </w:rPr>
              <m:t>s</m:t>
            </m:r>
          </m:sub>
        </m:sSub>
      </m:oMath>
      <w:r>
        <w:t>. Значения всех параметров модели можно найти в оригинальной работе [статья YNI(1980)].</w:t>
      </w:r>
    </w:p>
    <w:p w14:paraId="41000000">
      <w:pPr>
        <w:pStyle w:val="4"/>
      </w:pPr>
      <w:r>
        <w:t>Начальные условия</w:t>
      </w:r>
    </w:p>
    <w:p w14:paraId="42000000">
      <w:pPr>
        <w:widowControl/>
        <w:ind w:firstLine="708"/>
        <w:rPr>
          <w:color w:val="FF0000"/>
        </w:rPr>
      </w:pPr>
      <w:r>
        <w:t xml:space="preserve">Для всех моделей начальное условие в точках сетки задавалось с помощью введения понятия </w:t>
      </w:r>
      <w:r>
        <w:rPr>
          <w:i/>
        </w:rPr>
        <w:t>фазы</w:t>
      </w:r>
      <w:r>
        <w:t xml:space="preserve"> </w:t>
      </w:r>
      <m:oMath>
        <m:r>
          <m:rPr/>
          <w:rPr>
            <w:rFonts w:ascii="Cambria Math" w:hAnsi="Cambria Math"/>
            <w:sz w:val="22"/>
          </w:rPr>
          <m:t>φ</m:t>
        </m:r>
        <m:d>
          <m:dPr>
            <m:sepChr m:val=","/>
          </m:dPr>
          <m:e>
            <m:r>
              <m:rPr/>
              <w:rPr>
                <w:rFonts w:ascii="Cambria Math" w:hAnsi="Cambria Math"/>
                <w:sz w:val="22"/>
              </w:rPr>
              <m:t>t</m:t>
            </m:r>
          </m:e>
        </m:d>
        <m:r>
          <m:rPr/>
          <w:rPr>
            <w:rFonts w:ascii="Cambria Math" w:hAnsi="Cambria Math"/>
            <w:sz w:val="22"/>
          </w:rPr>
          <m:t>≡ωt+</m:t>
        </m:r>
        <m:sSub>
          <m:sSubPr/>
          <m:e>
            <m:r>
              <m:rPr/>
              <w:rPr>
                <w:rFonts w:ascii="Cambria Math" w:hAnsi="Cambria Math"/>
                <w:sz w:val="22"/>
              </w:rPr>
              <m:t>φ</m:t>
            </m:r>
          </m:e>
          <m:sub>
            <m:r>
              <m:rPr/>
              <w:rPr>
                <w:rFonts w:ascii="Cambria Math" w:hAnsi="Cambria Math"/>
                <w:sz w:val="22"/>
              </w:rPr>
              <m:t>0</m:t>
            </m:r>
          </m:sub>
        </m:sSub>
      </m:oMath>
      <w:r>
        <w:t xml:space="preserve">, </w:t>
      </w:r>
      <w:r>
        <w:rPr>
          <w:color w:val="000000"/>
        </w:rPr>
        <w:t>для которой должны выполняться следующие неявные соотношения:</w:t>
      </w:r>
    </w:p>
    <w:p w14:paraId="43000000">
      <w:pPr>
        <w:rPr>
          <w:i/>
        </w:rPr>
      </w:pPr>
      <m:oMathPara>
        <m:oMath>
          <m:r>
            <m:rPr/>
            <w:rPr>
              <w:rFonts w:ascii="Cambria Math" w:hAnsi="Cambria Math"/>
              <w:sz w:val="22"/>
            </w:rPr>
            <m:t>V</m:t>
          </m:r>
          <m:d>
            <m:dPr>
              <m:sepChr m:val=","/>
            </m:dPr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</m:e>
          </m:d>
          <m:r>
            <m:rPr/>
            <w:rPr>
              <w:rFonts w:ascii="Cambria Math" w:hAnsi="Cambria Math"/>
              <w:sz w:val="22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threshold</m:t>
              </m:r>
            </m:sub>
          </m:sSub>
          <m:r>
            <m:rPr/>
            <w:rPr>
              <w:rFonts w:ascii="Cambria Math" w:hAnsi="Cambria Math"/>
              <w:sz w:val="22"/>
            </w:rPr>
            <m:t>,</m:t>
          </m:r>
          <m:r>
            <m:rPr>
              <m:sty m:val="p"/>
            </m:rPr>
            <w:rPr>
              <w:rFonts w:ascii="Cambria Math" w:hAnsi="Cambria Math"/>
              <w:sz w:val="22"/>
            </w:rPr>
            <m:t>raisebox</m:t>
          </m:r>
          <m:r>
            <m:rPr/>
            <w:rPr>
              <w:rFonts w:ascii="Cambria Math" w:hAnsi="Cambria Math"/>
              <w:sz w:val="22"/>
            </w:rPr>
            <m:t>1</m:t>
          </m:r>
          <m:r>
            <m:rPr>
              <m:sty m:val="p"/>
            </m:rPr>
            <w:rPr>
              <w:rFonts w:ascii="Cambria Math" w:hAnsi="Cambria Math"/>
              <w:sz w:val="22"/>
            </w:rPr>
            <m:t>exdV</m:t>
          </m:r>
          <m:d>
            <m:dPr>
              <m:begChr m:val="/"/>
              <m:sepChr m:val=","/>
              <m:endChr m:val=""/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raisebox</m:t>
              </m:r>
              <m:r>
                <m:rPr/>
                <w:rPr>
                  <w:rFonts w:ascii="Cambria Math" w:hAnsi="Cambria Math"/>
                  <w:sz w:val="22"/>
                </w:rPr>
                <m:t>−1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exdt</m:t>
              </m:r>
            </m:e>
          </m:d>
          <m:d>
            <m:dPr>
              <m:sepChr m:val=","/>
            </m:dPr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</m:e>
          </m:d>
          <m:r>
            <m:rPr/>
            <w:rPr>
              <w:rFonts w:ascii="Cambria Math" w:hAnsi="Cambria Math"/>
              <w:sz w:val="22"/>
            </w:rPr>
            <m:t>&gt;0,</m:t>
          </m:r>
          <m:r>
            <m:rPr>
              <m:sty m:val="p"/>
            </m:rPr>
            <w:rPr>
              <w:rFonts w:ascii="Cambria Math" w:hAnsi="Cambria Math"/>
              <w:sz w:val="22"/>
            </w:rPr>
            <m:t>где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0</m:t>
              </m:r>
            </m:sub>
          </m:sSub>
          <m:r>
            <m:rPr/>
            <w:rPr>
              <w:rFonts w:ascii="Cambria Math" w:hAnsi="Cambria Math"/>
              <w:sz w:val="22"/>
            </w:rPr>
            <m:t>=t</m:t>
          </m:r>
          <m:d>
            <m:dPr>
              <m:sepChr m:val=","/>
            </m:dPr>
            <m:e>
              <m:r>
                <m:rPr/>
                <w:rPr>
                  <w:rFonts w:ascii="Cambria Math" w:hAnsi="Cambria Math"/>
                  <w:sz w:val="22"/>
                </w:rPr>
                <m:t>φ=0</m:t>
              </m:r>
            </m:e>
          </m:d>
          <m:r>
            <m:rPr/>
            <w:rPr>
              <w:rFonts w:ascii="Cambria Math" w:hAnsi="Cambria Math"/>
              <w:sz w:val="22"/>
            </w:rPr>
            <m:t>,</m:t>
          </m:r>
        </m:oMath>
      </m:oMathPara>
    </w:p>
    <w:p w14:paraId="44000000">
      <m:oMathPara>
        <m:oMath>
          <m:r>
            <m:rPr/>
            <w:rPr>
              <w:rFonts w:ascii="Cambria Math" w:hAnsi="Cambria Math"/>
              <w:sz w:val="22"/>
            </w:rPr>
            <m:t>V</m:t>
          </m:r>
          <m:d>
            <m:dPr>
              <m:sepChr m:val=","/>
            </m:dPr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/>
                      <w:sz w:val="22"/>
                    </w:rPr>
                    <m:t>1</m:t>
                  </m:r>
                </m:sub>
              </m:sSub>
            </m:e>
          </m:d>
          <m:r>
            <m:rPr/>
            <w:rPr>
              <w:rFonts w:ascii="Cambria Math" w:hAnsi="Cambria Math"/>
              <w:sz w:val="22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threshold</m:t>
              </m:r>
            </m:sub>
          </m:sSub>
          <m:r>
            <m:rPr/>
            <w:rPr>
              <w:rFonts w:ascii="Cambria Math" w:hAnsi="Cambria Math"/>
              <w:sz w:val="22"/>
            </w:rPr>
            <m:t>,</m:t>
          </m:r>
          <m:r>
            <m:rPr>
              <m:sty m:val="p"/>
            </m:rPr>
            <w:rPr>
              <w:rFonts w:ascii="Cambria Math" w:hAnsi="Cambria Math"/>
              <w:sz w:val="22"/>
            </w:rPr>
            <m:t>raisebox</m:t>
          </m:r>
          <m:r>
            <m:rPr/>
            <w:rPr>
              <w:rFonts w:ascii="Cambria Math" w:hAnsi="Cambria Math"/>
              <w:sz w:val="22"/>
            </w:rPr>
            <m:t>1</m:t>
          </m:r>
          <m:r>
            <m:rPr>
              <m:sty m:val="p"/>
            </m:rPr>
            <w:rPr>
              <w:rFonts w:ascii="Cambria Math" w:hAnsi="Cambria Math"/>
              <w:sz w:val="22"/>
            </w:rPr>
            <m:t>exdV</m:t>
          </m:r>
          <m:d>
            <m:dPr>
              <m:begChr m:val="/"/>
              <m:sepChr m:val=","/>
              <m:endChr m:val=""/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raisebox</m:t>
              </m:r>
              <m:r>
                <m:rPr/>
                <w:rPr>
                  <w:rFonts w:ascii="Cambria Math" w:hAnsi="Cambria Math"/>
                  <w:sz w:val="22"/>
                </w:rPr>
                <m:t>−1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exdt</m:t>
              </m:r>
            </m:e>
          </m:d>
          <m:d>
            <m:dPr>
              <m:sepChr m:val=","/>
            </m:dPr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/>
                      <w:sz w:val="22"/>
                    </w:rPr>
                    <m:t>1</m:t>
                  </m:r>
                </m:sub>
              </m:sSub>
            </m:e>
          </m:d>
          <m:r>
            <m:rPr/>
            <w:rPr>
              <w:rFonts w:ascii="Cambria Math" w:hAnsi="Cambria Math"/>
              <w:sz w:val="22"/>
            </w:rPr>
            <m:t>&gt;0,</m:t>
          </m:r>
          <m:r>
            <m:rPr>
              <m:sty m:val="p"/>
            </m:rPr>
            <w:rPr>
              <w:rFonts w:ascii="Cambria Math" w:hAnsi="Cambria Math"/>
              <w:sz w:val="22"/>
            </w:rPr>
            <m:t>где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m:rPr/>
            <w:rPr>
              <w:rFonts w:ascii="Cambria Math" w:hAnsi="Cambria Math"/>
              <w:sz w:val="22"/>
            </w:rPr>
            <m:t>=t</m:t>
          </m:r>
          <m:d>
            <m:dPr>
              <m:sepChr m:val=","/>
            </m:dPr>
            <m:e>
              <m:r>
                <m:rPr/>
                <w:rPr>
                  <w:rFonts w:ascii="Cambria Math" w:hAnsi="Cambria Math"/>
                  <w:sz w:val="22"/>
                </w:rPr>
                <m:t>φ=2π</m:t>
              </m:r>
            </m:e>
          </m:d>
          <m:r>
            <m:rPr/>
            <w:rPr>
              <w:rFonts w:ascii="Cambria Math" w:hAnsi="Cambria Math"/>
              <w:sz w:val="22"/>
            </w:rPr>
            <m:t>.</m:t>
          </m:r>
        </m:oMath>
      </m:oMathPara>
    </w:p>
    <w:p w14:paraId="45000000">
      <w:pPr>
        <w:rPr>
          <w:color w:val="000000"/>
        </w:rPr>
      </w:pPr>
      <w:r>
        <w:rPr>
          <w:color w:val="000000"/>
        </w:rPr>
        <w:t xml:space="preserve">Для того, чтобы </w:t>
      </w:r>
      <w:r>
        <w:rPr>
          <w:color w:val="FF0000"/>
        </w:rPr>
        <w:t>получить</w:t>
      </w:r>
      <w:r>
        <w:rPr>
          <w:color w:val="000000"/>
        </w:rPr>
        <w:t xml:space="preserve"> реентри, требуется в каждой точке </w:t>
      </w:r>
      <m:oMath>
        <m:r>
          <m:rPr/>
          <w:rPr>
            <w:rFonts w:ascii="Cambria Math" w:hAnsi="Cambria Math"/>
            <w:sz w:val="22"/>
          </w:rPr>
          <m:t>(x,y)</m:t>
        </m:r>
      </m:oMath>
      <w:r>
        <w:rPr>
          <w:color w:val="000000"/>
        </w:rPr>
        <w:t xml:space="preserve"> расчётной области задать фазу, равную углу точки в полярных координатах (с началом координат в центре области).</w:t>
      </w:r>
    </w:p>
    <w:p w14:paraId="46000000">
      <w:pPr>
        <w:pStyle w:val="3"/>
      </w:pPr>
      <w:r>
        <w:t>Численные методы</w:t>
      </w:r>
    </w:p>
    <w:p w14:paraId="47000000">
      <w:r>
        <w:t>Дискретизация по пространству производилась с использованием стандартного конечно-разностного шаблона «крест». Для дискретизации по времени в зависимости от модели использовались методы:</w:t>
      </w:r>
    </w:p>
    <w:p w14:paraId="48000000">
      <w:pPr>
        <w:numPr>
          <w:ilvl w:val="0"/>
          <w:numId w:val="4"/>
        </w:numPr>
      </w:pPr>
      <w:r>
        <w:t>модель AP: явный метод Эйлера;</w:t>
      </w:r>
    </w:p>
    <w:p w14:paraId="49000000">
      <w:pPr>
        <w:numPr>
          <w:ilvl w:val="0"/>
          <w:numId w:val="4"/>
        </w:numPr>
      </w:pPr>
      <w:r>
        <w:t xml:space="preserve">модель BR: метод Раша-Ларсена (для уравнений на </w:t>
      </w:r>
      <m:oMath>
        <m:r>
          <m:rPr/>
          <w:rPr>
            <w:rFonts w:ascii="Cambria Math" w:hAnsi="Cambria Math"/>
            <w:sz w:val="24"/>
          </w:rPr>
          <m:t>V</m:t>
        </m:r>
      </m:oMath>
      <w:r>
        <w:t xml:space="preserve"> и </w:t>
      </w:r>
      <m:oMath>
        <m:r>
          <m:rPr>
            <m:sty m:val="b"/>
          </m:rPr>
          <w:rPr>
            <w:rFonts w:ascii="Cambria Math" w:hAnsi="Cambria Math"/>
            <w:sz w:val="25"/>
          </w:rPr>
          <m:t>g</m:t>
        </m:r>
      </m:oMath>
      <w:r>
        <w:t xml:space="preserve">) и явный метод Эйлера (для </w:t>
      </w:r>
      <m:oMath>
        <m:sSup>
          <m:sSupPr/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Ca</m:t>
            </m:r>
          </m:e>
          <m:sup>
            <m:r>
              <m:rPr/>
              <w:rPr>
                <w:rFonts w:ascii="Cambria Math" w:hAnsi="Cambria Math"/>
                <w:sz w:val="24"/>
              </w:rPr>
              <m:t>2+</m:t>
            </m:r>
          </m:sup>
        </m:sSup>
      </m:oMath>
      <w:r>
        <w:t>);</w:t>
      </w:r>
    </w:p>
    <w:p w14:paraId="4A000000">
      <w:pPr>
        <w:numPr>
          <w:ilvl w:val="0"/>
          <w:numId w:val="4"/>
        </w:numPr>
      </w:pPr>
      <w:r>
        <w:t xml:space="preserve">модель YNI: метод Раша-Ларсена (для уравнений на </w:t>
      </w:r>
      <m:oMath>
        <m:r>
          <m:rPr/>
          <w:rPr>
            <w:rFonts w:ascii="Cambria Math" w:hAnsi="Cambria Math"/>
            <w:sz w:val="24"/>
          </w:rPr>
          <m:t>V</m:t>
        </m:r>
      </m:oMath>
      <w:r>
        <w:t xml:space="preserve"> и </w:t>
      </w:r>
      <m:oMath>
        <m:r>
          <m:rPr/>
          <w:rPr>
            <w:rFonts w:ascii="Cambria Math" w:hAnsi="Cambria Math"/>
            <w:sz w:val="24"/>
          </w:rPr>
          <m:t>g</m:t>
        </m:r>
      </m:oMath>
      <w:r>
        <w:t>).</w:t>
      </w:r>
    </w:p>
    <w:p w14:paraId="4B000000">
      <w:r>
        <w:t xml:space="preserve">Использование метода Раша-Ларсена [ссылка] </w:t>
      </w:r>
      <w:r>
        <w:rPr>
          <w:rFonts w:ascii="Times New Roman" w:hAnsi="Times New Roman"/>
          <w:spacing w:val="0"/>
          <w:sz w:val="24"/>
        </w:rPr>
        <w:t xml:space="preserve">– </w:t>
      </w:r>
      <w:r>
        <w:t xml:space="preserve">широко распространенная практика при решении задач электрофизиологии): для интегрирования уравнений на воротные переменные использовался экспоненциальный интегратор, а для уравнения на мембранный потенциал </w:t>
      </w:r>
      <m:oMath>
        <m:r>
          <m:rPr/>
          <w:rPr>
            <w:rFonts w:ascii="Cambria Math" w:hAnsi="Cambria Math"/>
            <w:sz w:val="24"/>
          </w:rPr>
          <m:t>V</m:t>
        </m:r>
      </m:oMath>
      <w:r>
        <w:t xml:space="preserve"> – явный метод Эйлера. Не смотря на свою простоту, данный метод  является одной из самых эффективных схем для численного интегрирования уравнений в данной предметной области [ссылка1, ссылка2, …].</w:t>
      </w:r>
    </w:p>
    <w:p w14:paraId="4C000000">
      <w:pPr>
        <w:pStyle w:val="2"/>
      </w:pPr>
      <w:r>
        <w:t>Программная реализация на GPU</w:t>
      </w:r>
    </w:p>
    <w:p w14:paraId="4D000000">
      <w:pPr>
        <w:widowControl/>
        <w:spacing w:line="360" w:lineRule="auto"/>
        <w:ind w:firstLine="708"/>
      </w:pPr>
      <w:r>
        <w:t>Часть программы (выделение памяти, задание начальных условий, перенос данных на GPU) выполняется на CPU, основные ресурсоемкие вычисления – на GPU. При распараллеливании программ используются термины host (для управляющего CPU) и device (для GPU). В GPU-программе можно выделить основные этапы:</w:t>
      </w:r>
    </w:p>
    <w:p w14:paraId="4E000000">
      <w:pPr>
        <w:pStyle w:val="62"/>
        <w:widowControl/>
        <w:numPr>
          <w:ilvl w:val="0"/>
          <w:numId w:val="5"/>
        </w:numPr>
        <w:spacing w:line="360" w:lineRule="auto"/>
      </w:pPr>
      <w:r>
        <w:t>Выделение памяти на host и device</w:t>
      </w:r>
    </w:p>
    <w:p w14:paraId="4F000000">
      <w:pPr>
        <w:pStyle w:val="62"/>
        <w:widowControl/>
        <w:numPr>
          <w:ilvl w:val="0"/>
          <w:numId w:val="5"/>
        </w:numPr>
        <w:spacing w:line="360" w:lineRule="auto"/>
      </w:pPr>
      <w:r>
        <w:t>Инициализация начальных условий на host</w:t>
      </w:r>
    </w:p>
    <w:p w14:paraId="50000000">
      <w:pPr>
        <w:pStyle w:val="62"/>
        <w:widowControl/>
        <w:numPr>
          <w:ilvl w:val="0"/>
          <w:numId w:val="5"/>
        </w:numPr>
        <w:spacing w:line="360" w:lineRule="auto"/>
      </w:pPr>
      <w:r>
        <w:t>Перенос начальных условий с host на device</w:t>
      </w:r>
    </w:p>
    <w:p w14:paraId="51000000">
      <w:pPr>
        <w:pStyle w:val="62"/>
        <w:widowControl/>
        <w:numPr>
          <w:ilvl w:val="0"/>
          <w:numId w:val="5"/>
        </w:numPr>
        <w:spacing w:line="360" w:lineRule="auto"/>
      </w:pPr>
      <w:r>
        <w:t>Запуск функции-ядра на device, проводящую расчеты</w:t>
      </w:r>
    </w:p>
    <w:p w14:paraId="52000000">
      <w:pPr>
        <w:pStyle w:val="62"/>
        <w:widowControl/>
        <w:numPr>
          <w:ilvl w:val="0"/>
          <w:numId w:val="5"/>
        </w:numPr>
        <w:spacing w:line="360" w:lineRule="auto"/>
      </w:pPr>
      <w:r>
        <w:t>Выгрузка результатов обратно на host</w:t>
      </w:r>
    </w:p>
    <w:p w14:paraId="53000000">
      <w:pPr>
        <w:pStyle w:val="62"/>
        <w:widowControl/>
        <w:numPr>
          <w:ilvl w:val="0"/>
          <w:numId w:val="5"/>
        </w:numPr>
        <w:spacing w:line="360" w:lineRule="auto"/>
      </w:pPr>
      <w:r>
        <w:t>Пост-обработка результатов на host.</w:t>
      </w:r>
    </w:p>
    <w:p w14:paraId="54000000">
      <w:pPr>
        <w:pStyle w:val="4"/>
      </w:pPr>
      <w:r>
        <w:t>Подробное описание GPU-алгоритма</w:t>
      </w:r>
    </w:p>
    <w:p w14:paraId="55000000">
      <w:pPr>
        <w:widowControl/>
        <w:spacing w:line="360" w:lineRule="auto"/>
        <w:ind w:firstLine="708"/>
      </w:pPr>
      <w:r>
        <w:t xml:space="preserve">В программе каждому узлу расчетной сетки ставится в соответствие своя нить, проводящая вычисления всех ассоциированных с узлом сетки </w:t>
      </w:r>
      <w:r>
        <w:rPr>
          <w:color w:val="FF0000"/>
        </w:rPr>
        <w:t>(элементарным объемом)</w:t>
      </w:r>
      <w:r>
        <w:t xml:space="preserve"> переменных. </w:t>
      </w:r>
      <w:r>
        <w:rPr>
          <w:color w:val="FF0000"/>
        </w:rPr>
        <w:t>Алгоритм:</w:t>
      </w:r>
    </w:p>
    <w:p w14:paraId="56000000">
      <w:pPr>
        <w:widowControl/>
        <w:numPr>
          <w:ilvl w:val="0"/>
          <w:numId w:val="6"/>
        </w:numPr>
        <w:spacing w:line="360" w:lineRule="auto"/>
        <w:rPr>
          <w:color w:val="FF0000"/>
        </w:rPr>
      </w:pPr>
      <w:r>
        <w:rPr>
          <w:color w:val="FF0000"/>
        </w:rPr>
        <w:t>Расчет начальных (стационарных) значений ионных концентраций.</w:t>
      </w:r>
    </w:p>
    <w:p w14:paraId="57000000">
      <w:pPr>
        <w:widowControl/>
        <w:numPr>
          <w:ilvl w:val="0"/>
          <w:numId w:val="6"/>
        </w:numPr>
        <w:spacing w:line="360" w:lineRule="auto"/>
        <w:rPr>
          <w:color w:val="FF0000"/>
        </w:rPr>
      </w:pPr>
      <w:r>
        <w:rPr>
          <w:color w:val="FF0000"/>
        </w:rPr>
        <w:t>Инициализация начальных условий</w:t>
      </w:r>
    </w:p>
    <w:p w14:paraId="58000000">
      <w:pPr>
        <w:widowControl/>
        <w:numPr>
          <w:ilvl w:val="0"/>
          <w:numId w:val="6"/>
        </w:numPr>
        <w:spacing w:line="360" w:lineRule="auto"/>
      </w:pPr>
      <w:r>
        <w:t>Цикл по времени. На каждом шаге по времени:</w:t>
      </w:r>
    </w:p>
    <w:p w14:paraId="59000000">
      <w:pPr>
        <w:widowControl/>
        <w:numPr>
          <w:ilvl w:val="1"/>
          <w:numId w:val="6"/>
        </w:numPr>
        <w:spacing w:line="360" w:lineRule="auto"/>
      </w:pPr>
      <w:r>
        <w:t xml:space="preserve">Расчет вектора </w:t>
      </w:r>
      <m:oMath>
        <m:sSup>
          <m:sSupPr/>
          <m:e>
            <m:r>
              <m:rPr/>
              <w:rPr>
                <w:rFonts w:ascii="Cambria Math" w:hAnsi="Cambria Math"/>
                <w:sz w:val="22"/>
              </w:rPr>
              <m:t>g</m:t>
            </m:r>
          </m:e>
          <m:sup>
            <m:r>
              <m:rPr/>
              <w:rPr>
                <w:rFonts w:ascii="Cambria Math" w:hAnsi="Cambria Math"/>
                <w:sz w:val="22"/>
              </w:rPr>
              <m:t>n+1</m:t>
            </m:r>
          </m:sup>
        </m:sSup>
        <m:r>
          <m:rPr/>
          <w:rPr>
            <w:rFonts w:ascii="Cambria Math" w:hAnsi="Cambria Math"/>
            <w:sz w:val="22"/>
          </w:rPr>
          <m:t>,</m:t>
        </m:r>
      </m:oMath>
      <w:r>
        <w:t xml:space="preserve"> реакционной части уравнения на </w:t>
      </w:r>
      <m:oMath>
        <m:sSup>
          <m:sSupPr/>
          <m:e>
            <m:r>
              <m:rPr/>
              <w:rPr>
                <w:rFonts w:ascii="Cambria Math" w:hAnsi="Cambria Math"/>
                <w:sz w:val="22"/>
              </w:rPr>
              <m:t>V</m:t>
            </m:r>
          </m:e>
          <m:sup>
            <m:r>
              <m:rPr/>
              <w:rPr>
                <w:rFonts w:ascii="Cambria Math" w:hAnsi="Cambria Math"/>
                <w:sz w:val="22"/>
              </w:rPr>
              <m:t>n+1</m:t>
            </m:r>
          </m:sup>
        </m:sSup>
      </m:oMath>
      <w:r>
        <w:t>,</w:t>
      </w:r>
      <m:oMath>
        <m:sSup>
          <m:sSupPr/>
          <m:e>
            <m:d>
              <m:dPr>
                <m:begChr m:val="["/>
                <m:sepChr m:val=","/>
                <m:endChr m:val="]"/>
              </m:dPr>
              <m:e>
                <m:r>
                  <m:rPr/>
                  <w:rPr>
                    <w:rFonts w:ascii="Cambria Math" w:hAnsi="Cambria Math"/>
                    <w:sz w:val="22"/>
                  </w:rPr>
                  <m:t>c</m:t>
                </m:r>
              </m:e>
            </m:d>
          </m:e>
          <m:sup>
            <m:r>
              <m:rPr/>
              <w:rPr>
                <w:rFonts w:ascii="Cambria Math" w:hAnsi="Cambria Math"/>
                <w:sz w:val="22"/>
              </w:rPr>
              <m:t>n+1</m:t>
            </m:r>
          </m:sup>
        </m:sSup>
      </m:oMath>
    </w:p>
    <w:p w14:paraId="5A000000">
      <w:pPr>
        <w:widowControl/>
        <w:numPr>
          <w:ilvl w:val="1"/>
          <w:numId w:val="6"/>
        </w:numPr>
        <w:spacing w:line="360" w:lineRule="auto"/>
      </w:pPr>
      <w:r>
        <w:t xml:space="preserve">Расчет «диффузионной» части уравнения на </w:t>
      </w:r>
      <m:oMath>
        <m:sSup>
          <m:sSupPr/>
          <m:e>
            <m:r>
              <m:rPr/>
              <w:rPr>
                <w:rFonts w:ascii="Cambria Math" w:hAnsi="Cambria Math"/>
                <w:sz w:val="22"/>
              </w:rPr>
              <m:t>V</m:t>
            </m:r>
          </m:e>
          <m:sup>
            <m:r>
              <m:rPr/>
              <w:rPr>
                <w:rFonts w:ascii="Cambria Math" w:hAnsi="Cambria Math"/>
                <w:sz w:val="22"/>
              </w:rPr>
              <m:t>n+1</m:t>
            </m:r>
          </m:sup>
        </m:sSup>
      </m:oMath>
    </w:p>
    <w:p w14:paraId="5B000000">
      <w:pPr>
        <w:widowControl/>
        <w:numPr>
          <w:ilvl w:val="1"/>
          <w:numId w:val="6"/>
        </w:numPr>
        <w:spacing w:line="360" w:lineRule="auto"/>
      </w:pPr>
      <w:r>
        <w:t xml:space="preserve">Вычисление граничных условий для </w:t>
      </w:r>
      <m:oMath>
        <m:sSup>
          <m:sSupPr/>
          <m:e>
            <m:r>
              <m:rPr/>
              <w:rPr>
                <w:rFonts w:ascii="Cambria Math" w:hAnsi="Cambria Math"/>
                <w:sz w:val="22"/>
              </w:rPr>
              <m:t>V</m:t>
            </m:r>
          </m:e>
          <m:sup>
            <m:r>
              <m:rPr/>
              <w:rPr>
                <w:rFonts w:ascii="Cambria Math" w:hAnsi="Cambria Math"/>
                <w:sz w:val="22"/>
              </w:rPr>
              <m:t>n+1</m:t>
            </m:r>
          </m:sup>
        </m:sSup>
      </m:oMath>
      <w:r>
        <w:t xml:space="preserve"> (нулевой ток): </w:t>
      </w:r>
      <w:r>
        <w:rPr>
          <w:color w:val="FF0000"/>
        </w:rPr>
        <w:t>ghost-ячейки</w:t>
      </w:r>
    </w:p>
    <w:p w14:paraId="5C000000">
      <w:pPr>
        <w:widowControl/>
        <w:numPr>
          <w:ilvl w:val="1"/>
          <w:numId w:val="6"/>
        </w:numPr>
        <w:spacing w:line="360" w:lineRule="auto"/>
      </w:pPr>
      <w:r>
        <w:t xml:space="preserve">Вывод </w:t>
      </w:r>
      <m:oMath>
        <m:sSup>
          <m:sSupPr/>
          <m:e>
            <m:r>
              <m:rPr/>
              <w:rPr>
                <w:rFonts w:ascii="Cambria Math" w:hAnsi="Cambria Math"/>
                <w:sz w:val="22"/>
              </w:rPr>
              <m:t>V</m:t>
            </m:r>
          </m:e>
          <m:sup>
            <m:r>
              <m:rPr/>
              <w:rPr>
                <w:rFonts w:ascii="Cambria Math" w:hAnsi="Cambria Math"/>
                <w:sz w:val="22"/>
              </w:rPr>
              <m:t>n+1</m:t>
            </m:r>
          </m:sup>
        </m:sSup>
      </m:oMath>
      <w:r>
        <w:t xml:space="preserve"> на host и печать в файл</w:t>
      </w:r>
    </w:p>
    <w:p w14:paraId="5D000000">
      <w:pPr>
        <w:pStyle w:val="62"/>
        <w:widowControl/>
        <w:numPr>
          <w:ilvl w:val="0"/>
          <w:numId w:val="6"/>
        </w:numPr>
        <w:spacing w:line="360" w:lineRule="auto"/>
        <w:rPr>
          <w:sz w:val="24"/>
        </w:rPr>
      </w:pPr>
      <w:r>
        <w:rPr>
          <w:sz w:val="24"/>
        </w:rPr>
        <w:t>Очистка памяти на host и device</w:t>
      </w:r>
    </w:p>
    <w:p w14:paraId="5E000000">
      <w:pPr>
        <w:widowControl/>
        <w:numPr>
          <w:ilvl w:val="0"/>
          <w:numId w:val="6"/>
        </w:numPr>
        <w:spacing w:line="360" w:lineRule="auto"/>
      </w:pPr>
      <w:r>
        <w:t>Пост-обработка результатов.</w:t>
      </w:r>
    </w:p>
    <w:p w14:paraId="5F000000">
      <w:pPr>
        <w:widowControl/>
        <w:spacing w:line="360" w:lineRule="auto"/>
      </w:pPr>
    </w:p>
    <w:p w14:paraId="60000000">
      <w:pPr>
        <w:keepNext/>
        <w:widowControl/>
        <w:spacing w:line="360" w:lineRule="auto"/>
        <w:jc w:val="center"/>
      </w:pPr>
      <w:r>
        <w:drawing>
          <wp:inline distT="0" distB="0" distL="114300" distR="114300">
            <wp:extent cx="4994910" cy="210058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rcRect b="18342"/>
                    <a:stretch>
                      <a:fillRect/>
                    </a:stretch>
                  </pic:blipFill>
                  <pic:spPr>
                    <a:xfrm>
                      <a:off x="0" y="0"/>
                      <a:ext cx="4995218" cy="210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0000">
      <w:pPr>
        <w:pStyle w:val="19"/>
      </w:pPr>
      <w:r>
        <w:t>Рис. 1 Псевдокод последовательной программы [СТОРОННИЙ РИСУНОК].</w:t>
      </w:r>
    </w:p>
    <w:p w14:paraId="62000000">
      <w:pPr>
        <w:widowControl/>
        <w:spacing w:line="360" w:lineRule="auto"/>
      </w:pPr>
    </w:p>
    <w:p w14:paraId="63000000">
      <w:pPr>
        <w:keepNext/>
        <w:widowControl/>
        <w:spacing w:line="360" w:lineRule="auto"/>
        <w:jc w:val="center"/>
      </w:pPr>
      <w:r>
        <w:drawing>
          <wp:inline distT="0" distB="0" distL="114300" distR="114300">
            <wp:extent cx="4321175" cy="285877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1629" cy="285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0000">
      <w:pPr>
        <w:widowControl/>
        <w:spacing w:line="360" w:lineRule="auto"/>
        <w:jc w:val="center"/>
      </w:pPr>
      <w:r>
        <w:t>Рис. 2 Псевдокод параллельной программы [СТОРОННИЙ РИСУНОК]</w:t>
      </w:r>
    </w:p>
    <w:p w14:paraId="65000000">
      <w:pPr>
        <w:pStyle w:val="19"/>
      </w:pPr>
    </w:p>
    <w:p w14:paraId="66000000">
      <w:pPr>
        <w:widowControl/>
        <w:spacing w:line="360" w:lineRule="auto"/>
      </w:pPr>
    </w:p>
    <w:p w14:paraId="67000000">
      <w:pPr>
        <w:pStyle w:val="4"/>
      </w:pPr>
      <w:r>
        <w:t>Оптимизация GPU-программы</w:t>
      </w:r>
    </w:p>
    <w:p w14:paraId="68000000">
      <w:pPr>
        <w:widowControl/>
        <w:spacing w:line="360" w:lineRule="auto"/>
        <w:ind w:firstLine="708"/>
      </w:pPr>
      <w:r>
        <w:t xml:space="preserve">Программа была написана на языке Си </w:t>
      </w:r>
      <w:r>
        <w:rPr>
          <w:color w:val="FF0000"/>
        </w:rPr>
        <w:t xml:space="preserve">(C99) </w:t>
      </w:r>
      <w:r>
        <w:t xml:space="preserve">и организована следующим образом: </w:t>
      </w:r>
    </w:p>
    <w:p w14:paraId="69000000">
      <w:pPr>
        <w:pStyle w:val="62"/>
        <w:widowControl/>
        <w:numPr>
          <w:ilvl w:val="0"/>
          <w:numId w:val="7"/>
        </w:numPr>
        <w:spacing w:line="360" w:lineRule="auto"/>
      </w:pPr>
      <w:r>
        <w:t xml:space="preserve">для каждой из переменных </w:t>
      </w:r>
      <m:oMath>
        <m:r>
          <m:rPr/>
          <w:rPr>
            <w:rFonts w:ascii="Cambria Math" w:hAnsi="Cambria Math"/>
            <w:sz w:val="22"/>
          </w:rPr>
          <m:t>V</m:t>
        </m:r>
      </m:oMath>
      <w:r>
        <w:t xml:space="preserve">, </w:t>
      </w:r>
      <m:oMath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/>
                <w:sz w:val="22"/>
              </w:rPr>
              <m:t>g</m:t>
            </m:r>
          </m:e>
        </m:d>
      </m:oMath>
      <w:r>
        <w:t xml:space="preserve">, </w:t>
      </w:r>
      <m:oMath>
        <m:sSub>
          <m:sSubPr/>
          <m:e>
            <m:r>
              <m:rPr/>
              <w:rPr>
                <w:rFonts w:ascii="Cambria Math" w:hAnsi="Cambria Math"/>
                <w:sz w:val="22"/>
              </w:rPr>
              <m:t>I</m:t>
            </m:r>
          </m:e>
          <m:sub>
            <m:r>
              <m:rPr/>
              <w:rPr>
                <w:rFonts w:ascii="Cambria Math" w:hAnsi="Cambria Math"/>
                <w:sz w:val="22"/>
              </w:rPr>
              <m:t>j</m:t>
            </m:r>
          </m:sub>
        </m:sSub>
      </m:oMath>
      <w:r>
        <w:t xml:space="preserve">, 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/>
                <w:sz w:val="22"/>
              </w:rPr>
              <m:t>c</m:t>
            </m:r>
          </m:e>
        </m:d>
      </m:oMath>
      <w:r>
        <w:t xml:space="preserve"> выделялся отдельный 1D-массив, представляющий собой </w:t>
      </w:r>
      <w:r>
        <w:rPr>
          <w:color w:val="FF0000"/>
        </w:rPr>
        <w:t>«разложенный» по-горизонтали</w:t>
      </w:r>
      <w:r>
        <w:t xml:space="preserve"> 2D-массив.</w:t>
      </w:r>
    </w:p>
    <w:p w14:paraId="6A000000">
      <w:pPr>
        <w:pStyle w:val="62"/>
        <w:widowControl/>
        <w:numPr>
          <w:ilvl w:val="0"/>
          <w:numId w:val="7"/>
        </w:numPr>
        <w:spacing w:line="360" w:lineRule="auto"/>
      </w:pPr>
      <w:r>
        <w:t xml:space="preserve">Размерности расчетной сетки были выбраны кратные размеру warp-а – 32, чтобы при расчетах отсутствовали простаивающие </w:t>
      </w:r>
      <w:r>
        <w:rPr>
          <w:color w:val="000000"/>
        </w:rPr>
        <w:t>нити.</w:t>
      </w:r>
    </w:p>
    <w:p w14:paraId="6B000000">
      <w:pPr>
        <w:pStyle w:val="62"/>
        <w:widowControl/>
        <w:numPr>
          <w:ilvl w:val="0"/>
          <w:numId w:val="7"/>
        </w:numPr>
        <w:spacing w:line="360" w:lineRule="auto"/>
      </w:pPr>
    </w:p>
    <w:p w14:paraId="6C000000">
      <w:pPr>
        <w:widowControl/>
        <w:spacing w:line="360" w:lineRule="auto"/>
      </w:pPr>
    </w:p>
    <w:p w14:paraId="6D000000">
      <w:pPr>
        <w:widowControl/>
        <w:spacing w:line="360" w:lineRule="auto"/>
      </w:pPr>
    </w:p>
    <w:p w14:paraId="6E000000">
      <w:pPr>
        <w:pStyle w:val="4"/>
      </w:pPr>
      <w:r>
        <w:br w:type="page"/>
      </w:r>
    </w:p>
    <w:p w14:paraId="6F000000">
      <w:pPr>
        <w:pStyle w:val="2"/>
      </w:pPr>
      <w:r>
        <w:t>Результаты</w:t>
      </w:r>
    </w:p>
    <w:p w14:paraId="70000000">
      <w:r>
        <w:t xml:space="preserve">[вступительный текст] Для первичного представления результатов были выбраны размерности сеток, </w:t>
      </w:r>
      <m:oMath>
        <m:r>
          <m:rPr/>
          <w:rPr>
            <w:rFonts w:ascii="Cambria Math" w:hAnsi="Cambria Math"/>
            <w:sz w:val="22"/>
          </w:rPr>
          <m:t>{256×256,512×512,1024×1024,2056×2056}</m:t>
        </m:r>
      </m:oMath>
      <w:r>
        <w:t xml:space="preserve"> взятые из работы [ссылка]; даже наименьшая из них является достаточно большой и подходящей для практических расчетов [ссылки]. Проведены замеры соответствующих времен выполнения.</w:t>
      </w:r>
    </w:p>
    <w:p w14:paraId="71000000">
      <w:pPr>
        <w:widowControl/>
        <w:ind w:firstLine="708"/>
      </w:pPr>
      <w:r>
        <w:t xml:space="preserve">Затем проведена серия коротких расчетов с большим числом размерностей, также сделаны замеры времен выполнения (выступающие в роли экспериментальных данных), теоретически получена формула (с параметрами) зависимости ускорения от размерности сетки, сделан </w:t>
      </w:r>
      <w:r>
        <w:rPr>
          <w:color w:val="FB290D"/>
        </w:rPr>
        <w:t>fitting</w:t>
      </w:r>
      <w:r>
        <w:t xml:space="preserve"> параметров для каждой из моделей (с помощью метода наименьших квадратов), и на основе последнего сделан вывод о с</w:t>
      </w:r>
      <w:r>
        <w:rPr>
          <w:color w:val="FB290D"/>
        </w:rPr>
        <w:t>тепени верности теоретической формулы</w:t>
      </w:r>
      <w:r>
        <w:t>.</w:t>
      </w:r>
    </w:p>
    <w:p w14:paraId="72000000"/>
    <w:p w14:paraId="73000000">
      <w:r>
        <w:t xml:space="preserve">[Ремарки по представлению цифр: </w:t>
      </w:r>
    </w:p>
    <w:p w14:paraId="74000000">
      <w:r>
        <w:t>в стате MKay2014:</w:t>
      </w:r>
    </w:p>
    <w:p w14:paraId="75000000">
      <w:r>
        <w:t xml:space="preserve">--- ускорения указываются </w:t>
      </w:r>
      <w:r>
        <w:rPr>
          <w:i/>
        </w:rPr>
        <w:t>целыми</w:t>
      </w:r>
      <w:r>
        <w:t xml:space="preserve"> числами, и фразами типа «more than 70x speedup, 100x speedup» – мне не нужно заботиться о серьезной точности цифр и подробном описании каждого значения ускорения в тексте</w:t>
      </w:r>
    </w:p>
    <w:p w14:paraId="76000000">
      <w:r>
        <w:t>--- также указаны (совсем немного) абсолютные величины времен вычислений на CPU и GPU]</w:t>
      </w:r>
    </w:p>
    <w:p w14:paraId="77000000">
      <w:pPr>
        <w:widowControl/>
        <w:spacing w:line="240" w:lineRule="auto"/>
      </w:pPr>
      <w:r>
        <w:br w:type="page"/>
      </w:r>
    </w:p>
    <w:p w14:paraId="78000000">
      <w:pPr>
        <w:pStyle w:val="3"/>
      </w:pPr>
      <w:r>
        <w:t>Модель AP</w:t>
      </w:r>
    </w:p>
    <w:tbl>
      <w:tblPr>
        <w:tblStyle w:val="35"/>
        <w:tblW w:w="0" w:type="auto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0E2ED4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9000000">
            <w:pPr>
              <w:keepNext/>
              <w:widowControl/>
              <w:spacing w:line="360" w:lineRule="auto"/>
              <w:jc w:val="center"/>
            </w:pPr>
            <w:r>
              <w:drawing>
                <wp:inline distT="0" distB="0" distL="114300" distR="114300">
                  <wp:extent cx="3448685" cy="3239770"/>
                  <wp:effectExtent l="0" t="0" r="0" b="0"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044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8687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A000000">
            <w:pPr>
              <w:keepNext/>
              <w:widowControl/>
              <w:spacing w:line="360" w:lineRule="auto"/>
              <w:jc w:val="center"/>
            </w:pPr>
            <w:r>
              <w:drawing>
                <wp:inline distT="0" distB="0" distL="114300" distR="114300">
                  <wp:extent cx="4377690" cy="2375535"/>
                  <wp:effectExtent l="0" t="0" r="0" b="0"/>
                  <wp:docPr id="8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068" cy="2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00000">
            <w:pPr>
              <w:pStyle w:val="19"/>
            </w:pPr>
            <w:r>
              <w:t xml:space="preserve">Рис. 3 Модель AP. Вверху: стоп-кадр мембранного потенциала </w:t>
            </w:r>
            <m:oMath>
              <m:r>
                <m:rPr/>
                <w:rPr>
                  <w:rFonts w:ascii="Cambria Math" w:hAnsi="Cambria Math"/>
                  <w:sz w:val="22"/>
                </w:rPr>
                <m:t>V</m:t>
              </m:r>
            </m:oMath>
            <w:r>
              <w:t xml:space="preserve">, на котором видно реентри. Внизу: динамика </w:t>
            </w:r>
            <m:oMath>
              <m:r>
                <m:rPr/>
                <w:rPr>
                  <w:rFonts w:ascii="Cambria Math" w:hAnsi="Cambria Math"/>
                  <w:sz w:val="22"/>
                </w:rPr>
                <m:t>V</m:t>
              </m:r>
              <m:d>
                <m:dPr>
                  <m:sepChr m:val=","/>
                </m:dPr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</m:oMath>
            <w:r>
              <w:t xml:space="preserve"> в точке X [указать точку на рисунке].</w:t>
            </w:r>
          </w:p>
        </w:tc>
      </w:tr>
    </w:tbl>
    <w:p w14:paraId="7C000000"/>
    <w:p w14:paraId="7D000000">
      <w:pPr>
        <w:widowControl/>
        <w:spacing w:line="360" w:lineRule="auto"/>
      </w:pPr>
      <w:r>
        <w:t>[Текст с описанием графиков] С помощью программы визуализации результатов расчетов получен snapshot, на котором видна спираль реентри, практически идентичная по форме таковой в статье [статья AP модели], что подтверждает корректность расчетов на GPU. Также, рядом, изображена динамика мембранного потенциала в узле сетки с координатами (YY, ZZ), демонстрирующая последовательность из нескольких ПД, также практически идентичных таковой в статье [статья AP модели].</w:t>
      </w:r>
    </w:p>
    <w:p w14:paraId="7E000000">
      <w:pPr>
        <w:keepNext/>
        <w:widowControl/>
        <w:spacing w:line="360" w:lineRule="auto"/>
        <w:contextualSpacing/>
      </w:pPr>
      <w:r>
        <w:drawing>
          <wp:inline distT="0" distB="0" distL="114300" distR="114300">
            <wp:extent cx="4970145" cy="302387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0585" cy="302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0000">
      <w:pPr>
        <w:pStyle w:val="19"/>
      </w:pPr>
      <w:r>
        <w:t>Рис. 4 Модель AP: зависимость ускорения от размерности сетки по пространству: 256 x 256, 512 x 512, 1024 x 1024, 2048 x 2048 (клеток), для 2-х моделей GPU.</w:t>
      </w:r>
    </w:p>
    <w:p w14:paraId="80000000"/>
    <w:p w14:paraId="81000000">
      <w:pPr>
        <w:widowControl/>
        <w:spacing w:line="360" w:lineRule="auto"/>
      </w:pPr>
      <w:r>
        <w:t>[Текст с описанием графиков] На диаграмме можно видеть, что величина ускорения растет с увеличением размерности сетки, при этом значения ускорений для профессионального GPU выше таковых для любительского, что ожидаемо. Значения ускорений при данных размерностях сетки не превышают YY и ZZ для любительского и профессионального GPU, соответственно.</w:t>
      </w:r>
    </w:p>
    <w:p w14:paraId="82000000">
      <w:pPr>
        <w:widowControl/>
        <w:spacing w:line="240" w:lineRule="auto"/>
      </w:pPr>
      <w:r>
        <w:br w:type="page"/>
      </w:r>
    </w:p>
    <w:p w14:paraId="83000000">
      <w:pPr>
        <w:pStyle w:val="3"/>
      </w:pPr>
      <w:r>
        <w:t>Модель BR</w:t>
      </w:r>
    </w:p>
    <w:tbl>
      <w:tblPr>
        <w:tblStyle w:val="35"/>
        <w:tblW w:w="0" w:type="auto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12AD00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84000000">
            <w:pPr>
              <w:widowControl/>
              <w:jc w:val="center"/>
            </w:pPr>
            <w:r>
              <w:drawing>
                <wp:inline distT="0" distB="0" distL="114300" distR="114300">
                  <wp:extent cx="3977640" cy="3563620"/>
                  <wp:effectExtent l="0" t="0" r="0" b="0"/>
                  <wp:docPr id="12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717" cy="35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9312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85000000">
            <w:pPr>
              <w:keepNext/>
              <w:widowControl/>
              <w:jc w:val="center"/>
            </w:pPr>
            <w:r>
              <w:drawing>
                <wp:inline distT="0" distB="0" distL="114300" distR="114300">
                  <wp:extent cx="4415155" cy="2375535"/>
                  <wp:effectExtent l="0" t="0" r="0" b="0"/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471" cy="2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86000000">
            <w:pPr>
              <w:pStyle w:val="19"/>
            </w:pPr>
            <w:r>
              <w:t xml:space="preserve">Рис. 5 Модель BR. Вверху: стоп-кадр мембранного потенциала </w:t>
            </w:r>
            <m:oMath>
              <m:r>
                <m:rPr/>
                <w:rPr>
                  <w:rFonts w:ascii="Cambria Math" w:hAnsi="Cambria Math"/>
                  <w:sz w:val="22"/>
                </w:rPr>
                <m:t>V</m:t>
              </m:r>
            </m:oMath>
            <w:r>
              <w:t xml:space="preserve">, на котором </w:t>
            </w:r>
            <w:r>
              <w:rPr>
                <w:color w:val="FB290D"/>
              </w:rPr>
              <w:t>видно</w:t>
            </w:r>
            <w:r>
              <w:t xml:space="preserve"> реентри. Внизу: динамика </w:t>
            </w:r>
            <m:oMath>
              <m:r>
                <m:rPr/>
                <w:rPr>
                  <w:rFonts w:ascii="Cambria Math" w:hAnsi="Cambria Math"/>
                  <w:sz w:val="22"/>
                </w:rPr>
                <m:t>V</m:t>
              </m:r>
              <m:d>
                <m:dPr>
                  <m:sepChr m:val=","/>
                </m:dPr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</m:oMath>
            <w:r>
              <w:t xml:space="preserve"> в точке X [указать точку на рисунке].</w:t>
            </w:r>
          </w:p>
        </w:tc>
      </w:tr>
    </w:tbl>
    <w:p w14:paraId="87000000">
      <w:pPr>
        <w:widowControl/>
        <w:spacing w:line="360" w:lineRule="auto"/>
      </w:pPr>
    </w:p>
    <w:p w14:paraId="88000000">
      <w:pPr>
        <w:widowControl/>
        <w:spacing w:line="360" w:lineRule="auto"/>
      </w:pPr>
      <w:r>
        <w:t>[Текст с описанием графиков] С помощью программы визуализации результатов расчетов получен snapshot, на котором видна спираль реентри, похожая по форме на таковую в статье [статья cardiac_gpu_#2], что подтверждает корректность расчетов на GPU. Также, рядом, изображена динамика мембранного потенциала в узле сетки с координатами (YY, ZZ), демонстрирующая последовательность из многих ПД: они следуют практически без пауз друг за другом. Данная картина также похожа на таковую в статье [статья cardiac_gpu_#2].</w:t>
      </w:r>
    </w:p>
    <w:p w14:paraId="89000000">
      <w:pPr>
        <w:widowControl/>
        <w:spacing w:line="360" w:lineRule="auto"/>
      </w:pPr>
    </w:p>
    <w:p w14:paraId="8A000000">
      <w:pPr>
        <w:keepNext/>
        <w:widowControl/>
        <w:spacing w:line="360" w:lineRule="auto"/>
      </w:pPr>
      <w:r>
        <w:drawing>
          <wp:inline distT="0" distB="0" distL="114300" distR="114300">
            <wp:extent cx="5370830" cy="3096895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1135" cy="309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8B000000">
      <w:pPr>
        <w:pStyle w:val="19"/>
      </w:pPr>
      <w:r>
        <w:t>Рис. 6 Модель BR: зависимость ускорения от размерности сетки по пространству: 256 x 256, 512 x 512, 1024 x 1024, 2048 x 2048 (клеток), для 2-х моделей GPU.</w:t>
      </w:r>
    </w:p>
    <w:p w14:paraId="8C000000"/>
    <w:p w14:paraId="8D000000">
      <w:pPr>
        <w:widowControl/>
        <w:spacing w:line="360" w:lineRule="auto"/>
      </w:pPr>
      <w:r>
        <w:t xml:space="preserve">[Текст с описанием графиков] На диаграмме можно видеть, что величина ускорения растет с увеличением размерности сетки, при этом значения ускорений для профессионального GPU выше таковых для любительского, что ожидаемо. Значения ускорений при данных размерностях сетки не превышают YY и ZZ для любительского и профессионального GPU, соответственно. Имеет место </w:t>
      </w:r>
      <w:r>
        <w:rPr>
          <w:color w:val="FF0000"/>
        </w:rPr>
        <w:t>большее</w:t>
      </w:r>
      <w:r>
        <w:t xml:space="preserve"> отношение ускорений между любительским и профессональным GPU [посчитать и вставить сюда, после пересчета в Google Colab], чем для модели AP.</w:t>
      </w:r>
    </w:p>
    <w:p w14:paraId="8E000000">
      <w:pPr>
        <w:widowControl/>
        <w:spacing w:line="240" w:lineRule="auto"/>
      </w:pPr>
      <w:r>
        <w:br w:type="page"/>
      </w:r>
    </w:p>
    <w:p w14:paraId="8F000000">
      <w:pPr>
        <w:pStyle w:val="3"/>
      </w:pPr>
      <w:r>
        <w:t>Модель YNI</w:t>
      </w:r>
    </w:p>
    <w:tbl>
      <w:tblPr>
        <w:tblStyle w:val="35"/>
        <w:tblW w:w="0" w:type="auto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1DB2D6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90000000">
            <w:pPr>
              <w:widowControl/>
              <w:spacing w:line="360" w:lineRule="auto"/>
              <w:jc w:val="center"/>
            </w:pPr>
            <w:r>
              <w:drawing>
                <wp:inline distT="0" distB="0" distL="114300" distR="114300">
                  <wp:extent cx="4159250" cy="3563620"/>
                  <wp:effectExtent l="0" t="0" r="0" b="0"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852" cy="35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6C5E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91000000">
            <w:pPr>
              <w:keepNext/>
              <w:widowControl/>
              <w:spacing w:line="360" w:lineRule="auto"/>
              <w:jc w:val="center"/>
            </w:pPr>
            <w:r>
              <w:drawing>
                <wp:inline distT="0" distB="0" distL="114300" distR="114300">
                  <wp:extent cx="4377690" cy="2375535"/>
                  <wp:effectExtent l="0" t="0" r="0" b="0"/>
                  <wp:docPr id="20" name="Pictur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075" cy="2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92000000">
            <w:pPr>
              <w:pStyle w:val="19"/>
            </w:pPr>
            <w:r>
              <w:t xml:space="preserve">Рис. 7 Модель YNI. Вверху: стоп-кадр мембранного потенциала </w:t>
            </w:r>
            <m:oMath>
              <m:r>
                <m:rPr/>
                <w:rPr>
                  <w:rFonts w:ascii="Cambria Math" w:hAnsi="Cambria Math"/>
                  <w:sz w:val="22"/>
                </w:rPr>
                <m:t>V</m:t>
              </m:r>
            </m:oMath>
            <w:r>
              <w:t xml:space="preserve">, на котором </w:t>
            </w:r>
            <w:r>
              <w:rPr>
                <w:color w:val="FB290D"/>
              </w:rPr>
              <w:t>видно</w:t>
            </w:r>
            <w:r>
              <w:t xml:space="preserve"> реентри. Внизу: динамика </w:t>
            </w:r>
            <m:oMath>
              <m:r>
                <m:rPr/>
                <w:rPr>
                  <w:rFonts w:ascii="Cambria Math" w:hAnsi="Cambria Math"/>
                  <w:sz w:val="22"/>
                </w:rPr>
                <m:t>V</m:t>
              </m:r>
              <m:d>
                <m:dPr>
                  <m:sepChr m:val=","/>
                </m:dPr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</m:oMath>
            <w:r>
              <w:t xml:space="preserve"> в точке X [указать точку на рисунке].</w:t>
            </w:r>
          </w:p>
        </w:tc>
      </w:tr>
    </w:tbl>
    <w:p w14:paraId="93000000">
      <w:pPr>
        <w:widowControl/>
        <w:spacing w:line="360" w:lineRule="auto"/>
      </w:pPr>
    </w:p>
    <w:p w14:paraId="94000000">
      <w:pPr>
        <w:widowControl/>
        <w:spacing w:line="360" w:lineRule="auto"/>
      </w:pPr>
      <w:r>
        <w:t xml:space="preserve">[Текст с описанием графиков] С помощью программы визуализации результатов расчетов получен snapshot, на котором виден </w:t>
      </w:r>
      <w:r>
        <w:rPr>
          <w:color w:val="FF0000"/>
        </w:rPr>
        <w:t>рукав</w:t>
      </w:r>
      <w:r>
        <w:t xml:space="preserve"> (вместо спирали, см. «Обсуждение») реентри, похожий по форме на таковой в статье [статья Романа 2016], что подтверждает корректность расчетов на GPU. </w:t>
      </w:r>
    </w:p>
    <w:p w14:paraId="95000000">
      <w:pPr>
        <w:widowControl/>
        <w:spacing w:line="360" w:lineRule="auto"/>
      </w:pPr>
      <w:r>
        <w:t xml:space="preserve">Также, рядом, изображена динамика мембранного потенциала в узле сетки с координатами (YY, ZZ), демонстрирующая последовательность из нескольких ПД: в каждом из них присутствуют фазы </w:t>
      </w:r>
      <w:r>
        <w:rPr>
          <w:color w:val="FF0000"/>
        </w:rPr>
        <w:t>медленной деполяризации (кроме первого ПД)</w:t>
      </w:r>
      <w:r>
        <w:t xml:space="preserve">, деполяризации, реполяризации, </w:t>
      </w:r>
      <w:r>
        <w:rPr>
          <w:color w:val="FF0000"/>
        </w:rPr>
        <w:t>гиперполяризации</w:t>
      </w:r>
      <w:r>
        <w:t>. Данная картина похожа на картину активности изолированной клетки СУ [cardiac_pacemaking_review].</w:t>
      </w:r>
    </w:p>
    <w:p w14:paraId="96000000">
      <w:pPr>
        <w:widowControl/>
        <w:spacing w:line="360" w:lineRule="auto"/>
      </w:pPr>
    </w:p>
    <w:p w14:paraId="97000000">
      <w:pPr>
        <w:keepNext/>
        <w:widowControl/>
        <w:spacing w:line="360" w:lineRule="auto"/>
      </w:pPr>
      <w:r>
        <w:drawing>
          <wp:inline distT="0" distB="0" distL="114300" distR="114300">
            <wp:extent cx="5940425" cy="337185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98000000">
      <w:pPr>
        <w:widowControl/>
        <w:spacing w:line="360" w:lineRule="auto"/>
        <w:contextualSpacing/>
      </w:pPr>
      <w:r>
        <w:t>Рис. 8 Зависимость ускорения от размерности сетки по пространству: 256 x 256, 512 x 512, 1024 x 1024, 2048 x 2048 (клеток), для 2-х моделей GPU.</w:t>
      </w:r>
    </w:p>
    <w:p w14:paraId="99000000">
      <w:pPr>
        <w:widowControl/>
        <w:spacing w:line="360" w:lineRule="auto"/>
      </w:pPr>
    </w:p>
    <w:p w14:paraId="9A000000">
      <w:pPr>
        <w:widowControl/>
        <w:spacing w:line="360" w:lineRule="auto"/>
        <w:rPr>
          <w:color w:val="FF0000"/>
        </w:rPr>
      </w:pPr>
      <w:r>
        <w:t xml:space="preserve">[Текст с описанием графиков] На диаграмме можно видеть, что величина ускорения растет с увеличением размерности сетки, при этом значения ускорений для профессионального GPU выше таковых для любительского, что ожидаемо. Значения ускорений при данных размерностях сетки не превышают YY и ZZ для любительского и профессионального GPU, соответственно. </w:t>
      </w:r>
      <w:r>
        <w:rPr>
          <w:color w:val="FF0000"/>
        </w:rPr>
        <w:t>Имеет место большее отношение ускорений между любительским и профессиональным GPU [посчитать и вставить сюда, после пересчета в Google Colab], чем для модели AP. Имеются небольшие отличия между аналогичными отношениями для модели BR [посчитать и вставить].</w:t>
      </w:r>
    </w:p>
    <w:p w14:paraId="9B000000">
      <w:pPr>
        <w:widowControl/>
        <w:spacing w:line="360" w:lineRule="auto"/>
      </w:pPr>
    </w:p>
    <w:p w14:paraId="9C000000">
      <w:pPr>
        <w:pStyle w:val="3"/>
      </w:pPr>
      <w:r>
        <w:t>Анализ графиков ускорений</w:t>
      </w:r>
    </w:p>
    <w:p w14:paraId="9D000000">
      <w:pPr>
        <w:widowControl/>
        <w:spacing w:after="240" w:line="360" w:lineRule="auto"/>
        <w:rPr>
          <w:strike/>
        </w:rPr>
      </w:pPr>
      <w:r>
        <w:rPr>
          <w:strike/>
        </w:rPr>
        <w:t>Мотивация: более глубокое исследование зависимости ускорения от размерности сетки и сравнение с теоретическими оценками.</w:t>
      </w:r>
    </w:p>
    <w:p w14:paraId="9E000000">
      <w:pPr>
        <w:widowControl/>
        <w:spacing w:after="240" w:line="360" w:lineRule="auto"/>
        <w:ind w:firstLine="708"/>
      </w:pPr>
      <w:r>
        <w:t xml:space="preserve">Для получения значений ускорения при большом числе различных размерностей для каждой модели была проведена серия коротких расчетов и замерены времена исполнения последних (их мы будем называть «экспериментальными данными»). При замере времени исполнения программы возможно interfering процессов ОС компьютера, </w:t>
      </w:r>
      <w:r>
        <w:rPr>
          <w:color w:val="FF0000"/>
        </w:rPr>
        <w:t>поэтому в данных будет присутствовать неотрицательный шум. Поэтому авторы решили уменьшить шум с помощью МНК</w:t>
      </w:r>
    </w:p>
    <w:p w14:paraId="9F000000">
      <w:pPr>
        <w:widowControl/>
        <w:spacing w:after="240" w:line="360" w:lineRule="auto"/>
        <w:ind w:firstLine="708"/>
      </w:pPr>
      <w:r>
        <w:t>Экспериментальные данные: “with noise”  – исходные и “noise reduction” – обработанные. По определению:</w:t>
      </w:r>
    </w:p>
    <w:p w14:paraId="A0000000">
      <w:pPr>
        <w:widowControl/>
        <w:spacing w:after="240" w:line="360" w:lineRule="auto"/>
        <w:ind w:left="1080"/>
      </w:pPr>
      <m:oMathPara>
        <m:oMath>
          <m:sSup>
            <m:sSupPr/>
            <m:e>
              <m:r>
                <m:rPr/>
                <w:rPr>
                  <w:rFonts w:ascii="Cambria Math" w:hAnsi="Cambria Math"/>
                  <w:sz w:val="22"/>
                </w:rPr>
                <m:t>s</m:t>
              </m:r>
            </m:e>
            <m:sup>
              <m:d>
                <m:dPr>
                  <m:sepChr m:val=","/>
                </m:dPr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k</m:t>
                  </m:r>
                </m:e>
              </m:d>
            </m:sup>
          </m:sSup>
          <m:d>
            <m:dPr>
              <m:sepChr m:val=","/>
            </m:dPr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/>
            <w:rPr>
              <w:rFonts w:ascii="Cambria Math" w:hAnsi="Cambria Math"/>
              <w:sz w:val="22"/>
            </w:rPr>
            <m:t>=</m:t>
          </m:r>
          <m:f>
            <m:fPr/>
            <m:num>
              <m:sSubSup>
                <m:sSubSup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CPU</m:t>
                  </m:r>
                </m:sub>
                <m:sup>
                  <m:r>
                    <m:rPr/>
                    <w:rPr>
                      <w:rFonts w:ascii="Cambria Math" w:hAnsi="Cambria Math"/>
                      <w:sz w:val="22"/>
                    </w:rPr>
                    <m:t>k</m:t>
                  </m:r>
                </m:sup>
              </m:sSubSup>
              <m:d>
                <m:dPr>
                  <m:sepChr m:val=","/>
                </m:dPr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</m:d>
            </m:num>
            <m:den>
              <m:sSubSup>
                <m:sSubSup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GPU</m:t>
                  </m:r>
                </m:sub>
                <m:sup>
                  <m:r>
                    <m:rPr/>
                    <w:rPr>
                      <w:rFonts w:ascii="Cambria Math" w:hAnsi="Cambria Math"/>
                      <w:sz w:val="22"/>
                    </w:rPr>
                    <m:t>k</m:t>
                  </m:r>
                </m:sup>
              </m:sSubSup>
              <m:d>
                <m:dPr>
                  <m:sepChr m:val=","/>
                </m:dPr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</m:d>
            </m:den>
          </m:f>
          <m:r>
            <m:rPr/>
            <w:rPr>
              <w:rFonts w:ascii="Cambria Math" w:hAnsi="Cambria Math"/>
              <w:sz w:val="22"/>
            </w:rPr>
            <m:t>,</m:t>
          </m:r>
          <m:r>
            <m:rPr>
              <m:sty m:val="p"/>
            </m:rPr>
            <w:rPr>
              <w:rFonts w:ascii="Cambria Math" w:hAnsi="Cambria Math"/>
              <w:sz w:val="22"/>
            </w:rPr>
            <m:t>где</m:t>
          </m:r>
          <m:r>
            <m:rPr/>
            <w:rPr>
              <w:rFonts w:ascii="Cambria Math" w:hAnsi="Cambria Math"/>
              <w:sz w:val="22"/>
            </w:rPr>
            <m:t>k=</m:t>
          </m:r>
          <m:r>
            <m:rPr>
              <m:sty m:val="p"/>
            </m:rPr>
            <w:rPr>
              <w:rFonts w:ascii="Cambria Math" w:hAnsi="Cambria Math"/>
              <w:sz w:val="22"/>
            </w:rPr>
            <m:t>withnoise</m:t>
          </m:r>
          <m:r>
            <m:rPr/>
            <w:rPr>
              <w:rFonts w:ascii="Cambria Math" w:hAnsi="Cambria Math"/>
              <w:sz w:val="22"/>
            </w:rPr>
            <m:t>,</m:t>
          </m:r>
          <m:r>
            <m:rPr>
              <m:sty m:val="p"/>
            </m:rPr>
            <w:rPr>
              <w:rFonts w:ascii="Cambria Math" w:hAnsi="Cambria Math"/>
              <w:sz w:val="22"/>
            </w:rPr>
            <m:t>noisereduction</m:t>
          </m:r>
          <m:r>
            <m:rPr/>
            <w:rPr>
              <w:rFonts w:ascii="Cambria Math" w:hAnsi="Cambria Math"/>
              <w:sz w:val="22"/>
            </w:rPr>
            <m:t>.</m:t>
          </m:r>
        </m:oMath>
      </m:oMathPara>
    </w:p>
    <w:p w14:paraId="A1000000">
      <w:pPr>
        <w:widowControl/>
        <w:spacing w:after="240" w:line="360" w:lineRule="auto"/>
      </w:pPr>
      <w:r>
        <w:t xml:space="preserve">Значения </w:t>
      </w:r>
      <m:oMath>
        <m:r>
          <m:rPr/>
          <w:rPr>
            <w:rFonts w:ascii="Cambria Math" w:hAnsi="Cambria Math"/>
            <w:sz w:val="22"/>
          </w:rPr>
          <m:t>{</m:t>
        </m:r>
        <m:sSubSup>
          <m:sSubSupPr/>
          <m:e>
            <m:r>
              <m:rPr/>
              <w:rPr>
                <w:rFonts w:ascii="Cambria Math" w:hAnsi="Cambria Math"/>
                <w:sz w:val="22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>CPU/GPU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>noisereduction</m:t>
            </m:r>
          </m:sup>
        </m:sSubSup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m:rPr/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e>
        </m:d>
        <m:r>
          <m:rPr/>
          <w:rPr>
            <w:rFonts w:ascii="Cambria Math" w:hAnsi="Cambria Math"/>
            <w:sz w:val="22"/>
          </w:rPr>
          <m:t>=</m:t>
        </m:r>
        <m:r>
          <m:rPr>
            <m:sty m:val="p"/>
          </m:rPr>
          <w:rPr>
            <w:rFonts w:ascii="Cambria Math" w:hAnsi="Cambria Math"/>
            <w:sz w:val="22"/>
          </w:rPr>
          <m:t>sp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m:rPr/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e>
        </m:d>
        <m:r>
          <m:rPr/>
          <w:rPr>
            <w:rFonts w:ascii="Cambria Math" w:hAnsi="Cambria Math"/>
            <w:sz w:val="22"/>
          </w:rPr>
          <m:t>}</m:t>
        </m:r>
      </m:oMath>
      <w:r>
        <w:t xml:space="preserve"> – вычислялись как значения аппроксиманта в виде кубического сплайна </w:t>
      </w:r>
      <m:oMath>
        <m:r>
          <m:rPr>
            <m:sty m:val="p"/>
          </m:rPr>
          <w:rPr>
            <w:rFonts w:ascii="Cambria Math" w:hAnsi="Cambria Math"/>
            <w:sz w:val="22"/>
          </w:rPr>
          <m:t>sp</m:t>
        </m:r>
        <m:d>
          <m:dPr>
            <m:sepChr m:val=","/>
          </m:dPr>
          <m:e>
            <m:r>
              <m:rPr/>
              <w:rPr>
                <w:rFonts w:ascii="Cambria Math" w:hAnsi="Cambria Math"/>
                <w:sz w:val="22"/>
              </w:rPr>
              <m:t>n</m:t>
            </m:r>
          </m:e>
        </m:d>
      </m:oMath>
      <w:r>
        <w:t>, коэффициенты которого находились методом сглаживания (схож с методом наименьших квадратов). [для сплайна не нашел нахождение коэффициентов методом наименьших квадратов] [нужно ли «устранение» шума вообще? Это может вызвать лишние вопросы у рецензента] [подумать, как вычислять коэфф сплайна с помощь МНК, а не непонятного метода сглаживания]</w:t>
      </w:r>
    </w:p>
    <w:tbl>
      <w:tblPr>
        <w:tblStyle w:val="35"/>
        <w:tblW w:w="0" w:type="auto"/>
        <w:tblInd w:w="-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6"/>
        <w:gridCol w:w="4414"/>
      </w:tblGrid>
      <w:tr w14:paraId="3A0727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</w:tcPr>
          <w:p w14:paraId="A2000000">
            <w:pPr>
              <w:widowControl/>
              <w:spacing w:line="360" w:lineRule="auto"/>
            </w:pPr>
            <w:r>
              <w:drawing>
                <wp:inline distT="0" distB="0" distL="114300" distR="114300">
                  <wp:extent cx="2661920" cy="1675130"/>
                  <wp:effectExtent l="0" t="0" r="0" b="0"/>
                  <wp:docPr id="24" name="Pictu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920" cy="167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</w:tcPr>
          <w:p w14:paraId="A3000000">
            <w:pPr>
              <w:widowControl/>
              <w:spacing w:line="360" w:lineRule="auto"/>
            </w:pPr>
            <w:r>
              <w:drawing>
                <wp:inline distT="0" distB="0" distL="114300" distR="114300">
                  <wp:extent cx="2735580" cy="1722120"/>
                  <wp:effectExtent l="0" t="0" r="0" b="0"/>
                  <wp:docPr id="26" name="Pictur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2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547E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</w:tcPr>
          <w:p w14:paraId="A4000000">
            <w:pPr>
              <w:widowControl/>
              <w:spacing w:line="360" w:lineRule="auto"/>
            </w:pPr>
            <w:r>
              <w:drawing>
                <wp:inline distT="0" distB="0" distL="114300" distR="114300">
                  <wp:extent cx="2661920" cy="1675765"/>
                  <wp:effectExtent l="0" t="0" r="0" b="0"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38" cy="1675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</w:tcPr>
          <w:p w14:paraId="A5000000">
            <w:pPr>
              <w:widowControl/>
              <w:spacing w:line="360" w:lineRule="auto"/>
            </w:pPr>
            <w:r>
              <w:drawing>
                <wp:inline distT="0" distB="0" distL="114300" distR="114300">
                  <wp:extent cx="2661920" cy="1675765"/>
                  <wp:effectExtent l="0" t="0" r="0" b="0"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37" cy="1675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A6000000">
      <w:pPr>
        <w:widowControl/>
        <w:spacing w:line="360" w:lineRule="auto"/>
        <w:rPr>
          <w:color w:val="FF0000"/>
        </w:rPr>
      </w:pPr>
      <w:r>
        <w:rPr>
          <w:color w:val="FF0000"/>
        </w:rPr>
        <w:t xml:space="preserve">По данным графикам можно отметить следующее: </w:t>
      </w:r>
    </w:p>
    <w:p w14:paraId="A7000000">
      <w:pPr>
        <w:pStyle w:val="62"/>
        <w:widowControl/>
        <w:numPr>
          <w:ilvl w:val="0"/>
          <w:numId w:val="8"/>
        </w:numPr>
        <w:spacing w:line="360" w:lineRule="auto"/>
      </w:pPr>
      <w:r>
        <w:t xml:space="preserve">Для всех моделей имеется выход практически на константу при больших </w:t>
      </w:r>
      <m:oMath>
        <m:r>
          <m:rPr/>
          <w:rPr>
            <w:rFonts w:ascii="Cambria Math" w:hAnsi="Cambria Math"/>
            <w:sz w:val="22"/>
          </w:rPr>
          <m:t>n</m:t>
        </m:r>
      </m:oMath>
      <w:r>
        <w:t>. При этом имеются колебания в процессе выхода на константу, что особенно сильно видно для моделей BR и YNI</w:t>
      </w:r>
    </w:p>
    <w:p w14:paraId="A8000000">
      <w:pPr>
        <w:pStyle w:val="62"/>
        <w:widowControl/>
        <w:numPr>
          <w:ilvl w:val="0"/>
          <w:numId w:val="8"/>
        </w:numPr>
        <w:spacing w:line="360" w:lineRule="auto"/>
      </w:pPr>
      <w:r>
        <w:t xml:space="preserve">[?] При малых </w:t>
      </w:r>
      <m:oMath>
        <m:r>
          <m:rPr/>
          <w:rPr>
            <w:rFonts w:ascii="Cambria Math" w:hAnsi="Cambria Math"/>
            <w:sz w:val="22"/>
          </w:rPr>
          <m:t>n</m:t>
        </m:r>
      </m:oMath>
      <w:r>
        <w:t xml:space="preserve"> [вставить соответствующий увелич фрагмент графика?] точки стремятся к нулю.</w:t>
      </w:r>
    </w:p>
    <w:p w14:paraId="A9000000">
      <w:pPr>
        <w:widowControl/>
        <w:spacing w:line="360" w:lineRule="auto"/>
      </w:pPr>
    </w:p>
    <w:p w14:paraId="AA000000">
      <w:pPr>
        <w:widowControl/>
        <w:spacing w:line="360" w:lineRule="auto"/>
      </w:pPr>
      <w:r>
        <w:t>Далее везде использовались обработанные значения.</w:t>
      </w:r>
    </w:p>
    <w:p w14:paraId="AB000000">
      <w:pPr>
        <w:widowControl/>
        <w:spacing w:line="360" w:lineRule="auto"/>
      </w:pPr>
    </w:p>
    <w:p w14:paraId="AC000000">
      <w:pPr>
        <w:widowControl/>
        <w:spacing w:after="240" w:line="360" w:lineRule="auto"/>
        <w:contextualSpacing/>
      </w:pPr>
      <w:r>
        <w:t xml:space="preserve">Теперь получим теоретическую формулу для ускорения в зависимости от числа узлов по оси </w:t>
      </w:r>
      <m:oMath>
        <m:r>
          <m:rPr/>
          <w:rPr>
            <w:rFonts w:ascii="Cambria Math" w:hAnsi="Cambria Math"/>
            <w:sz w:val="22"/>
          </w:rPr>
          <m:t>x</m:t>
        </m:r>
      </m:oMath>
      <w:r>
        <w:t xml:space="preserve">. При этом будем учитывать фактор копирования данных с CPU на GPU и обратно, при этом </w:t>
      </w:r>
      <w:r>
        <w:rPr>
          <w:color w:val="FF0000"/>
        </w:rPr>
        <w:t>приняв</w:t>
      </w:r>
      <w:r>
        <w:t>, что время копирования не зависит от размера данных [ссылка на статью про закон Амдала для GPU]. Теоретическая формула:</w:t>
      </w:r>
    </w:p>
    <w:p w14:paraId="AD000000">
      <w:pPr>
        <w:widowControl/>
        <w:spacing w:after="240" w:line="360" w:lineRule="auto"/>
        <w:contextualSpacing/>
      </w:pPr>
      <w:r>
        <w:t>[вставить вывод формулы] [вставить другой вид формулы, с единицей в числителе]</w:t>
      </w:r>
    </w:p>
    <w:p w14:paraId="AE000000">
      <w:pPr>
        <w:pStyle w:val="62"/>
        <w:widowControl/>
        <w:numPr>
          <w:ilvl w:val="0"/>
          <w:numId w:val="0"/>
        </w:numPr>
        <w:spacing w:line="360" w:lineRule="auto"/>
        <w:ind w:left="1440"/>
        <w:rPr>
          <w:i/>
        </w:rPr>
      </w:pPr>
      <m:oMathPara>
        <m:oMath>
          <m:r>
            <m:rPr/>
            <w:rPr>
              <w:rFonts w:ascii="Cambria Math" w:hAnsi="Cambria Math"/>
              <w:sz w:val="22"/>
            </w:rPr>
            <m:t>s</m:t>
          </m:r>
          <m:d>
            <m:dPr>
              <m:sepChr m:val=","/>
            </m:dPr>
            <m:e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n;c</m:t>
                  </m:r>
                </m:e>
                <m:sub>
                  <m:r>
                    <m:rPr/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/>
                  <w:sz w:val="22"/>
                </w:rPr>
                <m:t>,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c</m:t>
                  </m:r>
                </m:e>
                <m:sub>
                  <m:r>
                    <m:rPr/>
                    <w:rPr>
                      <w:rFonts w:ascii="Cambria Math" w:hAnsi="Cambria Math"/>
                      <w:sz w:val="22"/>
                    </w:rPr>
                    <m:t>1</m:t>
                  </m:r>
                </m:sub>
              </m:sSub>
            </m:e>
          </m:d>
          <m:r>
            <m:rPr/>
            <w:rPr>
              <w:rFonts w:ascii="Cambria Math" w:hAnsi="Cambria Math"/>
              <w:sz w:val="22"/>
            </w:rPr>
            <m:t>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c</m:t>
                  </m:r>
                </m:e>
                <m:sub>
                  <m:r>
                    <m:rPr/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  <m:sSup>
                <m:sSup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  <m:sup>
                  <m:r>
                    <m:rPr/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CEILING</m:t>
              </m:r>
              <m:d>
                <m:dPr>
                  <m:sepChr m:val=","/>
                </m:dPr>
                <m:e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n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/M</m:t>
                  </m:r>
                </m:e>
              </m:d>
              <m:r>
                <m:rPr/>
                <w:rPr>
                  <w:rFonts w:ascii="Cambria Math" w:hAnsi="Cambria Math"/>
                  <w:sz w:val="22"/>
                </w:rPr>
                <m:t>+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c</m:t>
                  </m:r>
                </m:e>
                <m:sub>
                  <m:r>
                    <m:rPr/>
                    <w:rPr>
                      <w:rFonts w:ascii="Cambria Math" w:hAnsi="Cambria Math"/>
                      <w:sz w:val="22"/>
                    </w:rPr>
                    <m:t>1</m:t>
                  </m:r>
                </m:sub>
              </m:sSub>
            </m:den>
          </m:f>
          <m:r>
            <m:rPr/>
            <w:rPr>
              <w:rFonts w:ascii="Cambria Math" w:hAnsi="Cambria Math"/>
              <w:sz w:val="22"/>
            </w:rPr>
            <m:t>.</m:t>
          </m:r>
          <m:d>
            <m:dPr>
              <m:begChr m:val="["/>
              <m:sepChr m:val=","/>
              <m:endChr m:val="]"/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вставитьвыводформулы</m:t>
              </m:r>
            </m:e>
          </m:d>
        </m:oMath>
      </m:oMathPara>
    </w:p>
    <w:p w14:paraId="AF000000">
      <w:pPr>
        <w:widowControl/>
        <w:spacing w:line="360" w:lineRule="auto"/>
        <w:rPr>
          <w:i/>
        </w:rPr>
      </w:pPr>
    </w:p>
    <w:p w14:paraId="B0000000">
      <w:pPr>
        <w:widowControl/>
        <w:spacing w:line="360" w:lineRule="auto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где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0</m:t>
              </m:r>
            </m:sub>
          </m:sSub>
          <m:r>
            <m:rPr/>
            <w:rPr>
              <w:rFonts w:ascii="Cambria Math" w:hAnsi="Cambria Math"/>
              <w:sz w:val="22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0</m:t>
              </m:r>
            </m:sub>
          </m:sSub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CPU</m:t>
              </m:r>
              <m:r>
                <m:rPr/>
                <w:rPr>
                  <w:rFonts w:ascii="Cambria Math" w:hAnsi="Cambria Math"/>
                  <w:sz w:val="22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GPU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–независитотmodel</m:t>
          </m:r>
          <m:r>
            <m:rPr/>
            <w:rPr>
              <w:rFonts w:ascii="Cambria Math" w:hAnsi="Cambria Math"/>
              <w:sz w:val="22"/>
            </w:rPr>
            <m:t>,</m:t>
          </m:r>
        </m:oMath>
      </m:oMathPara>
    </w:p>
    <w:p w14:paraId="B1000000">
      <w:pPr>
        <w:widowControl/>
        <w:spacing w:line="360" w:lineRule="auto"/>
        <w:rPr>
          <w:i/>
          <w:strike/>
        </w:rPr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m:rPr/>
            <w:rPr>
              <w:rFonts w:ascii="Cambria Math" w:hAnsi="Cambria Math"/>
              <w:sz w:val="22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c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1</m:t>
              </m:r>
            </m:sub>
          </m:sSub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model</m:t>
              </m:r>
              <m:r>
                <m:rPr/>
                <w:rPr>
                  <w:rFonts w:ascii="Cambria Math" w:hAnsi="Cambria Math"/>
                  <w:sz w:val="22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CPU</m:t>
              </m:r>
              <m:r>
                <m:rPr/>
                <w:rPr>
                  <w:rFonts w:ascii="Cambria Math" w:hAnsi="Cambria Math"/>
                  <w:sz w:val="22"/>
                </w:rPr>
                <m:t>,K,J,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hardware</m:t>
              </m:r>
            </m:e>
          </m:d>
          <m:r>
            <m:rPr/>
            <w:rPr>
              <w:rFonts w:ascii="Cambria Math" w:hAnsi="Cambria Math"/>
              <w:sz w:val="22"/>
            </w:rPr>
            <m:t>,</m:t>
          </m:r>
          <m:d>
            <m:dPr>
              <m:sepChr m:val=","/>
            </m:dPr>
            <m:e>
              <m:r>
                <m:rPr/>
                <w:rPr>
                  <w:rFonts w:ascii="Cambria Math" w:hAnsi="Cambria Math"/>
                  <w:sz w:val="22"/>
                </w:rPr>
                <m:t>∗</m:t>
              </m:r>
            </m:e>
          </m:d>
        </m:oMath>
      </m:oMathPara>
    </w:p>
    <w:p w14:paraId="B2000000">
      <w:pPr>
        <w:widowControl/>
        <w:spacing w:line="360" w:lineRule="auto"/>
      </w:pPr>
      <w:r>
        <w:t xml:space="preserve">Можно отметить, что при </w:t>
      </w:r>
      <m:oMath>
        <m:r>
          <m:rPr/>
          <w:rPr>
            <w:rFonts w:ascii="Cambria Math" w:hAnsi="Cambria Math"/>
            <w:sz w:val="22"/>
          </w:rPr>
          <m:t>n→0</m:t>
        </m:r>
      </m:oMath>
      <w:r>
        <w:t xml:space="preserve"> </w:t>
      </w:r>
      <m:oMath>
        <m:r>
          <m:rPr/>
          <w:rPr>
            <w:rFonts w:ascii="Cambria Math" w:hAnsi="Cambria Math"/>
            <w:sz w:val="22"/>
          </w:rPr>
          <m:t>s→0</m:t>
        </m:r>
      </m:oMath>
      <w:r>
        <w:t xml:space="preserve"> и </w:t>
      </w:r>
      <m:oMath>
        <m:r>
          <m:rPr/>
          <w:rPr>
            <w:rFonts w:ascii="Cambria Math" w:hAnsi="Cambria Math"/>
            <w:sz w:val="22"/>
          </w:rPr>
          <m:t>n→∞</m:t>
        </m:r>
      </m:oMath>
      <w:r>
        <w:t xml:space="preserve">  </w:t>
      </w:r>
      <m:oMath>
        <m:r>
          <m:rPr/>
          <w:rPr>
            <w:rFonts w:ascii="Cambria Math" w:hAnsi="Cambria Math"/>
            <w:sz w:val="22"/>
          </w:rPr>
          <m:t>s→</m:t>
        </m:r>
        <m:r>
          <m:rPr>
            <m:sty m:val="p"/>
          </m:rPr>
          <w:rPr>
            <w:rFonts w:ascii="Cambria Math" w:hAnsi="Cambria Math"/>
            <w:sz w:val="22"/>
          </w:rPr>
          <m:t>const</m:t>
        </m:r>
      </m:oMath>
      <w:r>
        <w:t xml:space="preserve"> (при любых значениях параметров </w:t>
      </w:r>
      <m:oMath>
        <m:sSub>
          <m:sSubPr/>
          <m:e>
            <m:r>
              <m:rPr/>
              <w:rPr>
                <w:rFonts w:ascii="Cambria Math" w:hAnsi="Cambria Math"/>
                <w:sz w:val="22"/>
              </w:rPr>
              <m:t>c</m:t>
            </m:r>
          </m:e>
          <m:sub>
            <m:r>
              <m:rPr/>
              <w:rPr>
                <w:rFonts w:ascii="Cambria Math" w:hAnsi="Cambria Math"/>
                <w:sz w:val="22"/>
              </w:rPr>
              <m:t>0</m:t>
            </m:r>
          </m:sub>
        </m:sSub>
        <m:r>
          <m:rPr/>
          <w:rPr>
            <w:rFonts w:ascii="Cambria Math" w:hAnsi="Cambria Math"/>
            <w:sz w:val="22"/>
          </w:rPr>
          <m:t>,</m:t>
        </m:r>
        <m:sSub>
          <m:sSubPr/>
          <m:e>
            <m:r>
              <m:rPr/>
              <w:rPr>
                <w:rFonts w:ascii="Cambria Math" w:hAnsi="Cambria Math"/>
                <w:sz w:val="22"/>
              </w:rPr>
              <m:t>c</m:t>
            </m:r>
          </m:e>
          <m:sub>
            <m:r>
              <m:rPr/>
              <w:rPr>
                <w:rFonts w:ascii="Cambria Math" w:hAnsi="Cambria Math"/>
                <w:sz w:val="22"/>
              </w:rPr>
              <m:t>1</m:t>
            </m:r>
          </m:sub>
        </m:sSub>
      </m:oMath>
      <w:r>
        <w:t xml:space="preserve">), что отражает экспериментальную зависимость. </w:t>
      </w:r>
    </w:p>
    <w:p w14:paraId="B3000000">
      <w:pPr>
        <w:widowControl/>
        <w:spacing w:after="240" w:line="360" w:lineRule="auto"/>
      </w:pPr>
      <w:r>
        <w:t xml:space="preserve">Для вычисления параметров </w:t>
      </w:r>
      <m:oMath>
        <m:sSub>
          <m:sSubPr/>
          <m:e>
            <m:r>
              <m:rPr/>
              <w:rPr>
                <w:rFonts w:ascii="Cambria Math" w:hAnsi="Cambria Math"/>
                <w:sz w:val="22"/>
              </w:rPr>
              <m:t>c</m:t>
            </m:r>
          </m:e>
          <m:sub>
            <m:r>
              <m:rPr/>
              <w:rPr>
                <w:rFonts w:ascii="Cambria Math" w:hAnsi="Cambria Math"/>
                <w:sz w:val="22"/>
              </w:rPr>
              <m:t>i</m:t>
            </m:r>
          </m:sub>
        </m:sSub>
      </m:oMath>
      <w:r>
        <w:t xml:space="preserve"> можно воспользоваться методом наименьших квадратов (МНК). Графики получившегося аппроксиманта приведены на Рис. YY.</w:t>
      </w:r>
    </w:p>
    <w:tbl>
      <w:tblPr>
        <w:tblStyle w:val="35"/>
        <w:tblW w:w="0" w:type="auto"/>
        <w:tblInd w:w="-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4"/>
        <w:gridCol w:w="4665"/>
      </w:tblGrid>
      <w:tr w14:paraId="3CB5AE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</w:tcPr>
          <w:p w14:paraId="B4000000">
            <w:pPr>
              <w:widowControl/>
              <w:spacing w:after="240" w:line="360" w:lineRule="auto"/>
            </w:pPr>
            <w:r>
              <w:drawing>
                <wp:inline distT="0" distB="0" distL="114300" distR="114300">
                  <wp:extent cx="2576830" cy="1671320"/>
                  <wp:effectExtent l="0" t="0" r="0" b="0"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153" cy="1671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B5000000">
            <w:pPr>
              <w:widowControl/>
              <w:spacing w:after="240" w:line="360" w:lineRule="auto"/>
            </w:pPr>
            <w:r>
              <w:drawing>
                <wp:inline distT="0" distB="0" distL="114300" distR="114300">
                  <wp:extent cx="2555875" cy="1657350"/>
                  <wp:effectExtent l="0" t="0" r="0" b="0"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657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15A7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</w:tcPr>
          <w:p w14:paraId="B6000000">
            <w:pPr>
              <w:widowControl/>
              <w:spacing w:after="240" w:line="360" w:lineRule="auto"/>
            </w:pPr>
            <w:r>
              <w:drawing>
                <wp:inline distT="0" distB="0" distL="114300" distR="114300">
                  <wp:extent cx="2555875" cy="165735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657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B7000000">
            <w:pPr>
              <w:widowControl/>
              <w:spacing w:after="240" w:line="360" w:lineRule="auto"/>
            </w:pPr>
            <w:r>
              <w:drawing>
                <wp:inline distT="0" distB="0" distL="114300" distR="114300">
                  <wp:extent cx="2555875" cy="1657350"/>
                  <wp:effectExtent l="0" t="0" r="0" b="0"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657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B8000000">
      <w:pPr>
        <w:widowControl/>
        <w:spacing w:line="360" w:lineRule="auto"/>
        <w:jc w:val="center"/>
      </w:pPr>
      <w:r>
        <w:t>[значения коэффициентов --&gt; в таблицу]</w:t>
      </w:r>
    </w:p>
    <w:p w14:paraId="B9000000">
      <w:pPr>
        <w:widowControl/>
        <w:spacing w:line="360" w:lineRule="auto"/>
        <w:rPr>
          <w:color w:val="000000"/>
        </w:rPr>
      </w:pPr>
      <w:r>
        <w:t>Можно заметить, что полученные кривые «</w:t>
      </w:r>
      <w:r>
        <w:rPr>
          <w:color w:val="000000"/>
        </w:rPr>
        <w:t>хорошо»</w:t>
      </w:r>
      <w:r>
        <w:rPr>
          <w:color w:val="FF0000"/>
        </w:rPr>
        <w:t xml:space="preserve"> (хотя бы визуально) </w:t>
      </w:r>
      <w:r>
        <w:rPr>
          <w:color w:val="000000"/>
        </w:rPr>
        <w:t xml:space="preserve">ложатся на </w:t>
      </w:r>
      <w:r>
        <w:t>экспериментальные точки</w:t>
      </w:r>
      <w:r>
        <w:rPr>
          <w:color w:val="000000"/>
        </w:rPr>
        <w:t>:</w:t>
      </w:r>
    </w:p>
    <w:p w14:paraId="BA000000">
      <w:pPr>
        <w:pStyle w:val="62"/>
        <w:widowControl/>
        <w:numPr>
          <w:ilvl w:val="0"/>
          <w:numId w:val="9"/>
        </w:numPr>
        <w:spacing w:line="360" w:lineRule="auto"/>
        <w:rPr>
          <w:i/>
          <w:color w:val="000000"/>
        </w:rPr>
      </w:pPr>
      <w:r>
        <w:rPr>
          <w:color w:val="000000"/>
        </w:rPr>
        <w:t xml:space="preserve">Модель AP: видно практически идеальное наложение при любых </w:t>
      </w:r>
      <m:oMath>
        <m:r>
          <m:rPr/>
          <w:rPr>
            <w:rFonts w:ascii="Cambria Math" w:hAnsi="Cambria Math"/>
            <w:sz w:val="22"/>
          </w:rPr>
          <m:t>n</m:t>
        </m:r>
      </m:oMath>
    </w:p>
    <w:p w14:paraId="BB000000">
      <w:pPr>
        <w:pStyle w:val="62"/>
        <w:widowControl/>
        <w:numPr>
          <w:ilvl w:val="0"/>
          <w:numId w:val="9"/>
        </w:numPr>
        <w:spacing w:line="360" w:lineRule="auto"/>
        <w:rPr>
          <w:i/>
          <w:color w:val="000000"/>
        </w:rPr>
      </w:pPr>
      <w:r>
        <w:rPr>
          <w:color w:val="000000"/>
        </w:rPr>
        <w:t xml:space="preserve">Модель BR и YNI: заметно практически идеальное наложение при </w:t>
      </w:r>
      <m:oMath>
        <m:r>
          <m:rPr/>
          <w:rPr>
            <w:rFonts w:ascii="Cambria Math" w:hAnsi="Cambria Math"/>
            <w:sz w:val="22"/>
          </w:rPr>
          <m:t>n&lt;100</m:t>
        </m:r>
      </m:oMath>
      <w:r>
        <w:rPr>
          <w:color w:val="000000"/>
        </w:rPr>
        <w:t xml:space="preserve">; затем, при увеличении </w:t>
      </w:r>
      <m:oMath>
        <m:r>
          <m:rPr/>
          <w:rPr>
            <w:rFonts w:ascii="Cambria Math" w:hAnsi="Cambria Math"/>
            <w:sz w:val="22"/>
          </w:rPr>
          <m:t>n</m:t>
        </m:r>
      </m:oMath>
      <w:r>
        <w:rPr>
          <w:color w:val="000000"/>
        </w:rPr>
        <w:t xml:space="preserve">, имеет место колебание точек относительно кривой (что можно </w:t>
      </w:r>
      <w:r>
        <w:rPr>
          <w:color w:val="FF0000"/>
        </w:rPr>
        <w:t>списать</w:t>
      </w:r>
      <w:r>
        <w:rPr>
          <w:color w:val="000000"/>
        </w:rPr>
        <w:t xml:space="preserve"> на большой шум в данных или некоторую неточность теоретической формулы). </w:t>
      </w:r>
    </w:p>
    <w:p w14:paraId="BC000000">
      <w:pPr>
        <w:widowControl/>
        <w:spacing w:line="360" w:lineRule="auto"/>
      </w:pPr>
      <w:r>
        <w:t xml:space="preserve">Также оценим визуально асимптотику кривых: при </w:t>
      </w:r>
      <m:oMath>
        <m:r>
          <m:rPr/>
          <w:rPr>
            <w:rFonts w:ascii="Cambria Math" w:hAnsi="Cambria Math"/>
            <w:sz w:val="22"/>
          </w:rPr>
          <m:t>n→0s→0</m:t>
        </m:r>
      </m:oMath>
      <w:r>
        <w:t xml:space="preserve"> и при </w:t>
      </w:r>
      <m:oMath>
        <m:r>
          <m:rPr/>
          <w:rPr>
            <w:rFonts w:ascii="Cambria Math" w:hAnsi="Cambria Math"/>
            <w:sz w:val="22"/>
          </w:rPr>
          <m:t>n→∞s→</m:t>
        </m:r>
        <m:r>
          <m:rPr>
            <m:sty m:val="p"/>
          </m:rPr>
          <w:rPr>
            <w:rFonts w:ascii="Cambria Math" w:hAnsi="Cambria Math"/>
            <w:sz w:val="22"/>
          </w:rPr>
          <m:t>const</m:t>
        </m:r>
      </m:oMath>
      <w:r>
        <w:t>, как и должно быть согласно теоретическим оценкам.</w:t>
      </w:r>
    </w:p>
    <w:p w14:paraId="BD000000">
      <w:pPr>
        <w:widowControl/>
        <w:spacing w:line="360" w:lineRule="auto"/>
      </w:pPr>
    </w:p>
    <w:p w14:paraId="BE000000">
      <w:pPr>
        <w:widowControl/>
        <w:spacing w:line="360" w:lineRule="auto"/>
      </w:pPr>
      <w:r>
        <w:t xml:space="preserve">Значения коэффициента </w:t>
      </w:r>
      <m:oMath>
        <m:sSub>
          <m:sSubPr/>
          <m:e>
            <m:r>
              <m:rPr/>
              <w:rPr>
                <w:rFonts w:ascii="Cambria Math" w:hAnsi="Cambria Math"/>
                <w:sz w:val="22"/>
              </w:rPr>
              <m:t>c</m:t>
            </m:r>
          </m:e>
          <m:sub>
            <m:r>
              <m:rPr/>
              <w:rPr>
                <w:rFonts w:ascii="Cambria Math" w:hAnsi="Cambria Math"/>
                <w:sz w:val="22"/>
              </w:rPr>
              <m:t>0</m:t>
            </m:r>
          </m:sub>
        </m:sSub>
      </m:oMath>
      <w:r>
        <w:t xml:space="preserve">, который согласно теории должен быть одинаковым для всех моделей, </w:t>
      </w:r>
      <w:r>
        <w:rPr>
          <w:color w:val="FF0000"/>
        </w:rPr>
        <w:t>немного ([вставить соответств. кусок текста из другого файла])</w:t>
      </w:r>
      <w:r>
        <w:t xml:space="preserve"> различаются. Скорее всего, здесь играет свою роль </w:t>
      </w:r>
      <w:r>
        <w:rPr>
          <w:i/>
          <w:color w:val="000000"/>
        </w:rPr>
        <w:t>фундаментальная неточность МНК</w:t>
      </w:r>
      <w:r>
        <w:rPr>
          <w:color w:val="000000"/>
        </w:rPr>
        <w:t xml:space="preserve"> </w:t>
      </w:r>
      <w:r>
        <w:t xml:space="preserve">и учет не всех факторов в теоретической формуле. </w:t>
      </w:r>
    </w:p>
    <w:p w14:paraId="BF000000">
      <w:pPr>
        <w:widowControl/>
        <w:spacing w:line="360" w:lineRule="auto"/>
      </w:pPr>
    </w:p>
    <w:p w14:paraId="C0000000">
      <w:pPr>
        <w:widowControl/>
        <w:spacing w:line="360" w:lineRule="auto"/>
        <w:rPr>
          <w:i/>
          <w:color w:val="000000"/>
        </w:rPr>
      </w:pPr>
      <w:r>
        <w:t xml:space="preserve">Приведенные анализ позволяет говорить о </w:t>
      </w:r>
      <w:r>
        <w:rPr>
          <w:color w:val="FF0000"/>
        </w:rPr>
        <w:t xml:space="preserve">большой степени </w:t>
      </w:r>
      <w:r>
        <w:t xml:space="preserve">удовлетворительности использования теоретической формулы для </w:t>
      </w:r>
      <w:r>
        <w:rPr>
          <w:strike/>
          <w:color w:val="FF0000"/>
        </w:rPr>
        <w:t>априорной оценки ускорения программы</w:t>
      </w:r>
      <w:r>
        <w:rPr>
          <w:color w:val="FF0000"/>
        </w:rPr>
        <w:t xml:space="preserve"> аппроксимации зависимости ускорения от размерности сетки</w:t>
      </w:r>
      <w:r>
        <w:t xml:space="preserve">. </w:t>
      </w:r>
      <w:r>
        <w:rPr>
          <w:strike/>
          <w:color w:val="FF0000"/>
        </w:rPr>
        <w:t xml:space="preserve">При этом, значения для коэффициентов </w:t>
      </w:r>
      <m:oMath>
        <m:sSub>
          <m:sSubPr/>
          <m:e>
            <m:r>
              <m:rPr/>
              <w:rPr>
                <w:rFonts w:ascii="Cambria Math" w:hAnsi="Cambria Math"/>
                <w:sz w:val="22"/>
              </w:rPr>
              <m:t>c</m:t>
            </m:r>
          </m:e>
          <m:sub>
            <m:r>
              <m:rPr/>
              <w:rPr>
                <w:rFonts w:ascii="Cambria Math" w:hAnsi="Cambria Math"/>
                <w:sz w:val="22"/>
              </w:rPr>
              <m:t>i</m:t>
            </m:r>
          </m:sub>
        </m:sSub>
      </m:oMath>
      <w:r>
        <w:rPr>
          <w:strike/>
          <w:color w:val="FF0000"/>
        </w:rPr>
        <w:t xml:space="preserve"> нужно вычислять явно по формулам (*).</w:t>
      </w:r>
      <w:r>
        <w:t xml:space="preserve"> Для каждой модели и вычислительной системы значения коэффициентов будут различаться. [этот абзац – заключения; подумать, какие заключения сделать вместо данных]</w:t>
      </w:r>
      <w:r>
        <w:br w:type="page"/>
      </w:r>
    </w:p>
    <w:p w14:paraId="C1000000">
      <w:pPr>
        <w:pStyle w:val="2"/>
      </w:pPr>
      <w:r>
        <w:t>Обсуждение</w:t>
      </w:r>
    </w:p>
    <w:p w14:paraId="C2000000">
      <w:pPr>
        <w:widowControl/>
        <w:spacing w:line="360" w:lineRule="auto"/>
        <w:ind w:firstLine="708"/>
        <w:rPr>
          <w:color w:val="FF0000"/>
        </w:rPr>
      </w:pPr>
      <w:r>
        <w:t xml:space="preserve">С точки зрения числа арифметических операций, численное решение моделей BR и YNI практически идентично. Технически, </w:t>
      </w:r>
      <w:r>
        <w:rPr>
          <w:color w:val="FF0000"/>
        </w:rPr>
        <w:t xml:space="preserve">в модели YNI пейсмейкерный ток можно рассматривать как ток стимуляции, зависящий не от времени, а от вектора переменных системы; </w:t>
      </w:r>
      <w:r>
        <w:rPr>
          <w:color w:val="000000"/>
        </w:rPr>
        <w:t>также, в модели YNI на 1 больше ионных токов.</w:t>
      </w:r>
      <w:r>
        <w:rPr>
          <w:color w:val="FF0000"/>
        </w:rPr>
        <w:t xml:space="preserve"> </w:t>
      </w:r>
      <w:r>
        <w:rPr>
          <w:color w:val="000000"/>
        </w:rPr>
        <w:t xml:space="preserve">Мы </w:t>
      </w:r>
      <w:r>
        <w:t xml:space="preserve">хотели бы повторить, что выбор моделей был </w:t>
      </w:r>
      <w:r>
        <w:rPr>
          <w:i/>
        </w:rPr>
        <w:t>формальным</w:t>
      </w:r>
      <w:r>
        <w:t>, чтобы покрыть весь спектр моделей кардиоцитов.</w:t>
      </w:r>
    </w:p>
    <w:p w14:paraId="C3000000">
      <w:pPr>
        <w:widowControl/>
        <w:spacing w:line="360" w:lineRule="auto"/>
      </w:pPr>
    </w:p>
    <w:p w14:paraId="C4000000">
      <w:pPr>
        <w:widowControl/>
        <w:spacing w:line="360" w:lineRule="auto"/>
        <w:ind w:firstLine="708"/>
      </w:pPr>
      <w:r>
        <w:t xml:space="preserve">В численной схеме мы не использовали популярный метод </w:t>
      </w:r>
      <w:r>
        <w:rPr>
          <w:i/>
        </w:rPr>
        <w:t>расщепления по физическим процессам</w:t>
      </w:r>
      <w:r>
        <w:t xml:space="preserve">: это приводит к значительному увеличению громоздкости программной реализации при </w:t>
      </w:r>
      <w:r>
        <w:rPr>
          <w:color w:val="FF0000"/>
        </w:rPr>
        <w:t>неочевидном</w:t>
      </w:r>
      <w:r>
        <w:t xml:space="preserve"> приросте производительности. </w:t>
      </w:r>
      <w:r>
        <w:rPr>
          <w:color w:val="FF0000"/>
        </w:rPr>
        <w:t>Плюс к этому</w:t>
      </w:r>
      <w:r>
        <w:t>, классический метод Эйлера также используется во многих современных работах [ссылки]. TODO</w:t>
      </w:r>
    </w:p>
    <w:p w14:paraId="C5000000">
      <w:pPr>
        <w:widowControl/>
        <w:spacing w:line="360" w:lineRule="auto"/>
      </w:pPr>
    </w:p>
    <w:p w14:paraId="C6000000">
      <w:pPr>
        <w:widowControl/>
        <w:spacing w:line="360" w:lineRule="auto"/>
        <w:ind w:firstLine="708"/>
        <w:rPr>
          <w:color w:val="000000"/>
        </w:rPr>
      </w:pPr>
      <w:r>
        <w:rPr>
          <w:color w:val="000000"/>
        </w:rPr>
        <w:t>Мы не включали в замеры времени процесс вычисления начальных условий для инициирования реентри: для этого могут использоваться различные протоколы [ссылка] и технические способы (чтение из файла, вычисление в расчетной программе «на лету» и пр.); кроме этого, начальные условия могут быть произвольными, т.е. задаваться согласно произвольному протоколу. Поэтому требовалось исключить данную вариабельность из замеров времени и оставить только замер времени выполнения timestepping-цикла, одинакового для любых начальных условий.</w:t>
      </w:r>
    </w:p>
    <w:p w14:paraId="C7000000">
      <w:pPr>
        <w:widowControl/>
        <w:spacing w:line="360" w:lineRule="auto"/>
        <w:rPr>
          <w:color w:val="FF0000"/>
        </w:rPr>
      </w:pPr>
    </w:p>
    <w:p w14:paraId="C8000000">
      <w:pPr>
        <w:widowControl/>
        <w:spacing w:line="360" w:lineRule="auto"/>
        <w:ind w:firstLine="708"/>
      </w:pPr>
      <w:r>
        <w:rPr>
          <w:color w:val="000000"/>
        </w:rPr>
        <w:t xml:space="preserve">В данной работе мы рассматривали миокард как </w:t>
      </w:r>
      <w:r>
        <w:rPr>
          <w:i/>
          <w:color w:val="000000"/>
        </w:rPr>
        <w:t>сплошную</w:t>
      </w:r>
      <w:r>
        <w:rPr>
          <w:color w:val="000000"/>
        </w:rPr>
        <w:t xml:space="preserve"> среду, что является широко распространенной аппроксимацией, используемой при моделировании в кардиологии. При моделировании относительно больших участков ткани желудочка (модели AP и BR) данная аппроксимация является </w:t>
      </w:r>
      <w:r>
        <w:rPr>
          <w:color w:val="FF0000"/>
        </w:rPr>
        <w:t>хорошей</w:t>
      </w:r>
      <w:r>
        <w:rPr>
          <w:color w:val="000000"/>
        </w:rPr>
        <w:t xml:space="preserve">; однако, размер синусового узла мал (порядка 20x5 мм </w:t>
      </w:r>
      <w:r>
        <w:t xml:space="preserve">[Mathematical models of cardiac pacemaking function]) по сравнению с </w:t>
      </w:r>
      <w:r>
        <w:rPr>
          <w:color w:val="FF0000"/>
        </w:rPr>
        <w:t>размером жедудочков</w:t>
      </w:r>
      <w:r>
        <w:rPr>
          <w:color w:val="000000"/>
        </w:rPr>
        <w:t xml:space="preserve"> и его ткань состоит из клеток различного типа, поэтому требуется переход к модели </w:t>
      </w:r>
      <w:r>
        <w:rPr>
          <w:i/>
          <w:color w:val="000000"/>
        </w:rPr>
        <w:t>дискретной</w:t>
      </w:r>
      <w:r>
        <w:rPr>
          <w:color w:val="000000"/>
        </w:rPr>
        <w:t xml:space="preserve"> среды [ссылки]. При этом алгоритм timestepping-цикла не поменяется, а следовательно, полученные значения ускорений можно считать универсальными, также соответствующими программам, реализующих алгоритм расчета дискретной среды. [привести вывод формулы для коэффициента диффузии]</w:t>
      </w:r>
    </w:p>
    <w:p w14:paraId="C9000000"/>
    <w:p w14:paraId="CA000000">
      <w:pPr>
        <w:pStyle w:val="3"/>
      </w:pPr>
      <w:r>
        <w:t>Оптимизации GPU</w:t>
      </w:r>
    </w:p>
    <w:p w14:paraId="CB000000">
      <w:pPr>
        <w:widowControl/>
        <w:spacing w:line="360" w:lineRule="auto"/>
        <w:ind w:firstLine="70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Для большей оптимизации в технологии OpenACC имеются и другие директивы (например cache, atomic), а также опции тонкой настройки исполнения циклов (gang, worker, vector) [ссылки]; рассмотрение требует более глубокого знания архитектуры GPU и выходит за рамки данной статьи. [упомянуть больше директив для солидности текста?]. Применение данных оптимизаций поможет приблизиться к эффективности CUDA-кода.</w:t>
      </w:r>
    </w:p>
    <w:p w14:paraId="CC000000">
      <w:pPr>
        <w:pStyle w:val="3"/>
      </w:pPr>
      <w:r>
        <w:t>Технологии программирования</w:t>
      </w:r>
    </w:p>
    <w:p w14:paraId="CD000000">
      <w:pPr>
        <w:widowControl/>
        <w:spacing w:line="360" w:lineRule="auto"/>
        <w:ind w:firstLine="70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Программа была написана с использованием/помощью [именно «с помощью» верно] процедурного подхода на языке С(</w:t>
      </w:r>
      <w:r>
        <w:rPr>
          <w:color w:val="FF0000"/>
        </w:rPr>
        <w:t>99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): для написания расчетных программ учеными данный язык используется </w:t>
      </w:r>
      <w:r>
        <w:rPr>
          <w:color w:val="FF0000"/>
        </w:rPr>
        <w:t>чаще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[примеры] языка C++.</w:t>
      </w:r>
    </w:p>
    <w:p w14:paraId="CE000000">
      <w:pPr>
        <w:widowControl/>
        <w:spacing w:line="360" w:lineRule="auto"/>
        <w:ind w:firstLine="70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Полученные показатели эффективности параллельных программ (ускорения ~2X раз) получились «средними», но ожидаемыми [ссылка на учебную презентацию с разбором распараллеливания метода Якоби]. При задействовании технологий CUDA/OpenCL возможно получить большую эффективность, но ценой значительно более долгого процесса программирования и низкой степени читабельности получаемого программного кода.</w:t>
      </w:r>
    </w:p>
    <w:p w14:paraId="CF000000">
      <w:pPr>
        <w:widowControl/>
        <w:spacing w:line="360" w:lineRule="auto"/>
        <w:ind w:firstLine="70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Технология OpenACC развивается: в последнее время ([указать год]) появляются все новые опции (например,</w:t>
      </w:r>
      <w:r>
        <w:rPr>
          <w:color w:val="00B050"/>
        </w:rPr>
        <w:t xml:space="preserve"> </w:t>
      </w:r>
      <w:r>
        <w:rPr>
          <w:color w:val="FF0000"/>
        </w:rPr>
        <w:t>unified memory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), позволяющие еще больше упростить процесс распараллеливания</w:t>
      </w:r>
      <w:r>
        <w:rPr>
          <w:color w:val="FF0000"/>
        </w:rPr>
        <w:t>, приближая сложность использования к таковой для технологии OpenMP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 В будущем [дата] планируется объединить обе упомянутые технологии в одну [ссылка с proofom].</w:t>
      </w:r>
    </w:p>
    <w:p w14:paraId="D0000000">
      <w:pPr>
        <w:widowControl/>
        <w:spacing w:line="360" w:lineRule="auto"/>
        <w:ind w:firstLine="70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Дополнительное ускорение проще всего получить </w:t>
      </w:r>
      <w:r>
        <w:rPr>
          <w:color w:val="FF0000"/>
        </w:rPr>
        <w:t>экстенсивным</w:t>
      </w:r>
      <w:r>
        <w:t xml:space="preserve"> путем, незначительно модифицировав программу для выполнения расчетов на </w:t>
      </w:r>
      <w:r>
        <w:rPr>
          <w:i/>
        </w:rPr>
        <w:t>гибридных</w:t>
      </w:r>
      <w:r>
        <w:t xml:space="preserve"> архитектурах (</w:t>
      </w:r>
      <w:r>
        <w:rPr>
          <w:color w:val="FF0000"/>
        </w:rPr>
        <w:t>узел</w:t>
      </w:r>
      <w:r>
        <w:t xml:space="preserve">, состоящий из нескольких GPU под управлением многоядерного CPU; </w:t>
      </w:r>
      <w:r>
        <w:rPr>
          <w:color w:val="FF0000"/>
        </w:rPr>
        <w:t>подобные узлы</w:t>
      </w:r>
      <w:r>
        <w:t>, объединенные в MPI-кластер). [ссылки на статьи MPI + OpenMP + OpenACC].</w:t>
      </w:r>
    </w:p>
    <w:p w14:paraId="D1000000">
      <w:pPr>
        <w:widowControl/>
        <w:spacing w:line="360" w:lineRule="auto"/>
        <w:rPr>
          <w:color w:val="00B050"/>
        </w:rPr>
      </w:pPr>
    </w:p>
    <w:p w14:paraId="D2000000">
      <w:pPr>
        <w:widowControl/>
        <w:spacing w:line="240" w:lineRule="auto"/>
        <w:rPr>
          <w:color w:val="00B050"/>
        </w:rPr>
      </w:pPr>
      <w:r>
        <w:rPr>
          <w:color w:val="00B050"/>
        </w:rPr>
        <w:br w:type="page"/>
      </w:r>
    </w:p>
    <w:p w14:paraId="D3000000">
      <w:pPr>
        <w:pStyle w:val="2"/>
      </w:pPr>
      <w:r>
        <w:t>Заключение</w:t>
      </w:r>
    </w:p>
    <w:p w14:paraId="D4000000">
      <w:pPr>
        <w:widowControl/>
        <w:spacing w:line="360" w:lineRule="auto"/>
        <w:ind w:firstLine="708"/>
      </w:pPr>
      <w:r>
        <w:t>Степень сложности детальных моделей кардиоцитов постоянно возрастает, в них учитываются все новые физиологические процессы. Для эффективного моделирования жизненно необходимы развитие параллельных алгоритмов и наращивание вычислительных мощностей.</w:t>
      </w:r>
    </w:p>
    <w:p w14:paraId="D5000000">
      <w:pPr>
        <w:widowControl/>
        <w:spacing w:line="360" w:lineRule="auto"/>
        <w:ind w:firstLine="708"/>
        <w:rPr>
          <w:color w:val="000000"/>
        </w:rPr>
      </w:pPr>
      <w:r>
        <w:t xml:space="preserve">В работе продемонстрировано использование технологии OpenACC. Авторы показали, что технология позволяет значительно ускорить процесс распараллеливания программ на GPU по сравнению с технологией CUDA. В итоге, это уменьшит полное время до получения результатов, жизненно важных в медицинской практике. [звучит как реклама, отчасти]. При успехах в развитии моделей в ближайшем будущем, появится возможность применять </w:t>
      </w:r>
      <w:r>
        <w:rPr>
          <w:color w:val="000000"/>
        </w:rPr>
        <w:t xml:space="preserve">компьютерное моделирование в </w:t>
      </w:r>
      <w:r>
        <w:rPr>
          <w:color w:val="FF0000"/>
        </w:rPr>
        <w:t xml:space="preserve">терапевтической </w:t>
      </w:r>
      <w:r>
        <w:rPr>
          <w:color w:val="000000"/>
        </w:rPr>
        <w:t>практике (персонализированная медицина):</w:t>
      </w:r>
      <w:r>
        <w:rPr>
          <w:color w:val="FF0000"/>
        </w:rPr>
        <w:t xml:space="preserve"> </w:t>
      </w:r>
      <w:r>
        <w:rPr>
          <w:color w:val="000000"/>
        </w:rPr>
        <w:t>для сохранения здоровья, а иногда и жизни пациента, в клинике потребуется проводить моделирование всего сердца практически в режиме реального времени.</w:t>
      </w:r>
    </w:p>
    <w:p w14:paraId="D6000000">
      <w:pPr>
        <w:widowControl/>
        <w:spacing w:line="360" w:lineRule="auto"/>
        <w:ind w:firstLine="708"/>
      </w:pPr>
      <w:r>
        <w:rPr>
          <w:color w:val="000000"/>
        </w:rPr>
        <w:t>TODO</w:t>
      </w:r>
    </w:p>
    <w:p w14:paraId="D7000000">
      <w:pPr>
        <w:widowControl/>
        <w:spacing w:line="360" w:lineRule="auto"/>
      </w:pPr>
    </w:p>
    <w:p w14:paraId="D8000000">
      <w:pPr>
        <w:widowControl/>
        <w:spacing w:line="240" w:lineRule="auto"/>
      </w:pPr>
      <w:r>
        <w:br w:type="page"/>
      </w:r>
    </w:p>
    <w:p w14:paraId="D9000000">
      <w:pPr>
        <w:pStyle w:val="2"/>
      </w:pPr>
      <w:r>
        <w:t>Список литературы</w:t>
      </w:r>
    </w:p>
    <w:p w14:paraId="DA000000">
      <w:pPr>
        <w:widowControl/>
        <w:numPr>
          <w:ilvl w:val="0"/>
          <w:numId w:val="10"/>
        </w:numPr>
        <w:spacing w:line="360" w:lineRule="auto"/>
      </w:pPr>
      <w:r>
        <w:t>CUDA Full Manual.</w:t>
      </w:r>
    </w:p>
    <w:p w14:paraId="DB000000">
      <w:pPr>
        <w:widowControl/>
        <w:numPr>
          <w:ilvl w:val="0"/>
          <w:numId w:val="10"/>
        </w:numPr>
        <w:spacing w:line="360" w:lineRule="auto"/>
      </w:pPr>
      <w:r>
        <w:t>OpenACC Full Manual.</w:t>
      </w:r>
    </w:p>
    <w:p w14:paraId="DC000000">
      <w:pPr>
        <w:widowControl/>
        <w:numPr>
          <w:ilvl w:val="0"/>
          <w:numId w:val="10"/>
        </w:numPr>
        <w:spacing w:line="360" w:lineRule="auto"/>
      </w:pPr>
      <w:r>
        <w:t>OpenACC best practices guide.</w:t>
      </w:r>
    </w:p>
    <w:p w14:paraId="DD000000">
      <w:pPr>
        <w:widowControl/>
        <w:numPr>
          <w:ilvl w:val="0"/>
          <w:numId w:val="10"/>
        </w:numPr>
        <w:spacing w:line="360" w:lineRule="auto"/>
      </w:pPr>
      <w:r>
        <w:t>OpenACC – обзорная статья.</w:t>
      </w:r>
    </w:p>
    <w:p w14:paraId="DE000000">
      <w:pPr>
        <w:widowControl/>
        <w:numPr>
          <w:ilvl w:val="0"/>
          <w:numId w:val="10"/>
        </w:numPr>
        <w:spacing w:line="360" w:lineRule="auto"/>
      </w:pPr>
      <w:r>
        <w:t>Р.Р. Алиев. Концептуальные и детальные модели электрической активности миокарда.</w:t>
      </w:r>
    </w:p>
    <w:p w14:paraId="DF000000">
      <w:pPr>
        <w:widowControl/>
        <w:numPr>
          <w:ilvl w:val="0"/>
          <w:numId w:val="10"/>
        </w:numPr>
        <w:spacing w:line="360" w:lineRule="auto"/>
      </w:pPr>
      <w:r>
        <w:t>GPU Accelerating 2D-heat equation solution.</w:t>
      </w:r>
    </w:p>
    <w:p w14:paraId="E0000000">
      <w:pPr>
        <w:widowControl/>
        <w:numPr>
          <w:ilvl w:val="0"/>
          <w:numId w:val="10"/>
        </w:numPr>
        <w:spacing w:line="360" w:lineRule="auto"/>
      </w:pPr>
      <w:r>
        <w:rPr>
          <w:rStyle w:val="16"/>
        </w:rPr>
        <w:fldChar w:fldCharType="begin"/>
      </w:r>
      <w:r>
        <w:rPr>
          <w:rStyle w:val="16"/>
        </w:rPr>
        <w:instrText xml:space="preserve">HYPERLINK "https://devblogs.nvidia.com/parallelforall/openacc-example-part-1/"</w:instrText>
      </w:r>
      <w:r>
        <w:rPr>
          <w:rStyle w:val="16"/>
        </w:rPr>
        <w:fldChar w:fldCharType="separate"/>
      </w:r>
      <w:r>
        <w:rPr>
          <w:rStyle w:val="16"/>
        </w:rPr>
        <w:t>https://devblogs.nvidia.com/parallelforall/openacc-example-part-1/</w:t>
      </w:r>
      <w:r>
        <w:rPr>
          <w:rStyle w:val="16"/>
        </w:rPr>
        <w:fldChar w:fldCharType="end"/>
      </w:r>
      <w:r>
        <w:t>.</w:t>
      </w:r>
    </w:p>
    <w:p w14:paraId="E1000000">
      <w:pPr>
        <w:widowControl/>
        <w:numPr>
          <w:ilvl w:val="0"/>
          <w:numId w:val="10"/>
        </w:numPr>
        <w:spacing w:line="360" w:lineRule="auto"/>
      </w:pPr>
      <w:r>
        <w:rPr>
          <w:rStyle w:val="16"/>
        </w:rPr>
        <w:fldChar w:fldCharType="begin"/>
      </w:r>
      <w:r>
        <w:rPr>
          <w:rStyle w:val="16"/>
        </w:rPr>
        <w:instrText xml:space="preserve">HYPERLINK "https://devblogs.nvidia.com/parallelforall/getting-started-openacc/"</w:instrText>
      </w:r>
      <w:r>
        <w:rPr>
          <w:rStyle w:val="16"/>
        </w:rPr>
        <w:fldChar w:fldCharType="separate"/>
      </w:r>
      <w:r>
        <w:rPr>
          <w:rStyle w:val="16"/>
        </w:rPr>
        <w:t>https://devblogs.nvidia.com/parallelforall/getting-started-openacc/</w:t>
      </w:r>
      <w:r>
        <w:rPr>
          <w:rStyle w:val="16"/>
        </w:rPr>
        <w:fldChar w:fldCharType="end"/>
      </w:r>
      <w:r>
        <w:t>.</w:t>
      </w:r>
    </w:p>
    <w:p w14:paraId="E2000000">
      <w:pPr>
        <w:widowControl/>
        <w:numPr>
          <w:ilvl w:val="0"/>
          <w:numId w:val="10"/>
        </w:numPr>
        <w:spacing w:line="360" w:lineRule="auto"/>
      </w:pPr>
      <w:r>
        <w:t>Fast Acceleration of 2D Wave Propagation Simulations Using Modern Computational Accelerators.</w:t>
      </w:r>
    </w:p>
    <w:p w14:paraId="E3000000">
      <w:pPr>
        <w:widowControl/>
        <w:numPr>
          <w:ilvl w:val="0"/>
          <w:numId w:val="10"/>
        </w:numPr>
        <w:spacing w:line="360" w:lineRule="auto"/>
      </w:pPr>
      <w:r>
        <w:t>GPU Accelerating 2D-heat equation solution.</w:t>
      </w:r>
    </w:p>
    <w:p w14:paraId="E4000000">
      <w:pPr>
        <w:widowControl/>
        <w:numPr>
          <w:ilvl w:val="0"/>
          <w:numId w:val="10"/>
        </w:numPr>
        <w:spacing w:line="360" w:lineRule="auto"/>
      </w:pPr>
      <w:r>
        <w:rPr>
          <w:rStyle w:val="16"/>
        </w:rPr>
        <w:fldChar w:fldCharType="begin"/>
      </w:r>
      <w:r>
        <w:rPr>
          <w:rStyle w:val="16"/>
        </w:rPr>
        <w:instrText xml:space="preserve">HYPERLINK "http://www.cs.otago.ac.nz/pmam2014/slides/Xu.pdf"</w:instrText>
      </w:r>
      <w:r>
        <w:rPr>
          <w:rStyle w:val="16"/>
        </w:rPr>
        <w:fldChar w:fldCharType="separate"/>
      </w:r>
      <w:r>
        <w:rPr>
          <w:rStyle w:val="16"/>
        </w:rPr>
        <w:t>http://www.cs.otago.ac.nz/pmam2014/slides/Xu.pdf</w:t>
      </w:r>
      <w:r>
        <w:rPr>
          <w:rStyle w:val="16"/>
        </w:rPr>
        <w:fldChar w:fldCharType="end"/>
      </w:r>
      <w:r>
        <w:t>.</w:t>
      </w:r>
    </w:p>
    <w:p w14:paraId="E5000000">
      <w:pPr>
        <w:widowControl/>
        <w:numPr>
          <w:ilvl w:val="0"/>
          <w:numId w:val="10"/>
        </w:numPr>
        <w:spacing w:line="360" w:lineRule="auto"/>
      </w:pPr>
      <w:r>
        <w:t>Exploring Programming Multi-GPUs using OpenMP &amp; OpenACC-based Hybrid Model.</w:t>
      </w:r>
    </w:p>
    <w:p w14:paraId="E6000000">
      <w:pPr>
        <w:widowControl/>
        <w:numPr>
          <w:ilvl w:val="0"/>
          <w:numId w:val="10"/>
        </w:numPr>
        <w:spacing w:line="360" w:lineRule="auto"/>
      </w:pPr>
      <w:r>
        <w:t>…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EOFG H+ Univer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00000">
    <w:pPr>
      <w:pStyle w:val="33"/>
      <w:widowControl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02000000">
    <w:pPr>
      <w:pStyle w:val="3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widowControl/>
        <w:ind w:left="927" w:hanging="360"/>
      </w:pPr>
    </w:lvl>
    <w:lvl w:ilvl="1" w:tentative="0">
      <w:start w:val="1"/>
      <w:numFmt w:val="lowerLetter"/>
      <w:lvlText w:val="%2."/>
      <w:lvlJc w:val="left"/>
      <w:pPr>
        <w:widowControl/>
        <w:ind w:left="1647" w:hanging="360"/>
      </w:pPr>
    </w:lvl>
    <w:lvl w:ilvl="2" w:tentative="0">
      <w:start w:val="1"/>
      <w:numFmt w:val="lowerRoman"/>
      <w:lvlText w:val="%3."/>
      <w:lvlJc w:val="right"/>
      <w:pPr>
        <w:widowControl/>
        <w:ind w:left="2367" w:hanging="180"/>
      </w:pPr>
    </w:lvl>
    <w:lvl w:ilvl="3" w:tentative="0">
      <w:start w:val="1"/>
      <w:numFmt w:val="decimal"/>
      <w:lvlText w:val="%4."/>
      <w:lvlJc w:val="left"/>
      <w:pPr>
        <w:widowControl/>
        <w:ind w:left="3087" w:hanging="360"/>
      </w:pPr>
    </w:lvl>
    <w:lvl w:ilvl="4" w:tentative="0">
      <w:start w:val="1"/>
      <w:numFmt w:val="lowerLetter"/>
      <w:lvlText w:val="%5."/>
      <w:lvlJc w:val="left"/>
      <w:pPr>
        <w:widowControl/>
        <w:ind w:left="3807" w:hanging="360"/>
      </w:pPr>
    </w:lvl>
    <w:lvl w:ilvl="5" w:tentative="0">
      <w:start w:val="1"/>
      <w:numFmt w:val="lowerRoman"/>
      <w:lvlText w:val="%6."/>
      <w:lvlJc w:val="right"/>
      <w:pPr>
        <w:widowControl/>
        <w:ind w:left="4527" w:hanging="180"/>
      </w:pPr>
    </w:lvl>
    <w:lvl w:ilvl="6" w:tentative="0">
      <w:start w:val="1"/>
      <w:numFmt w:val="decimal"/>
      <w:lvlText w:val="%7."/>
      <w:lvlJc w:val="left"/>
      <w:pPr>
        <w:widowControl/>
        <w:ind w:left="5247" w:hanging="360"/>
      </w:pPr>
    </w:lvl>
    <w:lvl w:ilvl="7" w:tentative="0">
      <w:start w:val="1"/>
      <w:numFmt w:val="lowerLetter"/>
      <w:lvlText w:val="%8."/>
      <w:lvlJc w:val="left"/>
      <w:pPr>
        <w:widowControl/>
        <w:ind w:left="5967" w:hanging="360"/>
      </w:pPr>
    </w:lvl>
    <w:lvl w:ilvl="8" w:tentative="0">
      <w:start w:val="1"/>
      <w:numFmt w:val="lowerRoman"/>
      <w:lvlText w:val="%9."/>
      <w:lvlJc w:val="right"/>
      <w:pPr>
        <w:widowControl/>
        <w:ind w:left="6687" w:hanging="180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widowControl/>
        <w:ind w:left="1647" w:hanging="360"/>
      </w:pPr>
    </w:lvl>
    <w:lvl w:ilvl="1" w:tentative="0">
      <w:start w:val="1"/>
      <w:numFmt w:val="lowerLetter"/>
      <w:lvlText w:val="%2."/>
      <w:lvlJc w:val="left"/>
      <w:pPr>
        <w:widowControl/>
        <w:ind w:left="2367" w:hanging="360"/>
      </w:pPr>
    </w:lvl>
    <w:lvl w:ilvl="2" w:tentative="0">
      <w:start w:val="1"/>
      <w:numFmt w:val="lowerRoman"/>
      <w:lvlText w:val="%3."/>
      <w:lvlJc w:val="right"/>
      <w:pPr>
        <w:widowControl/>
        <w:ind w:left="3087" w:hanging="180"/>
      </w:pPr>
    </w:lvl>
    <w:lvl w:ilvl="3" w:tentative="0">
      <w:start w:val="1"/>
      <w:numFmt w:val="decimal"/>
      <w:lvlText w:val="%4."/>
      <w:lvlJc w:val="left"/>
      <w:pPr>
        <w:widowControl/>
        <w:ind w:left="3807" w:hanging="360"/>
      </w:pPr>
    </w:lvl>
    <w:lvl w:ilvl="4" w:tentative="0">
      <w:start w:val="1"/>
      <w:numFmt w:val="lowerLetter"/>
      <w:lvlText w:val="%5."/>
      <w:lvlJc w:val="left"/>
      <w:pPr>
        <w:widowControl/>
        <w:ind w:left="4527" w:hanging="360"/>
      </w:pPr>
    </w:lvl>
    <w:lvl w:ilvl="5" w:tentative="0">
      <w:start w:val="1"/>
      <w:numFmt w:val="lowerRoman"/>
      <w:lvlText w:val="%6."/>
      <w:lvlJc w:val="right"/>
      <w:pPr>
        <w:widowControl/>
        <w:ind w:left="5247" w:hanging="180"/>
      </w:pPr>
    </w:lvl>
    <w:lvl w:ilvl="6" w:tentative="0">
      <w:start w:val="1"/>
      <w:numFmt w:val="decimal"/>
      <w:lvlText w:val="%7."/>
      <w:lvlJc w:val="left"/>
      <w:pPr>
        <w:widowControl/>
        <w:ind w:left="5967" w:hanging="360"/>
      </w:pPr>
    </w:lvl>
    <w:lvl w:ilvl="7" w:tentative="0">
      <w:start w:val="1"/>
      <w:numFmt w:val="lowerLetter"/>
      <w:lvlText w:val="%8."/>
      <w:lvlJc w:val="left"/>
      <w:pPr>
        <w:widowControl/>
        <w:ind w:left="6687" w:hanging="360"/>
      </w:pPr>
    </w:lvl>
    <w:lvl w:ilvl="8" w:tentative="0">
      <w:start w:val="1"/>
      <w:numFmt w:val="lowerRoman"/>
      <w:lvlText w:val="%9."/>
      <w:lvlJc w:val="right"/>
      <w:pPr>
        <w:widowControl/>
        <w:ind w:left="7407" w:hanging="180"/>
      </w:p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 w:tentative="0">
      <w:start w:val="0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 w:tentative="0">
      <w:start w:val="0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 w:tentative="0">
      <w:start w:val="0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 w:tentative="0">
      <w:start w:val="0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 w:tentative="0">
      <w:start w:val="0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 w:tentative="0">
      <w:start w:val="0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 w:tentative="0">
      <w:start w:val="0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 w:tentative="0">
      <w:start w:val="0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widowControl/>
        <w:ind w:left="720" w:hanging="360"/>
      </w:pPr>
    </w:lvl>
    <w:lvl w:ilvl="1" w:tentative="0">
      <w:start w:val="1"/>
      <w:numFmt w:val="lowerLetter"/>
      <w:lvlText w:val="%2."/>
      <w:lvlJc w:val="left"/>
      <w:pPr>
        <w:widowControl/>
        <w:ind w:left="1440" w:hanging="360"/>
      </w:pPr>
    </w:lvl>
    <w:lvl w:ilvl="2" w:tentative="0">
      <w:start w:val="1"/>
      <w:numFmt w:val="lowerRoman"/>
      <w:lvlText w:val="%3."/>
      <w:lvlJc w:val="right"/>
      <w:pPr>
        <w:widowControl/>
        <w:ind w:left="2160" w:hanging="180"/>
      </w:pPr>
    </w:lvl>
    <w:lvl w:ilvl="3" w:tentative="0">
      <w:start w:val="1"/>
      <w:numFmt w:val="decimal"/>
      <w:lvlText w:val="%4."/>
      <w:lvlJc w:val="left"/>
      <w:pPr>
        <w:widowControl/>
        <w:ind w:left="2880" w:hanging="360"/>
      </w:pPr>
    </w:lvl>
    <w:lvl w:ilvl="4" w:tentative="0">
      <w:start w:val="1"/>
      <w:numFmt w:val="lowerLetter"/>
      <w:lvlText w:val="%5."/>
      <w:lvlJc w:val="left"/>
      <w:pPr>
        <w:widowControl/>
        <w:ind w:left="3600" w:hanging="360"/>
      </w:pPr>
    </w:lvl>
    <w:lvl w:ilvl="5" w:tentative="0">
      <w:start w:val="1"/>
      <w:numFmt w:val="lowerRoman"/>
      <w:lvlText w:val="%6."/>
      <w:lvlJc w:val="right"/>
      <w:pPr>
        <w:widowControl/>
        <w:ind w:left="4320" w:hanging="180"/>
      </w:pPr>
    </w:lvl>
    <w:lvl w:ilvl="6" w:tentative="0">
      <w:start w:val="1"/>
      <w:numFmt w:val="decimal"/>
      <w:lvlText w:val="%7."/>
      <w:lvlJc w:val="left"/>
      <w:pPr>
        <w:widowControl/>
        <w:ind w:left="5040" w:hanging="360"/>
      </w:pPr>
    </w:lvl>
    <w:lvl w:ilvl="7" w:tentative="0">
      <w:start w:val="1"/>
      <w:numFmt w:val="lowerLetter"/>
      <w:lvlText w:val="%8."/>
      <w:lvlJc w:val="left"/>
      <w:pPr>
        <w:widowControl/>
        <w:ind w:left="5760" w:hanging="360"/>
      </w:pPr>
    </w:lvl>
    <w:lvl w:ilvl="8" w:tentative="0">
      <w:start w:val="1"/>
      <w:numFmt w:val="lowerRoman"/>
      <w:lvlText w:val="%9."/>
      <w:lvlJc w:val="right"/>
      <w:pPr>
        <w:widowControl/>
        <w:ind w:left="6480" w:hanging="180"/>
      </w:p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pStyle w:val="62"/>
      <w:lvlText w:val=""/>
      <w:lvlJc w:val="left"/>
      <w:pPr>
        <w:widowControl/>
        <w:ind w:left="144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widowControl/>
        <w:ind w:left="78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widowControl/>
        <w:ind w:left="15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widowControl/>
        <w:ind w:left="222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widowControl/>
        <w:ind w:left="294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widowControl/>
        <w:ind w:left="366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widowControl/>
        <w:ind w:left="438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widowControl/>
        <w:ind w:left="51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widowControl/>
        <w:ind w:left="582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widowControl/>
        <w:ind w:left="6540" w:hanging="360"/>
      </w:pPr>
      <w:rPr>
        <w:rFonts w:ascii="Wingdings" w:hAnsi="Wingdings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widowControl/>
        <w:ind w:left="1287" w:hanging="360"/>
      </w:pPr>
    </w:lvl>
    <w:lvl w:ilvl="1" w:tentative="0">
      <w:start w:val="1"/>
      <w:numFmt w:val="lowerLetter"/>
      <w:lvlText w:val="%2."/>
      <w:lvlJc w:val="left"/>
      <w:pPr>
        <w:widowControl/>
        <w:ind w:left="2007" w:hanging="360"/>
      </w:pPr>
    </w:lvl>
    <w:lvl w:ilvl="2" w:tentative="0">
      <w:start w:val="1"/>
      <w:numFmt w:val="lowerRoman"/>
      <w:lvlText w:val="%3."/>
      <w:lvlJc w:val="right"/>
      <w:pPr>
        <w:widowControl/>
        <w:ind w:left="2727" w:hanging="180"/>
      </w:pPr>
    </w:lvl>
    <w:lvl w:ilvl="3" w:tentative="0">
      <w:start w:val="1"/>
      <w:numFmt w:val="decimal"/>
      <w:lvlText w:val="%4."/>
      <w:lvlJc w:val="left"/>
      <w:pPr>
        <w:widowControl/>
        <w:ind w:left="3447" w:hanging="360"/>
      </w:pPr>
    </w:lvl>
    <w:lvl w:ilvl="4" w:tentative="0">
      <w:start w:val="1"/>
      <w:numFmt w:val="lowerLetter"/>
      <w:lvlText w:val="%5."/>
      <w:lvlJc w:val="left"/>
      <w:pPr>
        <w:widowControl/>
        <w:ind w:left="4167" w:hanging="360"/>
      </w:pPr>
    </w:lvl>
    <w:lvl w:ilvl="5" w:tentative="0">
      <w:start w:val="1"/>
      <w:numFmt w:val="lowerRoman"/>
      <w:lvlText w:val="%6."/>
      <w:lvlJc w:val="right"/>
      <w:pPr>
        <w:widowControl/>
        <w:ind w:left="4887" w:hanging="180"/>
      </w:pPr>
    </w:lvl>
    <w:lvl w:ilvl="6" w:tentative="0">
      <w:start w:val="1"/>
      <w:numFmt w:val="decimal"/>
      <w:lvlText w:val="%7."/>
      <w:lvlJc w:val="left"/>
      <w:pPr>
        <w:widowControl/>
        <w:ind w:left="5607" w:hanging="360"/>
      </w:pPr>
    </w:lvl>
    <w:lvl w:ilvl="7" w:tentative="0">
      <w:start w:val="1"/>
      <w:numFmt w:val="lowerLetter"/>
      <w:lvlText w:val="%8."/>
      <w:lvlJc w:val="left"/>
      <w:pPr>
        <w:widowControl/>
        <w:ind w:left="6327" w:hanging="360"/>
      </w:pPr>
    </w:lvl>
    <w:lvl w:ilvl="8" w:tentative="0">
      <w:start w:val="1"/>
      <w:numFmt w:val="lowerRoman"/>
      <w:lvlText w:val="%9."/>
      <w:lvlJc w:val="right"/>
      <w:pPr>
        <w:widowControl/>
        <w:ind w:left="7047" w:hanging="180"/>
      </w:p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widowControl/>
        <w:ind w:left="1428" w:hanging="360"/>
      </w:pPr>
    </w:lvl>
    <w:lvl w:ilvl="1" w:tentative="0">
      <w:start w:val="1"/>
      <w:numFmt w:val="lowerLetter"/>
      <w:lvlText w:val="%2."/>
      <w:lvlJc w:val="left"/>
      <w:pPr>
        <w:widowControl/>
        <w:ind w:left="2148" w:hanging="360"/>
      </w:pPr>
    </w:lvl>
    <w:lvl w:ilvl="2" w:tentative="0">
      <w:start w:val="1"/>
      <w:numFmt w:val="lowerRoman"/>
      <w:lvlText w:val="%3."/>
      <w:lvlJc w:val="right"/>
      <w:pPr>
        <w:widowControl/>
        <w:ind w:left="2868" w:hanging="180"/>
      </w:pPr>
    </w:lvl>
    <w:lvl w:ilvl="3" w:tentative="0">
      <w:start w:val="1"/>
      <w:numFmt w:val="decimal"/>
      <w:lvlText w:val="%4."/>
      <w:lvlJc w:val="left"/>
      <w:pPr>
        <w:widowControl/>
        <w:ind w:left="3588" w:hanging="360"/>
      </w:pPr>
    </w:lvl>
    <w:lvl w:ilvl="4" w:tentative="0">
      <w:start w:val="1"/>
      <w:numFmt w:val="lowerLetter"/>
      <w:lvlText w:val="%5."/>
      <w:lvlJc w:val="left"/>
      <w:pPr>
        <w:widowControl/>
        <w:ind w:left="4308" w:hanging="360"/>
      </w:pPr>
    </w:lvl>
    <w:lvl w:ilvl="5" w:tentative="0">
      <w:start w:val="1"/>
      <w:numFmt w:val="lowerRoman"/>
      <w:lvlText w:val="%6."/>
      <w:lvlJc w:val="right"/>
      <w:pPr>
        <w:widowControl/>
        <w:ind w:left="5028" w:hanging="180"/>
      </w:pPr>
    </w:lvl>
    <w:lvl w:ilvl="6" w:tentative="0">
      <w:start w:val="1"/>
      <w:numFmt w:val="decimal"/>
      <w:lvlText w:val="%7."/>
      <w:lvlJc w:val="left"/>
      <w:pPr>
        <w:widowControl/>
        <w:ind w:left="5748" w:hanging="360"/>
      </w:pPr>
    </w:lvl>
    <w:lvl w:ilvl="7" w:tentative="0">
      <w:start w:val="1"/>
      <w:numFmt w:val="lowerLetter"/>
      <w:lvlText w:val="%8."/>
      <w:lvlJc w:val="left"/>
      <w:pPr>
        <w:widowControl/>
        <w:ind w:left="6468" w:hanging="360"/>
      </w:pPr>
    </w:lvl>
    <w:lvl w:ilvl="8" w:tentative="0">
      <w:start w:val="1"/>
      <w:numFmt w:val="lowerRoman"/>
      <w:lvlText w:val="%9."/>
      <w:lvlJc w:val="right"/>
      <w:pPr>
        <w:widowControl/>
        <w:ind w:left="7188" w:hanging="180"/>
      </w:p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EB158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qFormat="1" w:unhideWhenUsed="0" w:uiPriority="39" w:semiHidden="0" w:name="toc 4"/>
    <w:lsdException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qFormat="1"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0" w:semiHidden="0" w:name="Table Grid"/>
    <w:lsdException w:uiPriority="99" w:name="Table Theme"/>
    <w:lsdException w:unhideWhenUsed="0" w:uiPriority="0" w:semiHidden="0" w:name="Placeholder Text"/>
    <w:lsdException w:unhideWhenUsed="0" w:uiPriority="0" w:semiHidden="0" w:name="No Spacing"/>
    <w:lsdException w:unhideWhenUsed="0" w:uiPriority="0" w:semiHidden="0" w:name="List Paragraph"/>
    <w:lsdException w:unhideWhenUsed="0" w:uiPriority="0" w:semiHidden="0" w:name="Quote"/>
    <w:lsdException w:qFormat="1" w:unhideWhenUsed="0" w:uiPriority="0" w:semiHidden="0" w:name="Intense Quote"/>
  </w:latentStyles>
  <w:style w:type="paragraph" w:default="1" w:styleId="1">
    <w:name w:val="Normal"/>
    <w:qFormat/>
    <w:uiPriority w:val="0"/>
    <w:pPr>
      <w:widowControl/>
      <w:spacing w:before="0" w:after="0" w:line="276" w:lineRule="auto"/>
      <w:ind w:left="0" w:right="0" w:firstLine="0"/>
      <w:jc w:val="left"/>
    </w:pPr>
    <w:rPr>
      <w:rFonts w:ascii="Times New Roman" w:hAnsi="Times New Roman"/>
      <w:color w:val="000000"/>
      <w:spacing w:val="0"/>
      <w:sz w:val="24"/>
    </w:rPr>
  </w:style>
  <w:style w:type="paragraph" w:styleId="2">
    <w:name w:val="heading 1"/>
    <w:basedOn w:val="1"/>
    <w:next w:val="1"/>
    <w:qFormat/>
    <w:uiPriority w:val="9"/>
    <w:pPr>
      <w:widowControl/>
      <w:spacing w:before="360" w:after="360" w:line="360" w:lineRule="auto"/>
      <w:outlineLvl w:val="0"/>
    </w:pPr>
    <w:rPr>
      <w:rFonts w:ascii="Arial" w:hAnsi="Arial"/>
      <w:b/>
      <w:sz w:val="36"/>
    </w:rPr>
  </w:style>
  <w:style w:type="paragraph" w:styleId="3">
    <w:name w:val="heading 2"/>
    <w:basedOn w:val="1"/>
    <w:next w:val="1"/>
    <w:qFormat/>
    <w:uiPriority w:val="9"/>
    <w:pPr>
      <w:widowControl/>
      <w:spacing w:before="120" w:after="120" w:line="36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qFormat/>
    <w:uiPriority w:val="9"/>
    <w:pPr>
      <w:keepNext/>
      <w:keepLines/>
      <w:widowControl/>
      <w:spacing w:before="120" w:after="120" w:line="360" w:lineRule="auto"/>
      <w:outlineLvl w:val="2"/>
    </w:pPr>
    <w:rPr>
      <w:rFonts w:ascii="Arial" w:hAnsi="Arial"/>
      <w:b/>
      <w:sz w:val="28"/>
    </w:rPr>
  </w:style>
  <w:style w:type="paragraph" w:styleId="5">
    <w:name w:val="heading 4"/>
    <w:basedOn w:val="1"/>
    <w:next w:val="1"/>
    <w:qFormat/>
    <w:uiPriority w:val="9"/>
    <w:pPr>
      <w:widowControl/>
      <w:spacing w:before="200" w:after="100" w:line="240" w:lineRule="auto"/>
      <w:contextualSpacing/>
      <w:outlineLvl w:val="3"/>
    </w:pPr>
    <w:rPr>
      <w:rFonts w:ascii="Calibri" w:hAnsi="Calibri"/>
      <w:b/>
      <w:color w:val="5A7075"/>
    </w:rPr>
  </w:style>
  <w:style w:type="paragraph" w:styleId="6">
    <w:name w:val="heading 5"/>
    <w:basedOn w:val="1"/>
    <w:next w:val="1"/>
    <w:qFormat/>
    <w:uiPriority w:val="9"/>
    <w:pPr>
      <w:widowControl/>
      <w:spacing w:before="200" w:after="100" w:line="240" w:lineRule="auto"/>
      <w:contextualSpacing/>
      <w:outlineLvl w:val="4"/>
    </w:pPr>
    <w:rPr>
      <w:rFonts w:ascii="Calibri" w:hAnsi="Calibri"/>
      <w:caps/>
      <w:color w:val="9A8D09"/>
      <w:sz w:val="22"/>
    </w:rPr>
  </w:style>
  <w:style w:type="paragraph" w:styleId="7">
    <w:name w:val="heading 6"/>
    <w:basedOn w:val="1"/>
    <w:next w:val="1"/>
    <w:qFormat/>
    <w:uiPriority w:val="9"/>
    <w:pPr>
      <w:widowControl/>
      <w:spacing w:before="200" w:after="100" w:line="240" w:lineRule="auto"/>
      <w:contextualSpacing/>
      <w:outlineLvl w:val="5"/>
    </w:pPr>
    <w:rPr>
      <w:rFonts w:ascii="Calibri" w:hAnsi="Calibri"/>
      <w:color w:val="5A7075"/>
      <w:sz w:val="22"/>
    </w:rPr>
  </w:style>
  <w:style w:type="paragraph" w:styleId="8">
    <w:name w:val="heading 7"/>
    <w:basedOn w:val="1"/>
    <w:next w:val="1"/>
    <w:qFormat/>
    <w:uiPriority w:val="9"/>
    <w:pPr>
      <w:widowControl/>
      <w:spacing w:before="200" w:after="100" w:line="240" w:lineRule="auto"/>
      <w:contextualSpacing/>
      <w:outlineLvl w:val="6"/>
    </w:pPr>
    <w:rPr>
      <w:rFonts w:ascii="Calibri" w:hAnsi="Calibri"/>
      <w:color w:val="9A8D09"/>
      <w:sz w:val="22"/>
    </w:rPr>
  </w:style>
  <w:style w:type="paragraph" w:styleId="9">
    <w:name w:val="heading 8"/>
    <w:basedOn w:val="1"/>
    <w:next w:val="1"/>
    <w:qFormat/>
    <w:uiPriority w:val="9"/>
    <w:pPr>
      <w:widowControl/>
      <w:spacing w:before="240" w:after="60"/>
      <w:outlineLvl w:val="7"/>
    </w:pPr>
    <w:rPr>
      <w:rFonts w:ascii="Calibri" w:hAnsi="Calibri"/>
      <w:i/>
    </w:rPr>
  </w:style>
  <w:style w:type="paragraph" w:styleId="10">
    <w:name w:val="heading 9"/>
    <w:basedOn w:val="1"/>
    <w:next w:val="1"/>
    <w:qFormat/>
    <w:uiPriority w:val="9"/>
    <w:pPr>
      <w:widowControl/>
      <w:spacing w:before="240" w:after="60"/>
      <w:outlineLvl w:val="8"/>
    </w:pPr>
    <w:rPr>
      <w:rFonts w:ascii="Calibri Light" w:hAnsi="Calibri Light"/>
      <w:sz w:val="22"/>
    </w:rPr>
  </w:style>
  <w:style w:type="character" w:default="1" w:styleId="11">
    <w:name w:val="Default Paragraph Font"/>
    <w:uiPriority w:val="0"/>
  </w:style>
  <w:style w:type="table" w:default="1" w:styleId="12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annotation reference"/>
    <w:uiPriority w:val="0"/>
    <w:rPr>
      <w:sz w:val="16"/>
    </w:rPr>
  </w:style>
  <w:style w:type="character" w:styleId="15">
    <w:name w:val="Emphasis"/>
    <w:uiPriority w:val="0"/>
    <w:rPr>
      <w:b/>
      <w:color w:val="9A8D09"/>
      <w:shd w:val="clear" w:fill="DFE6D0"/>
    </w:rPr>
  </w:style>
  <w:style w:type="character" w:styleId="16">
    <w:name w:val="Hyperlink"/>
    <w:uiPriority w:val="0"/>
    <w:rPr>
      <w:color w:val="0563C1"/>
      <w:u w:val="single"/>
    </w:rPr>
  </w:style>
  <w:style w:type="character" w:styleId="17">
    <w:name w:val="Strong"/>
    <w:uiPriority w:val="0"/>
    <w:rPr>
      <w:b/>
      <w:spacing w:val="0"/>
    </w:rPr>
  </w:style>
  <w:style w:type="paragraph" w:styleId="18">
    <w:name w:val="Balloon Text"/>
    <w:basedOn w:val="1"/>
    <w:qFormat/>
    <w:uiPriority w:val="0"/>
    <w:pPr>
      <w:widowControl/>
      <w:spacing w:line="240" w:lineRule="auto"/>
    </w:pPr>
    <w:rPr>
      <w:sz w:val="18"/>
    </w:rPr>
  </w:style>
  <w:style w:type="paragraph" w:styleId="19">
    <w:name w:val="caption"/>
    <w:basedOn w:val="1"/>
    <w:next w:val="1"/>
    <w:uiPriority w:val="0"/>
  </w:style>
  <w:style w:type="paragraph" w:styleId="20">
    <w:name w:val="annotation text"/>
    <w:basedOn w:val="1"/>
    <w:uiPriority w:val="0"/>
    <w:pPr>
      <w:widowControl/>
      <w:spacing w:line="240" w:lineRule="auto"/>
    </w:pPr>
    <w:rPr>
      <w:sz w:val="20"/>
    </w:rPr>
  </w:style>
  <w:style w:type="paragraph" w:styleId="21">
    <w:name w:val="annotation subject"/>
    <w:basedOn w:val="20"/>
    <w:next w:val="20"/>
    <w:uiPriority w:val="0"/>
    <w:rPr>
      <w:b/>
    </w:rPr>
  </w:style>
  <w:style w:type="paragraph" w:styleId="22">
    <w:name w:val="toc 8"/>
    <w:next w:val="1"/>
    <w:uiPriority w:val="39"/>
    <w:pPr>
      <w:widowControl/>
      <w:spacing w:before="0" w:after="0" w:line="240" w:lineRule="auto"/>
      <w:ind w:left="14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23">
    <w:name w:val="header"/>
    <w:basedOn w:val="1"/>
    <w:qFormat/>
    <w:uiPriority w:val="0"/>
    <w:pPr>
      <w:widowControl/>
      <w:tabs>
        <w:tab w:val="center" w:pos="4677"/>
        <w:tab w:val="right" w:pos="9355"/>
      </w:tabs>
    </w:pPr>
  </w:style>
  <w:style w:type="paragraph" w:styleId="24">
    <w:name w:val="toc 9"/>
    <w:next w:val="1"/>
    <w:uiPriority w:val="39"/>
    <w:pPr>
      <w:widowControl/>
      <w:spacing w:before="0" w:after="0" w:line="240" w:lineRule="auto"/>
      <w:ind w:left="16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25">
    <w:name w:val="toc 7"/>
    <w:next w:val="1"/>
    <w:qFormat/>
    <w:uiPriority w:val="39"/>
    <w:pPr>
      <w:widowControl/>
      <w:spacing w:before="0" w:after="0" w:line="240" w:lineRule="auto"/>
      <w:ind w:left="12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26">
    <w:name w:val="toc 1"/>
    <w:next w:val="1"/>
    <w:uiPriority w:val="39"/>
    <w:pPr>
      <w:widowControl/>
      <w:spacing w:before="0" w:after="0" w:line="240" w:lineRule="auto"/>
      <w:ind w:left="0" w:right="0" w:firstLine="0"/>
      <w:jc w:val="left"/>
    </w:pPr>
    <w:rPr>
      <w:rFonts w:ascii="XO Thames" w:hAnsi="XO Thames"/>
      <w:b/>
      <w:color w:val="000000"/>
      <w:spacing w:val="0"/>
      <w:sz w:val="28"/>
    </w:rPr>
  </w:style>
  <w:style w:type="paragraph" w:styleId="27">
    <w:name w:val="toc 6"/>
    <w:next w:val="1"/>
    <w:qFormat/>
    <w:uiPriority w:val="39"/>
    <w:pPr>
      <w:widowControl/>
      <w:spacing w:before="0" w:after="0" w:line="240" w:lineRule="auto"/>
      <w:ind w:left="10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28">
    <w:name w:val="toc 3"/>
    <w:next w:val="1"/>
    <w:uiPriority w:val="39"/>
    <w:pPr>
      <w:widowControl/>
      <w:spacing w:before="0" w:after="0" w:line="240" w:lineRule="auto"/>
      <w:ind w:left="4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29">
    <w:name w:val="toc 2"/>
    <w:next w:val="1"/>
    <w:uiPriority w:val="39"/>
    <w:pPr>
      <w:widowControl/>
      <w:spacing w:before="0" w:after="0" w:line="240" w:lineRule="auto"/>
      <w:ind w:left="2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30">
    <w:name w:val="toc 4"/>
    <w:next w:val="1"/>
    <w:qFormat/>
    <w:uiPriority w:val="39"/>
    <w:pPr>
      <w:widowControl/>
      <w:spacing w:before="0" w:after="0" w:line="240" w:lineRule="auto"/>
      <w:ind w:left="6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31">
    <w:name w:val="toc 5"/>
    <w:next w:val="1"/>
    <w:uiPriority w:val="39"/>
    <w:pPr>
      <w:widowControl/>
      <w:spacing w:before="0" w:after="0" w:line="240" w:lineRule="auto"/>
      <w:ind w:left="800" w:right="0" w:firstLine="0"/>
      <w:jc w:val="left"/>
    </w:pPr>
    <w:rPr>
      <w:rFonts w:ascii="XO Thames" w:hAnsi="XO Thames"/>
      <w:color w:val="000000"/>
      <w:spacing w:val="0"/>
      <w:sz w:val="28"/>
    </w:rPr>
  </w:style>
  <w:style w:type="paragraph" w:styleId="32">
    <w:name w:val="Title"/>
    <w:basedOn w:val="1"/>
    <w:next w:val="1"/>
    <w:qFormat/>
    <w:uiPriority w:val="10"/>
    <w:pPr>
      <w:keepNext/>
      <w:keepLines/>
      <w:widowControl/>
      <w:spacing w:before="360" w:after="360" w:line="360" w:lineRule="auto"/>
    </w:pPr>
    <w:rPr>
      <w:rFonts w:ascii="Arial" w:hAnsi="Arial"/>
      <w:b/>
      <w:sz w:val="56"/>
    </w:rPr>
  </w:style>
  <w:style w:type="paragraph" w:styleId="33">
    <w:name w:val="footer"/>
    <w:basedOn w:val="1"/>
    <w:uiPriority w:val="0"/>
    <w:pPr>
      <w:widowControl/>
      <w:tabs>
        <w:tab w:val="center" w:pos="4677"/>
        <w:tab w:val="right" w:pos="9355"/>
      </w:tabs>
    </w:pPr>
  </w:style>
  <w:style w:type="paragraph" w:styleId="34">
    <w:name w:val="Subtitle"/>
    <w:basedOn w:val="1"/>
    <w:next w:val="1"/>
    <w:qFormat/>
    <w:uiPriority w:val="11"/>
    <w:pPr>
      <w:widowControl/>
      <w:spacing w:before="200" w:after="360" w:line="240" w:lineRule="auto"/>
    </w:pPr>
    <w:rPr>
      <w:rFonts w:ascii="Calibri" w:hAnsi="Calibri"/>
      <w:color w:val="1B343F"/>
      <w:spacing w:val="20"/>
    </w:rPr>
  </w:style>
  <w:style w:type="table" w:styleId="35">
    <w:name w:val="Table Grid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Таблица-сетка 1 светлая1"/>
    <w:link w:val="37"/>
    <w:uiPriority w:val="0"/>
    <w:pPr>
      <w:widowControl/>
      <w:spacing w:before="0" w:after="0" w:line="240" w:lineRule="auto"/>
      <w:ind w:left="0" w:right="0" w:firstLine="0"/>
      <w:jc w:val="left"/>
    </w:pPr>
    <w:rPr>
      <w:rFonts w:ascii="Arial" w:hAnsi="Arial"/>
      <w:b/>
      <w:color w:val="000000"/>
      <w:spacing w:val="5"/>
      <w:sz w:val="48"/>
    </w:rPr>
  </w:style>
  <w:style w:type="character" w:customStyle="1" w:styleId="37">
    <w:name w:val="Таблица-сетка 1 светлая11"/>
    <w:link w:val="36"/>
    <w:qFormat/>
    <w:uiPriority w:val="0"/>
    <w:rPr>
      <w:rFonts w:ascii="Arial" w:hAnsi="Arial"/>
      <w:b/>
      <w:spacing w:val="5"/>
      <w:sz w:val="48"/>
    </w:rPr>
  </w:style>
  <w:style w:type="paragraph" w:customStyle="1" w:styleId="38">
    <w:name w:val="MTDisplayEquation"/>
    <w:basedOn w:val="1"/>
    <w:next w:val="1"/>
    <w:link w:val="39"/>
    <w:qFormat/>
    <w:uiPriority w:val="0"/>
    <w:pPr>
      <w:widowControl/>
      <w:tabs>
        <w:tab w:val="center" w:pos="4680"/>
        <w:tab w:val="right" w:pos="9360"/>
      </w:tabs>
    </w:pPr>
  </w:style>
  <w:style w:type="character" w:customStyle="1" w:styleId="39">
    <w:name w:val="MTDisplayEquation1"/>
    <w:link w:val="38"/>
    <w:uiPriority w:val="0"/>
  </w:style>
  <w:style w:type="paragraph" w:customStyle="1" w:styleId="40">
    <w:name w:val="List Paragraph1"/>
    <w:basedOn w:val="1"/>
    <w:link w:val="41"/>
    <w:uiPriority w:val="0"/>
    <w:pPr>
      <w:widowControl/>
      <w:ind w:left="720"/>
      <w:contextualSpacing/>
    </w:pPr>
  </w:style>
  <w:style w:type="character" w:customStyle="1" w:styleId="41">
    <w:name w:val="List Paragraph11"/>
    <w:link w:val="40"/>
    <w:uiPriority w:val="0"/>
  </w:style>
  <w:style w:type="paragraph" w:customStyle="1" w:styleId="42">
    <w:name w:val="Endnote"/>
    <w:link w:val="43"/>
    <w:qFormat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/>
      <w:color w:val="000000"/>
      <w:spacing w:val="0"/>
      <w:sz w:val="22"/>
    </w:rPr>
  </w:style>
  <w:style w:type="character" w:customStyle="1" w:styleId="43">
    <w:name w:val="Endnote1"/>
    <w:link w:val="42"/>
    <w:uiPriority w:val="0"/>
    <w:rPr>
      <w:rFonts w:ascii="XO Thames" w:hAnsi="XO Thames"/>
      <w:sz w:val="22"/>
    </w:rPr>
  </w:style>
  <w:style w:type="paragraph" w:customStyle="1" w:styleId="44">
    <w:name w:val="TOC Heading"/>
    <w:basedOn w:val="2"/>
    <w:next w:val="1"/>
    <w:link w:val="45"/>
    <w:qFormat/>
    <w:uiPriority w:val="0"/>
    <w:pPr>
      <w:widowControl/>
      <w:spacing w:before="240" w:after="60"/>
      <w:outlineLvl w:val="8"/>
    </w:pPr>
    <w:rPr>
      <w:rFonts w:ascii="Calibri Light" w:hAnsi="Calibri Light"/>
      <w:sz w:val="32"/>
    </w:rPr>
  </w:style>
  <w:style w:type="character" w:customStyle="1" w:styleId="45">
    <w:name w:val="TOC Heading1"/>
    <w:link w:val="44"/>
    <w:uiPriority w:val="0"/>
    <w:rPr>
      <w:rFonts w:ascii="Calibri Light" w:hAnsi="Calibri Light"/>
      <w:sz w:val="32"/>
    </w:rPr>
  </w:style>
  <w:style w:type="paragraph" w:customStyle="1" w:styleId="46">
    <w:name w:val="Примечание"/>
    <w:basedOn w:val="1"/>
    <w:next w:val="1"/>
    <w:link w:val="47"/>
    <w:qFormat/>
    <w:uiPriority w:val="0"/>
    <w:pPr>
      <w:widowControl/>
      <w:spacing w:line="360" w:lineRule="auto"/>
      <w:jc w:val="both"/>
    </w:pPr>
    <w:rPr>
      <w:i/>
    </w:rPr>
  </w:style>
  <w:style w:type="character" w:customStyle="1" w:styleId="47">
    <w:name w:val="Примечание1"/>
    <w:link w:val="46"/>
    <w:uiPriority w:val="0"/>
    <w:rPr>
      <w:i/>
    </w:rPr>
  </w:style>
  <w:style w:type="paragraph" w:styleId="48">
    <w:name w:val="Intense Quote"/>
    <w:basedOn w:val="1"/>
    <w:next w:val="1"/>
    <w:qFormat/>
    <w:uiPriority w:val="0"/>
    <w:pPr>
      <w:widowControl/>
      <w:pBdr>
        <w:top w:val="dotted" w:color="CEBD0D" w:sz="8" w:space="10"/>
        <w:bottom w:val="dotted" w:color="CEBD0D" w:sz="8" w:space="10"/>
      </w:pBdr>
      <w:spacing w:line="300" w:lineRule="auto"/>
      <w:ind w:left="2160" w:right="2160"/>
      <w:jc w:val="center"/>
    </w:pPr>
    <w:rPr>
      <w:rFonts w:ascii="Calibri" w:hAnsi="Calibri"/>
      <w:b/>
      <w:i/>
      <w:color w:val="CEBD0D"/>
      <w:sz w:val="20"/>
    </w:rPr>
  </w:style>
  <w:style w:type="paragraph" w:customStyle="1" w:styleId="49">
    <w:name w:val="Unresolved Mention"/>
    <w:link w:val="50"/>
    <w:uiPriority w:val="0"/>
    <w:pPr>
      <w:widowControl/>
      <w:spacing w:before="0" w:after="0" w:line="240" w:lineRule="auto"/>
      <w:ind w:left="0" w:right="0" w:firstLine="0"/>
      <w:jc w:val="left"/>
    </w:pPr>
    <w:rPr>
      <w:rFonts w:ascii="Arial" w:hAnsi="Arial"/>
      <w:color w:val="808080"/>
      <w:spacing w:val="0"/>
      <w:sz w:val="20"/>
      <w:shd w:val="clear" w:fill="E6E6E6"/>
    </w:rPr>
  </w:style>
  <w:style w:type="character" w:customStyle="1" w:styleId="50">
    <w:name w:val="Unresolved Mention1"/>
    <w:link w:val="49"/>
    <w:uiPriority w:val="0"/>
    <w:rPr>
      <w:color w:val="808080"/>
      <w:shd w:val="clear" w:fill="E6E6E6"/>
    </w:rPr>
  </w:style>
  <w:style w:type="paragraph" w:customStyle="1" w:styleId="51">
    <w:name w:val="Intense Reference"/>
    <w:link w:val="52"/>
    <w:uiPriority w:val="0"/>
    <w:pPr>
      <w:widowControl/>
      <w:spacing w:before="0" w:after="0" w:line="240" w:lineRule="auto"/>
      <w:ind w:left="0" w:right="0" w:firstLine="0"/>
      <w:jc w:val="left"/>
    </w:pPr>
    <w:rPr>
      <w:rFonts w:ascii="Arial" w:hAnsi="Arial"/>
      <w:b/>
      <w:i/>
      <w:smallCaps/>
      <w:color w:val="CEBD0D"/>
      <w:spacing w:val="0"/>
      <w:sz w:val="20"/>
      <w:u w:color="CEBD0D"/>
    </w:rPr>
  </w:style>
  <w:style w:type="character" w:customStyle="1" w:styleId="52">
    <w:name w:val="Intense Reference1"/>
    <w:link w:val="51"/>
    <w:uiPriority w:val="0"/>
    <w:rPr>
      <w:b/>
      <w:i/>
      <w:smallCaps/>
      <w:color w:val="CEBD0D"/>
      <w:u w:color="CEBD0D"/>
    </w:rPr>
  </w:style>
  <w:style w:type="paragraph" w:customStyle="1" w:styleId="53">
    <w:name w:val="Default"/>
    <w:link w:val="54"/>
    <w:uiPriority w:val="0"/>
    <w:pPr>
      <w:widowControl/>
      <w:spacing w:before="0" w:after="0" w:line="240" w:lineRule="auto"/>
      <w:ind w:left="0" w:right="0" w:firstLine="0"/>
      <w:jc w:val="left"/>
    </w:pPr>
    <w:rPr>
      <w:rFonts w:ascii="MEOFG H+ Univers" w:hAnsi="MEOFG H+ Univers"/>
      <w:color w:val="000000"/>
      <w:spacing w:val="0"/>
      <w:sz w:val="24"/>
    </w:rPr>
  </w:style>
  <w:style w:type="character" w:customStyle="1" w:styleId="54">
    <w:name w:val="Default1"/>
    <w:link w:val="53"/>
    <w:uiPriority w:val="0"/>
    <w:rPr>
      <w:rFonts w:ascii="MEOFG H+ Univers" w:hAnsi="MEOFG H+ Univers"/>
      <w:color w:val="000000"/>
      <w:sz w:val="24"/>
    </w:rPr>
  </w:style>
  <w:style w:type="paragraph" w:customStyle="1" w:styleId="55">
    <w:name w:val="Правки"/>
    <w:basedOn w:val="1"/>
    <w:link w:val="56"/>
    <w:uiPriority w:val="0"/>
    <w:pPr>
      <w:widowControl/>
      <w:spacing w:line="360" w:lineRule="auto"/>
    </w:pPr>
  </w:style>
  <w:style w:type="character" w:customStyle="1" w:styleId="56">
    <w:name w:val="Правки1"/>
    <w:link w:val="55"/>
    <w:uiPriority w:val="0"/>
  </w:style>
  <w:style w:type="paragraph" w:styleId="57">
    <w:name w:val="Placeholder Text"/>
    <w:uiPriority w:val="0"/>
    <w:pPr>
      <w:widowControl/>
      <w:spacing w:before="0" w:after="0" w:line="240" w:lineRule="auto"/>
      <w:ind w:left="0" w:right="0" w:firstLine="0"/>
      <w:jc w:val="left"/>
    </w:pPr>
    <w:rPr>
      <w:rFonts w:ascii="Arial" w:hAnsi="Arial"/>
      <w:color w:val="808080"/>
      <w:spacing w:val="0"/>
      <w:sz w:val="20"/>
    </w:rPr>
  </w:style>
  <w:style w:type="paragraph" w:customStyle="1" w:styleId="58">
    <w:name w:val="Footnote"/>
    <w:link w:val="59"/>
    <w:uiPriority w:val="0"/>
    <w:pPr>
      <w:widowControl/>
      <w:spacing w:before="0" w:after="0" w:line="240" w:lineRule="auto"/>
      <w:ind w:left="0" w:right="0" w:firstLine="851"/>
      <w:jc w:val="both"/>
    </w:pPr>
    <w:rPr>
      <w:rFonts w:ascii="XO Thames" w:hAnsi="XO Thames"/>
      <w:color w:val="000000"/>
      <w:spacing w:val="0"/>
      <w:sz w:val="22"/>
    </w:rPr>
  </w:style>
  <w:style w:type="character" w:customStyle="1" w:styleId="59">
    <w:name w:val="Footnote1"/>
    <w:link w:val="58"/>
    <w:uiPriority w:val="0"/>
    <w:rPr>
      <w:rFonts w:ascii="XO Thames" w:hAnsi="XO Thames"/>
      <w:sz w:val="22"/>
    </w:rPr>
  </w:style>
  <w:style w:type="paragraph" w:customStyle="1" w:styleId="60">
    <w:name w:val="Мой текст"/>
    <w:basedOn w:val="1"/>
    <w:next w:val="1"/>
    <w:link w:val="61"/>
    <w:uiPriority w:val="0"/>
    <w:pPr>
      <w:widowControl/>
      <w:ind w:firstLine="720"/>
      <w:jc w:val="both"/>
    </w:pPr>
    <w:rPr>
      <w:color w:val="00B050"/>
    </w:rPr>
  </w:style>
  <w:style w:type="character" w:customStyle="1" w:styleId="61">
    <w:name w:val="Мой текст1"/>
    <w:link w:val="60"/>
    <w:uiPriority w:val="0"/>
    <w:rPr>
      <w:color w:val="00B050"/>
    </w:rPr>
  </w:style>
  <w:style w:type="paragraph" w:styleId="62">
    <w:name w:val="List Paragraph"/>
    <w:basedOn w:val="1"/>
    <w:uiPriority w:val="0"/>
    <w:pPr>
      <w:numPr>
        <w:ilvl w:val="0"/>
        <w:numId w:val="1"/>
      </w:numPr>
    </w:pPr>
    <w:rPr>
      <w:sz w:val="22"/>
    </w:rPr>
  </w:style>
  <w:style w:type="paragraph" w:customStyle="1" w:styleId="63">
    <w:name w:val="Header and Footer"/>
    <w:link w:val="64"/>
    <w:uiPriority w:val="0"/>
    <w:pPr>
      <w:widowControl/>
      <w:spacing w:before="0" w:after="0" w:line="240" w:lineRule="auto"/>
      <w:ind w:left="0" w:right="0" w:firstLine="0"/>
      <w:jc w:val="both"/>
    </w:pPr>
    <w:rPr>
      <w:rFonts w:ascii="XO Thames" w:hAnsi="XO Thames"/>
      <w:color w:val="000000"/>
      <w:spacing w:val="0"/>
      <w:sz w:val="28"/>
    </w:rPr>
  </w:style>
  <w:style w:type="character" w:customStyle="1" w:styleId="64">
    <w:name w:val="Header and Footer1"/>
    <w:link w:val="63"/>
    <w:uiPriority w:val="0"/>
    <w:rPr>
      <w:rFonts w:ascii="XO Thames" w:hAnsi="XO Thames"/>
      <w:sz w:val="28"/>
    </w:rPr>
  </w:style>
  <w:style w:type="paragraph" w:styleId="65">
    <w:name w:val="No Spacing"/>
    <w:basedOn w:val="1"/>
    <w:uiPriority w:val="0"/>
    <w:pPr>
      <w:widowControl/>
      <w:spacing w:line="240" w:lineRule="auto"/>
    </w:pPr>
  </w:style>
  <w:style w:type="paragraph" w:customStyle="1" w:styleId="66">
    <w:name w:val="_ОсновнойТекстСтатьи"/>
    <w:basedOn w:val="1"/>
    <w:link w:val="67"/>
    <w:uiPriority w:val="0"/>
    <w:pPr>
      <w:widowControl/>
      <w:spacing w:line="240" w:lineRule="auto"/>
      <w:ind w:firstLine="454"/>
      <w:jc w:val="both"/>
    </w:pPr>
    <w:rPr>
      <w:color w:val="000000"/>
    </w:rPr>
  </w:style>
  <w:style w:type="character" w:customStyle="1" w:styleId="67">
    <w:name w:val="_ОсновнойТекстСтатьи1"/>
    <w:link w:val="66"/>
    <w:uiPriority w:val="0"/>
    <w:rPr>
      <w:color w:val="000000"/>
    </w:rPr>
  </w:style>
  <w:style w:type="paragraph" w:customStyle="1" w:styleId="68">
    <w:name w:val="Intense Emphasis"/>
    <w:link w:val="69"/>
    <w:uiPriority w:val="0"/>
    <w:pPr>
      <w:widowControl/>
      <w:spacing w:before="0" w:after="0" w:line="240" w:lineRule="auto"/>
      <w:ind w:left="0" w:right="0" w:firstLine="0"/>
      <w:jc w:val="left"/>
    </w:pPr>
    <w:rPr>
      <w:rFonts w:ascii="Calibri" w:hAnsi="Calibri"/>
      <w:b/>
      <w:i/>
      <w:color w:val="FFFFFF"/>
      <w:spacing w:val="0"/>
      <w:sz w:val="20"/>
      <w:shd w:val="clear" w:fill="CEBD0D"/>
    </w:rPr>
  </w:style>
  <w:style w:type="character" w:customStyle="1" w:styleId="69">
    <w:name w:val="Intense Emphasis1"/>
    <w:link w:val="68"/>
    <w:uiPriority w:val="0"/>
    <w:rPr>
      <w:rFonts w:ascii="Calibri" w:hAnsi="Calibri"/>
      <w:b/>
      <w:i/>
      <w:color w:val="FFFFFF"/>
      <w:shd w:val="clear" w:fill="CEBD0D"/>
    </w:rPr>
  </w:style>
  <w:style w:type="paragraph" w:customStyle="1" w:styleId="70">
    <w:name w:val="Subtle Emphasis"/>
    <w:link w:val="71"/>
    <w:uiPriority w:val="0"/>
    <w:pPr>
      <w:widowControl/>
      <w:spacing w:before="0" w:after="0" w:line="240" w:lineRule="auto"/>
      <w:ind w:left="0" w:right="0" w:firstLine="0"/>
      <w:jc w:val="left"/>
    </w:pPr>
    <w:rPr>
      <w:rFonts w:ascii="Calibri" w:hAnsi="Calibri"/>
      <w:b/>
      <w:i/>
      <w:color w:val="7C959A"/>
      <w:spacing w:val="0"/>
      <w:sz w:val="20"/>
    </w:rPr>
  </w:style>
  <w:style w:type="character" w:customStyle="1" w:styleId="71">
    <w:name w:val="Subtle Emphasis1"/>
    <w:link w:val="70"/>
    <w:uiPriority w:val="0"/>
    <w:rPr>
      <w:rFonts w:ascii="Calibri" w:hAnsi="Calibri"/>
      <w:b/>
      <w:i/>
      <w:color w:val="7C959A"/>
    </w:rPr>
  </w:style>
  <w:style w:type="paragraph" w:customStyle="1" w:styleId="72">
    <w:name w:val="Стиль1"/>
    <w:basedOn w:val="1"/>
    <w:link w:val="73"/>
    <w:uiPriority w:val="0"/>
    <w:pPr>
      <w:widowControl/>
      <w:spacing w:line="480" w:lineRule="auto"/>
    </w:pPr>
    <w:rPr>
      <w:rFonts w:ascii="Arial" w:hAnsi="Arial"/>
      <w:color w:val="000000"/>
    </w:rPr>
  </w:style>
  <w:style w:type="character" w:customStyle="1" w:styleId="73">
    <w:name w:val="Стиль11"/>
    <w:link w:val="72"/>
    <w:uiPriority w:val="0"/>
    <w:rPr>
      <w:rFonts w:ascii="Arial" w:hAnsi="Arial"/>
      <w:color w:val="000000"/>
    </w:rPr>
  </w:style>
  <w:style w:type="paragraph" w:customStyle="1" w:styleId="74">
    <w:name w:val="Book Title"/>
    <w:link w:val="75"/>
    <w:uiPriority w:val="0"/>
    <w:pPr>
      <w:widowControl/>
      <w:spacing w:before="0" w:after="0" w:line="240" w:lineRule="auto"/>
      <w:ind w:left="0" w:right="0" w:firstLine="0"/>
      <w:jc w:val="left"/>
    </w:pPr>
    <w:rPr>
      <w:rFonts w:ascii="Calibri" w:hAnsi="Calibri"/>
      <w:b/>
      <w:smallCaps/>
      <w:color w:val="CEBD0D"/>
      <w:spacing w:val="0"/>
      <w:sz w:val="20"/>
      <w:u w:val="single"/>
    </w:rPr>
  </w:style>
  <w:style w:type="character" w:customStyle="1" w:styleId="75">
    <w:name w:val="Book Title1"/>
    <w:link w:val="74"/>
    <w:uiPriority w:val="0"/>
    <w:rPr>
      <w:rFonts w:ascii="Calibri" w:hAnsi="Calibri"/>
      <w:b/>
      <w:smallCaps/>
      <w:color w:val="CEBD0D"/>
      <w:u w:val="single"/>
    </w:rPr>
  </w:style>
  <w:style w:type="paragraph" w:customStyle="1" w:styleId="76">
    <w:name w:val="MTEquationSection"/>
    <w:link w:val="77"/>
    <w:uiPriority w:val="0"/>
    <w:pPr>
      <w:widowControl/>
      <w:spacing w:before="0" w:after="0" w:line="240" w:lineRule="auto"/>
      <w:ind w:left="0" w:right="0" w:firstLine="0"/>
      <w:jc w:val="left"/>
    </w:pPr>
    <w:rPr>
      <w:rFonts w:ascii="Arial" w:hAnsi="Arial"/>
      <w:b/>
      <w:color w:val="FF0000"/>
      <w:spacing w:val="0"/>
      <w:sz w:val="48"/>
    </w:rPr>
  </w:style>
  <w:style w:type="character" w:customStyle="1" w:styleId="77">
    <w:name w:val="MTEquationSection1"/>
    <w:link w:val="76"/>
    <w:uiPriority w:val="0"/>
    <w:rPr>
      <w:rFonts w:ascii="Arial" w:hAnsi="Arial"/>
      <w:b/>
      <w:color w:val="FF0000"/>
      <w:sz w:val="48"/>
    </w:rPr>
  </w:style>
  <w:style w:type="paragraph" w:customStyle="1" w:styleId="78">
    <w:name w:val="No Spacing1"/>
    <w:link w:val="79"/>
    <w:uiPriority w:val="0"/>
    <w:pPr>
      <w:widowControl/>
      <w:spacing w:before="0" w:after="0" w:line="240" w:lineRule="auto"/>
      <w:ind w:left="0" w:right="0" w:firstLine="0"/>
      <w:jc w:val="left"/>
    </w:pPr>
    <w:rPr>
      <w:rFonts w:ascii="Arial" w:hAnsi="Arial"/>
      <w:color w:val="000000"/>
      <w:spacing w:val="0"/>
      <w:sz w:val="22"/>
    </w:rPr>
  </w:style>
  <w:style w:type="character" w:customStyle="1" w:styleId="79">
    <w:name w:val="No Spacing11"/>
    <w:link w:val="78"/>
    <w:uiPriority w:val="0"/>
    <w:rPr>
      <w:color w:val="000000"/>
      <w:sz w:val="22"/>
    </w:rPr>
  </w:style>
  <w:style w:type="paragraph" w:customStyle="1" w:styleId="80">
    <w:name w:val="Временные вставки"/>
    <w:basedOn w:val="72"/>
    <w:link w:val="81"/>
    <w:uiPriority w:val="0"/>
    <w:rPr>
      <w:color w:val="00B0F0"/>
    </w:rPr>
  </w:style>
  <w:style w:type="character" w:customStyle="1" w:styleId="81">
    <w:name w:val="Временные вставки1"/>
    <w:basedOn w:val="73"/>
    <w:link w:val="80"/>
    <w:uiPriority w:val="0"/>
    <w:rPr>
      <w:color w:val="00B0F0"/>
    </w:rPr>
  </w:style>
  <w:style w:type="paragraph" w:styleId="82">
    <w:name w:val="Quote"/>
    <w:basedOn w:val="1"/>
    <w:next w:val="1"/>
    <w:uiPriority w:val="0"/>
    <w:rPr>
      <w:b/>
      <w:i/>
      <w:color w:val="CEBD0D"/>
    </w:rPr>
  </w:style>
  <w:style w:type="paragraph" w:customStyle="1" w:styleId="83">
    <w:name w:val="Subtle Reference"/>
    <w:link w:val="84"/>
    <w:uiPriority w:val="0"/>
    <w:pPr>
      <w:widowControl/>
      <w:spacing w:before="0" w:after="0" w:line="240" w:lineRule="auto"/>
      <w:ind w:left="0" w:right="0" w:firstLine="0"/>
      <w:jc w:val="left"/>
    </w:pPr>
    <w:rPr>
      <w:rFonts w:ascii="Arial" w:hAnsi="Arial"/>
      <w:i/>
      <w:smallCaps/>
      <w:color w:val="CEBD0D"/>
      <w:spacing w:val="0"/>
      <w:sz w:val="20"/>
      <w:u w:color="CEBD0D"/>
    </w:rPr>
  </w:style>
  <w:style w:type="character" w:customStyle="1" w:styleId="84">
    <w:name w:val="Subtle Reference1"/>
    <w:link w:val="83"/>
    <w:uiPriority w:val="0"/>
    <w:rPr>
      <w:i/>
      <w:smallCaps/>
      <w:color w:val="CEBD0D"/>
      <w:u w:color="CEBD0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3629</Words>
  <Characters>23412</Characters>
  <TotalTime>74</TotalTime>
  <ScaleCrop>false</ScaleCrop>
  <LinksUpToDate>false</LinksUpToDate>
  <CharactersWithSpaces>26618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2021-01-07T16:55:00Z</dcterms:created>
  <dc:creator>akar1</dc:creator>
  <cp:lastModifiedBy>WPS_1788467891</cp:lastModifiedBy>
  <dcterms:modified xsi:type="dcterms:W3CDTF">2026-09-12T18:26:26Z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eyJoZGlkIjoiMzA2NWNmOGNkM2RiNWMyNjA3MDM2ZDc2OWRkYmNkODgiLCJ1c2VySWQiOiI4MjQ2Mzk0MzY3ODYifQ==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CEC2986DBBE4421B94A6F5D9F64716A4_12</vt:lpwstr>
  </property>
</Properties>
</file>