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10A5415">
      <w:pPr>
        <w:spacing w:line="480" w:lineRule="exact"/>
        <w:rPr>
          <w:rFonts w:hint="eastAsia" w:ascii="方正大黑简体" w:hAnsi="黑体" w:eastAsia="方正大黑简体"/>
          <w:color w:val="000000" w:themeColor="text1"/>
          <w:kern w:val="0"/>
          <w:sz w:val="36"/>
          <w:szCs w:val="36"/>
          <w14:textFill>
            <w14:solidFill>
              <w14:schemeClr w14:val="tx1"/>
            </w14:solidFill>
          </w14:textFill>
        </w:rPr>
      </w:pPr>
    </w:p>
    <w:p w14:paraId="1C86A8AA">
      <w:pPr>
        <w:spacing w:line="480" w:lineRule="exact"/>
        <w:rPr>
          <w:rFonts w:hint="eastAsia" w:ascii="方正大黑简体" w:hAnsi="黑体" w:eastAsia="方正大黑简体"/>
          <w:color w:val="000000" w:themeColor="text1"/>
          <w:kern w:val="0"/>
          <w:sz w:val="36"/>
          <w:szCs w:val="36"/>
          <w14:textFill>
            <w14:solidFill>
              <w14:schemeClr w14:val="tx1"/>
            </w14:solidFill>
          </w14:textFill>
        </w:rPr>
      </w:pPr>
    </w:p>
    <w:p w14:paraId="75014DCF">
      <w:pPr>
        <w:spacing w:line="480" w:lineRule="exact"/>
        <w:jc w:val="cente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中国铁塔股份有限公司XX分公司</w:t>
      </w:r>
    </w:p>
    <w:p w14:paraId="4E12E60D">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2024年工程设计项目</w:t>
      </w:r>
    </w:p>
    <w:p w14:paraId="46105145">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p>
    <w:p w14:paraId="7B0AA804">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一阶段设计</w:t>
      </w:r>
    </w:p>
    <w:p w14:paraId="62DCAD7E">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第X册</w:t>
      </w:r>
      <w:r>
        <w:rPr>
          <w:rFonts w:ascii="方正大黑简体" w:hAnsi="黑体" w:eastAsia="方正大黑简体"/>
          <w:color w:val="000000" w:themeColor="text1"/>
          <w:kern w:val="0"/>
          <w:sz w:val="28"/>
          <w:szCs w:val="28"/>
          <w:highlight w:val="yellow"/>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第×分册</w:t>
      </w:r>
      <w:r>
        <w:rPr>
          <w:rFonts w:hint="eastAsia" w:ascii="方正大黑简体" w:hAnsi="黑体" w:eastAsia="方正大黑简体"/>
          <w:color w:val="000000" w:themeColor="text1"/>
          <w:kern w:val="0"/>
          <w:sz w:val="28"/>
          <w:szCs w:val="28"/>
          <w14:textFill>
            <w14:solidFill>
              <w14:schemeClr w14:val="tx1"/>
            </w14:solidFill>
          </w14:textFill>
        </w:rPr>
        <w:t>）</w:t>
      </w:r>
    </w:p>
    <w:p w14:paraId="46F8A758">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14:paraId="4C38BC60">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14:paraId="379F8DCF">
      <w:pPr>
        <w:spacing w:line="560" w:lineRule="exact"/>
        <w:jc w:val="center"/>
        <w:rPr>
          <w:rFonts w:hint="eastAsia" w:ascii="方正粗宋简体" w:hAnsi="黑体" w:eastAsia="方正粗宋简体"/>
          <w:color w:val="000000" w:themeColor="text1"/>
          <w:kern w:val="0"/>
          <w:sz w:val="52"/>
          <w:szCs w:val="52"/>
          <w:highlight w:val="yellow"/>
          <w14:textFill>
            <w14:solidFill>
              <w14:schemeClr w14:val="tx1"/>
            </w14:solidFill>
          </w14:textFill>
        </w:rPr>
      </w:pPr>
      <w:r>
        <w:rPr>
          <w:rFonts w:ascii="方正粗宋简体" w:hAnsi="黑体" w:eastAsia="方正粗宋简体"/>
          <w:color w:val="000000" w:themeColor="text1"/>
          <w:kern w:val="0"/>
          <w:sz w:val="52"/>
          <w:szCs w:val="52"/>
          <w:highlight w:val="yellow"/>
          <w14:textFill>
            <w14:solidFill>
              <w14:schemeClr w14:val="tx1"/>
            </w14:solidFill>
          </w14:textFill>
        </w:rPr>
        <w:t>XX</w:t>
      </w:r>
      <w:r>
        <w:rPr>
          <w:rFonts w:hint="eastAsia" w:ascii="方正粗宋简体" w:hAnsi="黑体" w:eastAsia="方正粗宋简体"/>
          <w:color w:val="000000" w:themeColor="text1"/>
          <w:kern w:val="0"/>
          <w:sz w:val="52"/>
          <w:szCs w:val="52"/>
          <w:highlight w:val="yellow"/>
          <w14:textFill>
            <w14:solidFill>
              <w14:schemeClr w14:val="tx1"/>
            </w14:solidFill>
          </w14:textFill>
        </w:rPr>
        <w:t>铁塔</w:t>
      </w:r>
      <w:r>
        <w:rPr>
          <w:rFonts w:ascii="方正粗宋简体" w:hAnsi="黑体" w:eastAsia="方正粗宋简体"/>
          <w:color w:val="000000" w:themeColor="text1"/>
          <w:kern w:val="0"/>
          <w:sz w:val="52"/>
          <w:szCs w:val="52"/>
          <w:highlight w:val="yellow"/>
          <w14:textFill>
            <w14:solidFill>
              <w14:schemeClr w14:val="tx1"/>
            </w14:solidFill>
          </w14:textFill>
        </w:rPr>
        <w:t>202</w:t>
      </w:r>
      <w:r>
        <w:rPr>
          <w:rFonts w:hint="eastAsia" w:ascii="方正粗宋简体" w:hAnsi="黑体" w:eastAsia="方正粗宋简体"/>
          <w:color w:val="000000" w:themeColor="text1"/>
          <w:kern w:val="0"/>
          <w:sz w:val="52"/>
          <w:szCs w:val="52"/>
          <w:highlight w:val="yellow"/>
          <w14:textFill>
            <w14:solidFill>
              <w14:schemeClr w14:val="tx1"/>
            </w14:solidFill>
          </w14:textFill>
        </w:rPr>
        <w:t>4年X季度</w:t>
      </w:r>
    </w:p>
    <w:p w14:paraId="7F101D5B">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highlight w:val="yellow"/>
          <w14:textFill>
            <w14:solidFill>
              <w14:schemeClr w14:val="tx1"/>
            </w14:solidFill>
          </w14:textFill>
        </w:rPr>
        <w:t>设计项目</w:t>
      </w:r>
    </w:p>
    <w:p w14:paraId="28432020">
      <w:pPr>
        <w:jc w:val="center"/>
        <w:rPr>
          <w:color w:val="000000" w:themeColor="text1"/>
          <w14:textFill>
            <w14:solidFill>
              <w14:schemeClr w14:val="tx1"/>
            </w14:solidFill>
          </w14:textFill>
        </w:rPr>
      </w:pPr>
      <w:r>
        <mc:AlternateContent>
          <mc:Choice Requires="wps">
            <w:drawing>
              <wp:anchor distT="0" distB="0" distL="114300" distR="114300" simplePos="0" relativeHeight="251659264" behindDoc="0" locked="1" layoutInCell="1" allowOverlap="1">
                <wp:simplePos x="0" y="0"/>
                <wp:positionH relativeFrom="column">
                  <wp:posOffset>-92075</wp:posOffset>
                </wp:positionH>
                <wp:positionV relativeFrom="page">
                  <wp:posOffset>4810125</wp:posOffset>
                </wp:positionV>
                <wp:extent cx="5918835" cy="0"/>
                <wp:effectExtent l="0" t="0" r="0" b="0"/>
                <wp:wrapNone/>
                <wp:docPr id="1667712550" name="直接箭头连接符 4"/>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 id="直接箭头连接符 4" o:spid="_x0000_s1026" o:spt="32" type="#_x0000_t32" style="position:absolute;left:0pt;margin-left:-7.25pt;margin-top:378.75pt;height:0pt;width:466.05pt;mso-position-vertical-relative:page;z-index:251659264;mso-width-relative:page;mso-height-relative:page;" filled="f" stroked="t" coordsize="21600,21600" o:gfxdata="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LNxR77XAAAACwEAAA8AAAAA&#10;AAAAAQAgAAAAIgAAAGRycy9kb3ducmV2LnhtbFBLAQIUABQAAAAIAIdO4kBC/gykFQIAAPwDAAAO&#10;AAAAAAAAAAEAIAAAACYBAABkcnMvZTJvRG9jLnhtbFBLBQYAAAAABgAGAFkBAACtBQAAAAA=&#10;">
                <v:fill on="f" focussize="0,0"/>
                <v:stroke color="#8F8F8F" joinstyle="round"/>
                <v:imagedata o:title=""/>
                <o:lock v:ext="edit" aspectratio="f"/>
                <w10:anchorlock/>
              </v:shape>
            </w:pict>
          </mc:Fallback>
        </mc:AlternateContent>
      </w:r>
    </w:p>
    <w:p w14:paraId="32342D0A">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设计编号：</w:t>
      </w:r>
      <w:r>
        <w:rPr>
          <w:rFonts w:eastAsia="方正中等线简体"/>
          <w:color w:val="000000" w:themeColor="text1"/>
          <w:sz w:val="22"/>
          <w:szCs w:val="22"/>
          <w:highlight w:val="yellow"/>
          <w14:textFill>
            <w14:solidFill>
              <w14:schemeClr w14:val="tx1"/>
            </w14:solidFill>
          </w14:textFill>
        </w:rPr>
        <w:t>1002081806</w:t>
      </w:r>
      <w:r>
        <w:rPr>
          <w:rFonts w:hint="eastAsia" w:eastAsia="方正中等线简体"/>
          <w:color w:val="000000" w:themeColor="text1"/>
          <w:sz w:val="22"/>
          <w:szCs w:val="22"/>
          <w:highlight w:val="yellow"/>
          <w14:textFill>
            <w14:solidFill>
              <w14:schemeClr w14:val="tx1"/>
            </w14:solidFill>
          </w14:textFill>
        </w:rPr>
        <w:t>XXXX</w:t>
      </w:r>
    </w:p>
    <w:p w14:paraId="16B0A211">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建设单位：中国铁塔股份有限公司</w:t>
      </w:r>
      <w:r>
        <w:rPr>
          <w:rFonts w:hint="eastAsia" w:ascii="方正中等线简体" w:eastAsia="方正中等线简体"/>
          <w:color w:val="000000" w:themeColor="text1"/>
          <w:sz w:val="22"/>
          <w:szCs w:val="22"/>
          <w:highlight w:val="yellow"/>
          <w14:textFill>
            <w14:solidFill>
              <w14:schemeClr w14:val="tx1"/>
            </w14:solidFill>
          </w14:textFill>
        </w:rPr>
        <w:t>XX</w:t>
      </w:r>
      <w:r>
        <w:rPr>
          <w:rFonts w:hint="eastAsia" w:ascii="方正中等线简体" w:eastAsia="方正中等线简体"/>
          <w:color w:val="000000" w:themeColor="text1"/>
          <w:sz w:val="22"/>
          <w:szCs w:val="22"/>
          <w14:textFill>
            <w14:solidFill>
              <w14:schemeClr w14:val="tx1"/>
            </w14:solidFill>
          </w14:textFill>
        </w:rPr>
        <w:t>市分公司</w:t>
      </w:r>
    </w:p>
    <w:p w14:paraId="114619F4">
      <w:pPr>
        <w:spacing w:line="340" w:lineRule="exact"/>
        <w:ind w:left="2692" w:leftChars="1282"/>
        <w:jc w:val="left"/>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设计单位：中通服咨询设计研究院有限公司</w:t>
      </w:r>
    </w:p>
    <w:p w14:paraId="495E6CD2">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681A38F">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766C74AC">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39C4CE84">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E33644F">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249C1A0B">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139FEEB1">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7994B5D8">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59110C7D">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7E18FC56">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1F9562C9">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0FB7018">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09080F9B">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154B5A58">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06D59BD1">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BC75D18">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3A4B3617">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7266D80F">
      <w:pPr>
        <w:spacing w:line="340" w:lineRule="exact"/>
        <w:jc w:val="center"/>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中通服咨询设计研究院有限公司</w:t>
      </w:r>
    </w:p>
    <w:p w14:paraId="6E7BB121">
      <w:pPr>
        <w:spacing w:line="340" w:lineRule="exact"/>
        <w:jc w:val="center"/>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highlight w:val="yellow"/>
          <w14:textFill>
            <w14:solidFill>
              <w14:schemeClr w14:val="tx1"/>
            </w14:solidFill>
          </w14:textFill>
        </w:rPr>
        <w:t>二〇二四年3月</w:t>
      </w:r>
    </w:p>
    <w:p w14:paraId="1A473E98">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14:paraId="3A390D95">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14:paraId="39CAE818">
      <w:pPr>
        <w:spacing w:line="480" w:lineRule="exact"/>
        <w:jc w:val="center"/>
        <w:rPr>
          <w:rFonts w:hint="eastAsia" w:ascii="方正大黑简体" w:hAnsi="黑体" w:eastAsia="方正大黑简体"/>
          <w:color w:val="000000" w:themeColor="text1"/>
          <w:kern w:val="0"/>
          <w:sz w:val="36"/>
          <w:szCs w:val="36"/>
          <w14:textFill>
            <w14:solidFill>
              <w14:schemeClr w14:val="tx1"/>
            </w14:solidFill>
          </w14:textFill>
        </w:rPr>
      </w:pPr>
    </w:p>
    <w:p w14:paraId="3836A7D4">
      <w:pPr>
        <w:spacing w:line="480" w:lineRule="exact"/>
        <w:jc w:val="cente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pPr>
      <w:r>
        <w:rPr>
          <w:rFonts w:hint="eastAsia" w:ascii="方正大黑简体" w:hAnsi="黑体" w:eastAsia="方正大黑简体"/>
          <w:color w:val="000000" w:themeColor="text1"/>
          <w:spacing w:val="-20"/>
          <w:kern w:val="0"/>
          <w:sz w:val="44"/>
          <w:szCs w:val="44"/>
          <w14:textFill>
            <w14:solidFill>
              <w14:schemeClr w14:val="tx1"/>
            </w14:solidFill>
          </w14:textFill>
        </w:rPr>
        <w:t>中国铁塔股份有限公司</w:t>
      </w: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XX分公司</w:t>
      </w:r>
    </w:p>
    <w:p w14:paraId="23D131F4">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r>
        <w:rPr>
          <w:rFonts w:hint="eastAsia" w:ascii="方正大黑简体" w:hAnsi="黑体" w:eastAsia="方正大黑简体"/>
          <w:color w:val="000000" w:themeColor="text1"/>
          <w:spacing w:val="-20"/>
          <w:kern w:val="0"/>
          <w:sz w:val="44"/>
          <w:szCs w:val="44"/>
          <w:highlight w:val="yellow"/>
          <w14:textFill>
            <w14:solidFill>
              <w14:schemeClr w14:val="tx1"/>
            </w14:solidFill>
          </w14:textFill>
        </w:rPr>
        <w:t>2024年工程设计项目</w:t>
      </w:r>
    </w:p>
    <w:p w14:paraId="2B76317D">
      <w:pPr>
        <w:spacing w:line="480" w:lineRule="exact"/>
        <w:jc w:val="center"/>
        <w:rPr>
          <w:rFonts w:hint="eastAsia" w:ascii="方正大黑简体" w:hAnsi="黑体" w:eastAsia="方正大黑简体"/>
          <w:color w:val="000000" w:themeColor="text1"/>
          <w:spacing w:val="-20"/>
          <w:kern w:val="0"/>
          <w:sz w:val="44"/>
          <w:szCs w:val="44"/>
          <w14:textFill>
            <w14:solidFill>
              <w14:schemeClr w14:val="tx1"/>
            </w14:solidFill>
          </w14:textFill>
        </w:rPr>
      </w:pPr>
    </w:p>
    <w:p w14:paraId="705545B3">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一阶段设计</w:t>
      </w:r>
    </w:p>
    <w:p w14:paraId="125FD433">
      <w:pPr>
        <w:spacing w:line="480" w:lineRule="exact"/>
        <w:jc w:val="center"/>
        <w:rPr>
          <w:rFonts w:hint="eastAsia" w:ascii="方正大黑简体" w:hAnsi="黑体" w:eastAsia="方正大黑简体"/>
          <w:color w:val="000000" w:themeColor="text1"/>
          <w:kern w:val="0"/>
          <w:sz w:val="28"/>
          <w:szCs w:val="28"/>
          <w14:textFill>
            <w14:solidFill>
              <w14:schemeClr w14:val="tx1"/>
            </w14:solidFill>
          </w14:textFill>
        </w:rPr>
      </w:pPr>
      <w:r>
        <w:rPr>
          <w:rFonts w:hint="eastAsia" w:ascii="方正大黑简体" w:hAnsi="黑体" w:eastAsia="方正大黑简体"/>
          <w:color w:val="000000" w:themeColor="text1"/>
          <w:kern w:val="0"/>
          <w:sz w:val="28"/>
          <w:szCs w:val="28"/>
          <w14:textFill>
            <w14:solidFill>
              <w14:schemeClr w14:val="tx1"/>
            </w14:solidFill>
          </w14:textFill>
        </w:rPr>
        <w:t>（</w:t>
      </w:r>
      <w:r>
        <w:rPr>
          <w:rFonts w:hint="eastAsia" w:ascii="方正大黑简体" w:hAnsi="黑体" w:eastAsia="方正大黑简体"/>
          <w:color w:val="000000" w:themeColor="text1"/>
          <w:kern w:val="0"/>
          <w:sz w:val="28"/>
          <w:szCs w:val="28"/>
          <w:highlight w:val="yellow"/>
          <w14:textFill>
            <w14:solidFill>
              <w14:schemeClr w14:val="tx1"/>
            </w14:solidFill>
          </w14:textFill>
        </w:rPr>
        <w:t>第X册丨第x分册</w:t>
      </w:r>
      <w:r>
        <w:rPr>
          <w:rFonts w:hint="eastAsia" w:ascii="方正大黑简体" w:hAnsi="黑体" w:eastAsia="方正大黑简体"/>
          <w:color w:val="000000" w:themeColor="text1"/>
          <w:kern w:val="0"/>
          <w:sz w:val="28"/>
          <w:szCs w:val="28"/>
          <w14:textFill>
            <w14:solidFill>
              <w14:schemeClr w14:val="tx1"/>
            </w14:solidFill>
          </w14:textFill>
        </w:rPr>
        <w:t>）</w:t>
      </w:r>
    </w:p>
    <w:p w14:paraId="015C58DC">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14:paraId="4EC9A977">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p>
    <w:p w14:paraId="29772741">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highlight w:val="yellow"/>
          <w14:textFill>
            <w14:solidFill>
              <w14:schemeClr w14:val="tx1"/>
            </w14:solidFill>
          </w14:textFill>
        </w:rPr>
        <w:t>XX铁塔2024年X季度</w:t>
      </w:r>
    </w:p>
    <w:p w14:paraId="5B29B291">
      <w:pPr>
        <w:spacing w:line="560" w:lineRule="exact"/>
        <w:jc w:val="center"/>
        <w:rPr>
          <w:rFonts w:hint="eastAsia" w:ascii="方正粗宋简体" w:hAnsi="黑体" w:eastAsia="方正粗宋简体"/>
          <w:color w:val="000000" w:themeColor="text1"/>
          <w:kern w:val="0"/>
          <w:sz w:val="52"/>
          <w:szCs w:val="52"/>
          <w14:textFill>
            <w14:solidFill>
              <w14:schemeClr w14:val="tx1"/>
            </w14:solidFill>
          </w14:textFill>
        </w:rPr>
      </w:pPr>
      <w:r>
        <w:rPr>
          <w:rFonts w:hint="eastAsia" w:ascii="方正粗宋简体" w:hAnsi="黑体" w:eastAsia="方正粗宋简体"/>
          <w:color w:val="000000" w:themeColor="text1"/>
          <w:kern w:val="0"/>
          <w:sz w:val="52"/>
          <w:szCs w:val="52"/>
          <w14:textFill>
            <w14:solidFill>
              <w14:schemeClr w14:val="tx1"/>
            </w14:solidFill>
          </w14:textFill>
        </w:rPr>
        <w:t>设计项目</w:t>
      </w:r>
      <w:r>
        <mc:AlternateContent>
          <mc:Choice Requires="wps">
            <w:drawing>
              <wp:anchor distT="0" distB="0" distL="114300" distR="114300" simplePos="0" relativeHeight="251660288" behindDoc="0" locked="1" layoutInCell="1" allowOverlap="1">
                <wp:simplePos x="0" y="0"/>
                <wp:positionH relativeFrom="column">
                  <wp:posOffset>-80010</wp:posOffset>
                </wp:positionH>
                <wp:positionV relativeFrom="page">
                  <wp:posOffset>4763770</wp:posOffset>
                </wp:positionV>
                <wp:extent cx="5918835" cy="0"/>
                <wp:effectExtent l="0" t="0" r="0" b="0"/>
                <wp:wrapNone/>
                <wp:docPr id="296990579" name="直接箭头连接符 3"/>
                <wp:cNvGraphicFramePr/>
                <a:graphic xmlns:a="http://schemas.openxmlformats.org/drawingml/2006/main">
                  <a:graphicData uri="http://schemas.microsoft.com/office/word/2010/wordprocessingShape">
                    <wps:wsp>
                      <wps:cNvCnPr>
                        <a:cxnSpLocks noChangeShapeType="1"/>
                      </wps:cNvCnPr>
                      <wps:spPr bwMode="auto">
                        <a:xfrm>
                          <a:off x="0" y="0"/>
                          <a:ext cx="5918835" cy="0"/>
                        </a:xfrm>
                        <a:prstGeom prst="straightConnector1">
                          <a:avLst/>
                        </a:prstGeom>
                        <a:noFill/>
                        <a:ln w="9525">
                          <a:solidFill>
                            <a:srgbClr val="BFBFBF">
                              <a:lumMod val="75000"/>
                              <a:lumOff val="0"/>
                            </a:srgbClr>
                          </a:solidFill>
                          <a:round/>
                        </a:ln>
                      </wps:spPr>
                      <wps:bodyPr/>
                    </wps:wsp>
                  </a:graphicData>
                </a:graphic>
              </wp:anchor>
            </w:drawing>
          </mc:Choice>
          <mc:Fallback>
            <w:pict>
              <v:shape id="直接箭头连接符 3" o:spid="_x0000_s1026" o:spt="32" type="#_x0000_t32" style="position:absolute;left:0pt;margin-left:-6.3pt;margin-top:375.1pt;height:0pt;width:466.05pt;mso-position-vertical-relative:page;z-index:251660288;mso-width-relative:page;mso-height-relative:page;" filled="f" stroked="t" coordsize="21600,21600" o:gfxdata="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C5LCSbXAAAACwEAAA8AAAAA&#10;AAAAAQAgAAAAIgAAAGRycy9kb3ducmV2LnhtbFBLAQIUABQAAAAIAIdO4kCrIT2HFQIAAPsDAAAO&#10;AAAAAAAAAAEAIAAAACYBAABkcnMvZTJvRG9jLnhtbFBLBQYAAAAABgAGAFkBAACtBQAAAAA=&#10;">
                <v:fill on="f" focussize="0,0"/>
                <v:stroke color="#8F8F8F" joinstyle="round"/>
                <v:imagedata o:title=""/>
                <o:lock v:ext="edit" aspectratio="f"/>
                <w10:anchorlock/>
              </v:shape>
            </w:pict>
          </mc:Fallback>
        </mc:AlternateContent>
      </w:r>
    </w:p>
    <w:p w14:paraId="69B4493A">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46A2D22">
      <w:pPr>
        <w:spacing w:line="340" w:lineRule="exact"/>
        <w:jc w:val="center"/>
        <w:rPr>
          <w:rFonts w:ascii="方正中等线简体" w:eastAsia="方正中等线简体"/>
          <w:color w:val="000000" w:themeColor="text1"/>
          <w:sz w:val="22"/>
          <w:szCs w:val="22"/>
          <w14:textFill>
            <w14:solidFill>
              <w14:schemeClr w14:val="tx1"/>
            </w14:solidFill>
          </w14:textFill>
        </w:rPr>
      </w:pPr>
    </w:p>
    <w:tbl>
      <w:tblPr>
        <w:tblStyle w:val="31"/>
        <w:tblW w:w="3136" w:type="dxa"/>
        <w:jc w:val="center"/>
        <w:tblLayout w:type="autofit"/>
        <w:tblCellMar>
          <w:top w:w="0" w:type="dxa"/>
          <w:left w:w="108" w:type="dxa"/>
          <w:bottom w:w="0" w:type="dxa"/>
          <w:right w:w="108" w:type="dxa"/>
        </w:tblCellMar>
      </w:tblPr>
      <w:tblGrid>
        <w:gridCol w:w="2056"/>
        <w:gridCol w:w="1080"/>
      </w:tblGrid>
      <w:tr w14:paraId="17FAC23C">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38523CE1">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企业负责人：</w:t>
            </w:r>
          </w:p>
        </w:tc>
        <w:tc>
          <w:tcPr>
            <w:tcW w:w="1080" w:type="dxa"/>
            <w:tcBorders>
              <w:top w:val="nil"/>
              <w:left w:val="nil"/>
              <w:bottom w:val="nil"/>
              <w:right w:val="nil"/>
            </w:tcBorders>
            <w:shd w:val="clear" w:color="auto" w:fill="auto"/>
            <w:noWrap/>
            <w:vAlign w:val="center"/>
          </w:tcPr>
          <w:p w14:paraId="45F6612C">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朱  强</w:t>
            </w:r>
          </w:p>
        </w:tc>
      </w:tr>
      <w:tr w14:paraId="78C5A23C">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09FA24D5">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总工程师：</w:t>
            </w:r>
          </w:p>
        </w:tc>
        <w:tc>
          <w:tcPr>
            <w:tcW w:w="1080" w:type="dxa"/>
            <w:tcBorders>
              <w:top w:val="nil"/>
              <w:left w:val="nil"/>
              <w:bottom w:val="nil"/>
              <w:right w:val="nil"/>
            </w:tcBorders>
            <w:shd w:val="clear" w:color="auto" w:fill="auto"/>
            <w:noWrap/>
            <w:vAlign w:val="center"/>
          </w:tcPr>
          <w:p w14:paraId="5C63B939">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朱晨鸣</w:t>
            </w:r>
          </w:p>
        </w:tc>
      </w:tr>
      <w:tr w14:paraId="2EFCB299">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50EDD287">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院主管：</w:t>
            </w:r>
          </w:p>
        </w:tc>
        <w:tc>
          <w:tcPr>
            <w:tcW w:w="1080" w:type="dxa"/>
            <w:tcBorders>
              <w:top w:val="nil"/>
              <w:left w:val="nil"/>
              <w:bottom w:val="nil"/>
              <w:right w:val="nil"/>
            </w:tcBorders>
            <w:shd w:val="clear" w:color="auto" w:fill="auto"/>
            <w:noWrap/>
            <w:vAlign w:val="center"/>
          </w:tcPr>
          <w:p w14:paraId="4EB27343">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张  磊</w:t>
            </w:r>
          </w:p>
        </w:tc>
      </w:tr>
      <w:tr w14:paraId="2C458793">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2F5C6895">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项目总负责人：</w:t>
            </w:r>
          </w:p>
        </w:tc>
        <w:tc>
          <w:tcPr>
            <w:tcW w:w="1080" w:type="dxa"/>
            <w:tcBorders>
              <w:top w:val="nil"/>
              <w:left w:val="nil"/>
              <w:bottom w:val="nil"/>
              <w:right w:val="nil"/>
            </w:tcBorders>
            <w:shd w:val="clear" w:color="auto" w:fill="auto"/>
            <w:noWrap/>
            <w:vAlign w:val="center"/>
          </w:tcPr>
          <w:p w14:paraId="0724DD2C">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蒋献周</w:t>
            </w:r>
          </w:p>
        </w:tc>
      </w:tr>
      <w:tr w14:paraId="3D816F08">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026EDACA">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审定人：</w:t>
            </w:r>
          </w:p>
        </w:tc>
        <w:tc>
          <w:tcPr>
            <w:tcW w:w="1080" w:type="dxa"/>
            <w:tcBorders>
              <w:top w:val="nil"/>
              <w:left w:val="nil"/>
              <w:bottom w:val="nil"/>
              <w:right w:val="nil"/>
            </w:tcBorders>
            <w:shd w:val="clear" w:color="auto" w:fill="auto"/>
            <w:noWrap/>
            <w:vAlign w:val="center"/>
          </w:tcPr>
          <w:p w14:paraId="71CC1653">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王同俊</w:t>
            </w:r>
          </w:p>
        </w:tc>
      </w:tr>
      <w:tr w14:paraId="2B52B387">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298D60A5">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审核人：</w:t>
            </w:r>
          </w:p>
        </w:tc>
        <w:tc>
          <w:tcPr>
            <w:tcW w:w="1080" w:type="dxa"/>
            <w:tcBorders>
              <w:top w:val="nil"/>
              <w:left w:val="nil"/>
              <w:bottom w:val="nil"/>
              <w:right w:val="nil"/>
            </w:tcBorders>
            <w:shd w:val="clear" w:color="auto" w:fill="auto"/>
            <w:noWrap/>
            <w:vAlign w:val="center"/>
          </w:tcPr>
          <w:p w14:paraId="2FC17282">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程  前</w:t>
            </w:r>
          </w:p>
        </w:tc>
      </w:tr>
      <w:tr w14:paraId="1F2AFFB5">
        <w:tblPrEx>
          <w:tblCellMar>
            <w:top w:w="0" w:type="dxa"/>
            <w:left w:w="108" w:type="dxa"/>
            <w:bottom w:w="0" w:type="dxa"/>
            <w:right w:w="108" w:type="dxa"/>
          </w:tblCellMar>
        </w:tblPrEx>
        <w:trPr>
          <w:trHeight w:val="300" w:hRule="atLeast"/>
          <w:jc w:val="center"/>
        </w:trPr>
        <w:tc>
          <w:tcPr>
            <w:tcW w:w="2056" w:type="dxa"/>
            <w:tcBorders>
              <w:top w:val="nil"/>
              <w:left w:val="nil"/>
              <w:bottom w:val="nil"/>
              <w:right w:val="nil"/>
            </w:tcBorders>
            <w:shd w:val="clear" w:color="auto" w:fill="auto"/>
            <w:noWrap/>
            <w:vAlign w:val="center"/>
          </w:tcPr>
          <w:p w14:paraId="1EBE14C4">
            <w:pPr>
              <w:widowControl/>
              <w:jc w:val="left"/>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单项设计负责人：</w:t>
            </w:r>
          </w:p>
        </w:tc>
        <w:tc>
          <w:tcPr>
            <w:tcW w:w="1080" w:type="dxa"/>
            <w:tcBorders>
              <w:top w:val="nil"/>
              <w:left w:val="nil"/>
              <w:bottom w:val="nil"/>
              <w:right w:val="nil"/>
            </w:tcBorders>
            <w:shd w:val="clear" w:color="auto" w:fill="auto"/>
            <w:noWrap/>
            <w:vAlign w:val="center"/>
          </w:tcPr>
          <w:p w14:paraId="7D2F6B0E">
            <w:pPr>
              <w:widowControl/>
              <w:jc w:val="distribute"/>
              <w:rPr>
                <w:rFonts w:hint="eastAsia" w:ascii="方正中等线简体" w:hAnsi="宋体" w:eastAsia="方正中等线简体" w:cs="宋体"/>
                <w:color w:val="000000"/>
                <w:kern w:val="0"/>
                <w:sz w:val="22"/>
                <w:szCs w:val="22"/>
              </w:rPr>
            </w:pPr>
            <w:r>
              <w:rPr>
                <w:rFonts w:hint="eastAsia" w:ascii="方正中等线简体" w:hAnsi="宋体" w:eastAsia="方正中等线简体" w:cs="宋体"/>
                <w:color w:val="000000"/>
                <w:kern w:val="0"/>
                <w:sz w:val="22"/>
                <w:szCs w:val="22"/>
              </w:rPr>
              <w:t>罗剑锋</w:t>
            </w:r>
          </w:p>
        </w:tc>
      </w:tr>
    </w:tbl>
    <w:p w14:paraId="4FA093E7">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5E56D3E4">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40BBCE7">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115AB30D">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5F93B7FD">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1063C94">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274EC12D">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135592CC">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54ED5F78">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317463C0">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59237877">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40D16484">
      <w:pPr>
        <w:spacing w:line="340" w:lineRule="exact"/>
        <w:jc w:val="center"/>
        <w:rPr>
          <w:rFonts w:ascii="方正中等线简体" w:eastAsia="方正中等线简体"/>
          <w:color w:val="000000" w:themeColor="text1"/>
          <w:sz w:val="22"/>
          <w:szCs w:val="22"/>
          <w14:textFill>
            <w14:solidFill>
              <w14:schemeClr w14:val="tx1"/>
            </w14:solidFill>
          </w14:textFill>
        </w:rPr>
      </w:pPr>
    </w:p>
    <w:p w14:paraId="3C09FC63">
      <w:pPr>
        <w:spacing w:line="340" w:lineRule="exact"/>
        <w:ind w:left="1842" w:leftChars="877"/>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概（预）算审核人：</w:t>
      </w:r>
      <w:r>
        <w:rPr>
          <w:rFonts w:hint="eastAsia" w:ascii="方正中等线简体" w:eastAsia="方正中等线简体"/>
          <w:color w:val="000000" w:themeColor="text1"/>
          <w:sz w:val="22"/>
          <w:szCs w:val="22"/>
          <w:highlight w:val="yellow"/>
          <w14:textFill>
            <w14:solidFill>
              <w14:schemeClr w14:val="tx1"/>
            </w14:solidFill>
          </w14:textFill>
        </w:rPr>
        <w:t xml:space="preserve">程 </w:t>
      </w:r>
      <w:r>
        <w:rPr>
          <w:rFonts w:ascii="方正中等线简体" w:eastAsia="方正中等线简体"/>
          <w:color w:val="000000" w:themeColor="text1"/>
          <w:sz w:val="22"/>
          <w:szCs w:val="22"/>
          <w:highlight w:val="yellow"/>
          <w14:textFill>
            <w14:solidFill>
              <w14:schemeClr w14:val="tx1"/>
            </w14:solidFill>
          </w14:textFill>
        </w:rPr>
        <w:t xml:space="preserve">  </w:t>
      </w:r>
      <w:r>
        <w:rPr>
          <w:rFonts w:hint="eastAsia" w:ascii="方正中等线简体" w:eastAsia="方正中等线简体"/>
          <w:color w:val="000000" w:themeColor="text1"/>
          <w:sz w:val="22"/>
          <w:szCs w:val="22"/>
          <w:highlight w:val="yellow"/>
          <w14:textFill>
            <w14:solidFill>
              <w14:schemeClr w14:val="tx1"/>
            </w14:solidFill>
          </w14:textFill>
        </w:rPr>
        <w:t>前</w:t>
      </w:r>
      <w:r>
        <w:rPr>
          <w:rFonts w:hint="eastAsia" w:ascii="方正中等线简体" w:eastAsia="方正中等线简体"/>
          <w:color w:val="000000" w:themeColor="text1"/>
          <w:sz w:val="22"/>
          <w:szCs w:val="22"/>
          <w14:textFill>
            <w14:solidFill>
              <w14:schemeClr w14:val="tx1"/>
            </w14:solidFill>
          </w14:textFill>
        </w:rPr>
        <w:t xml:space="preserve">          证号：通信（概）</w:t>
      </w:r>
      <w:r>
        <w:rPr>
          <w:rFonts w:hint="eastAsia" w:ascii="方正中等线简体" w:eastAsia="方正中等线简体"/>
          <w:color w:val="000000" w:themeColor="text1"/>
          <w:sz w:val="22"/>
          <w:szCs w:val="22"/>
          <w:highlight w:val="yellow"/>
          <w14:textFill>
            <w14:solidFill>
              <w14:schemeClr w14:val="tx1"/>
            </w14:solidFill>
          </w14:textFill>
        </w:rPr>
        <w:t>字</w:t>
      </w:r>
      <w:r>
        <w:rPr>
          <w:rFonts w:eastAsia="方正中等线简体"/>
          <w:color w:val="000000" w:themeColor="text1"/>
          <w:sz w:val="22"/>
          <w:szCs w:val="22"/>
          <w:highlight w:val="yellow"/>
          <w14:textFill>
            <w14:solidFill>
              <w14:schemeClr w14:val="tx1"/>
            </w14:solidFill>
          </w14:textFill>
        </w:rPr>
        <w:t>17230229</w:t>
      </w:r>
    </w:p>
    <w:p w14:paraId="66243309">
      <w:pPr>
        <w:spacing w:line="340" w:lineRule="exact"/>
        <w:ind w:left="1842" w:leftChars="877"/>
        <w:rPr>
          <w:rFonts w:ascii="方正中等线简体" w:eastAsia="方正中等线简体"/>
          <w:color w:val="000000" w:themeColor="text1"/>
          <w:sz w:val="22"/>
          <w:szCs w:val="22"/>
          <w14:textFill>
            <w14:solidFill>
              <w14:schemeClr w14:val="tx1"/>
            </w14:solidFill>
          </w14:textFill>
        </w:rPr>
      </w:pPr>
      <w:r>
        <w:rPr>
          <w:rFonts w:hint="eastAsia" w:ascii="方正中等线简体" w:eastAsia="方正中等线简体"/>
          <w:color w:val="000000" w:themeColor="text1"/>
          <w:sz w:val="22"/>
          <w:szCs w:val="22"/>
          <w14:textFill>
            <w14:solidFill>
              <w14:schemeClr w14:val="tx1"/>
            </w14:solidFill>
          </w14:textFill>
        </w:rPr>
        <w:t>概（预）算编制人：</w:t>
      </w:r>
      <w:r>
        <w:rPr>
          <w:rFonts w:hint="eastAsia" w:ascii="方正中等线简体" w:eastAsia="方正中等线简体"/>
          <w:color w:val="000000" w:themeColor="text1"/>
          <w:sz w:val="22"/>
          <w:szCs w:val="22"/>
          <w:highlight w:val="yellow"/>
          <w14:textFill>
            <w14:solidFill>
              <w14:schemeClr w14:val="tx1"/>
            </w14:solidFill>
          </w14:textFill>
        </w:rPr>
        <w:t>罗剑锋</w:t>
      </w:r>
      <w:r>
        <w:rPr>
          <w:rFonts w:hint="eastAsia" w:ascii="方正中等线简体" w:eastAsia="方正中等线简体"/>
          <w:color w:val="000000" w:themeColor="text1"/>
          <w:sz w:val="22"/>
          <w:szCs w:val="22"/>
          <w14:textFill>
            <w14:solidFill>
              <w14:schemeClr w14:val="tx1"/>
            </w14:solidFill>
          </w14:textFill>
        </w:rPr>
        <w:t xml:space="preserve">          证号：通信（概）</w:t>
      </w:r>
      <w:r>
        <w:rPr>
          <w:rFonts w:hint="eastAsia" w:ascii="方正中等线简体" w:eastAsia="方正中等线简体"/>
          <w:color w:val="000000" w:themeColor="text1"/>
          <w:sz w:val="22"/>
          <w:szCs w:val="22"/>
          <w:highlight w:val="yellow"/>
          <w14:textFill>
            <w14:solidFill>
              <w14:schemeClr w14:val="tx1"/>
            </w14:solidFill>
          </w14:textFill>
        </w:rPr>
        <w:t>字</w:t>
      </w:r>
      <w:r>
        <w:rPr>
          <w:rFonts w:eastAsia="方正中等线简体"/>
          <w:color w:val="000000" w:themeColor="text1"/>
          <w:sz w:val="22"/>
          <w:szCs w:val="22"/>
          <w:highlight w:val="yellow"/>
          <w14:textFill>
            <w14:solidFill>
              <w14:schemeClr w14:val="tx1"/>
            </w14:solidFill>
          </w14:textFill>
        </w:rPr>
        <w:t>XXXXX</w:t>
      </w:r>
    </w:p>
    <w:p w14:paraId="1F5F676B">
      <w:pPr>
        <w:spacing w:line="340" w:lineRule="exact"/>
        <w:jc w:val="center"/>
        <w:rPr>
          <w:rFonts w:ascii="方正中等线简体" w:eastAsia="方正中等线简体"/>
          <w:color w:val="000000" w:themeColor="text1"/>
          <w:sz w:val="22"/>
          <w:szCs w:val="22"/>
          <w14:textFill>
            <w14:solidFill>
              <w14:schemeClr w14:val="tx1"/>
            </w14:solidFill>
          </w14:textFill>
        </w:rPr>
        <w:sectPr>
          <w:pgSz w:w="11906" w:h="16838"/>
          <w:pgMar w:top="1440" w:right="1418" w:bottom="1440" w:left="1418" w:header="851" w:footer="992" w:gutter="0"/>
          <w:cols w:space="425" w:num="1"/>
          <w:docGrid w:type="lines" w:linePitch="312" w:charSpace="0"/>
        </w:sectPr>
      </w:pPr>
    </w:p>
    <w:p w14:paraId="06F2326A">
      <w:pPr>
        <w:spacing w:line="560" w:lineRule="exact"/>
        <w:ind w:firstLine="640"/>
        <w:jc w:val="center"/>
        <w:rPr>
          <w:rFonts w:eastAsia="黑体"/>
          <w:color w:val="000000" w:themeColor="text1"/>
          <w:sz w:val="32"/>
          <w:szCs w:val="32"/>
          <w14:textFill>
            <w14:solidFill>
              <w14:schemeClr w14:val="tx1"/>
            </w14:solidFill>
          </w14:textFill>
        </w:rPr>
      </w:pPr>
      <w:r>
        <w:rPr>
          <w:rFonts w:eastAsia="黑体"/>
          <w:color w:val="000000" w:themeColor="text1"/>
          <w:sz w:val="32"/>
          <w:szCs w:val="32"/>
          <w14:textFill>
            <w14:solidFill>
              <w14:schemeClr w14:val="tx1"/>
            </w14:solidFill>
          </w14:textFill>
        </w:rPr>
        <w:t>设计文件分发表</w:t>
      </w:r>
    </w:p>
    <w:tbl>
      <w:tblPr>
        <w:tblStyle w:val="31"/>
        <w:tblW w:w="8561" w:type="dxa"/>
        <w:jc w:val="cente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28" w:type="dxa"/>
          <w:bottom w:w="0" w:type="dxa"/>
          <w:right w:w="28" w:type="dxa"/>
        </w:tblCellMar>
      </w:tblPr>
      <w:tblGrid>
        <w:gridCol w:w="2714"/>
        <w:gridCol w:w="897"/>
        <w:gridCol w:w="1264"/>
        <w:gridCol w:w="943"/>
        <w:gridCol w:w="1229"/>
        <w:gridCol w:w="1514"/>
      </w:tblGrid>
      <w:tr w14:paraId="001CBD0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blHeader/>
          <w:jc w:val="center"/>
        </w:trPr>
        <w:tc>
          <w:tcPr>
            <w:tcW w:w="2714" w:type="dxa"/>
            <w:vAlign w:val="center"/>
          </w:tcPr>
          <w:p w14:paraId="1484AEE7">
            <w:pPr>
              <w:spacing w:line="520" w:lineRule="exact"/>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单位名称</w:t>
            </w:r>
          </w:p>
        </w:tc>
        <w:tc>
          <w:tcPr>
            <w:tcW w:w="897" w:type="dxa"/>
            <w:vAlign w:val="center"/>
          </w:tcPr>
          <w:p w14:paraId="413695B5">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w:t>
            </w:r>
          </w:p>
          <w:p w14:paraId="661A06A9">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文件</w:t>
            </w:r>
          </w:p>
        </w:tc>
        <w:tc>
          <w:tcPr>
            <w:tcW w:w="1264" w:type="dxa"/>
          </w:tcPr>
          <w:p w14:paraId="0F7E6D4B">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全套电子版设计文件</w:t>
            </w:r>
          </w:p>
        </w:tc>
        <w:tc>
          <w:tcPr>
            <w:tcW w:w="943" w:type="dxa"/>
          </w:tcPr>
          <w:p w14:paraId="00339F4E">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图纸及说明</w:t>
            </w:r>
          </w:p>
        </w:tc>
        <w:tc>
          <w:tcPr>
            <w:tcW w:w="1229" w:type="dxa"/>
            <w:tcBorders>
              <w:right w:val="single" w:color="auto" w:sz="4" w:space="0"/>
            </w:tcBorders>
            <w:vAlign w:val="center"/>
          </w:tcPr>
          <w:p w14:paraId="57732AA2">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全套概（预）算</w:t>
            </w:r>
          </w:p>
        </w:tc>
        <w:tc>
          <w:tcPr>
            <w:tcW w:w="1514" w:type="dxa"/>
            <w:tcBorders>
              <w:left w:val="single" w:color="auto" w:sz="4" w:space="0"/>
            </w:tcBorders>
            <w:vAlign w:val="center"/>
          </w:tcPr>
          <w:p w14:paraId="783764A3">
            <w:pPr>
              <w:spacing w:line="276"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t>全套器材概（预）算表</w:t>
            </w:r>
          </w:p>
        </w:tc>
      </w:tr>
      <w:tr w14:paraId="4080BC9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14:paraId="698B5F2C">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中国铁塔股份有限公司</w:t>
            </w:r>
            <w:r>
              <w:rPr>
                <w:rFonts w:hint="eastAsia"/>
                <w:color w:val="000000" w:themeColor="text1"/>
                <w:kern w:val="0"/>
                <w:sz w:val="24"/>
                <w14:textFill>
                  <w14:solidFill>
                    <w14:schemeClr w14:val="tx1"/>
                  </w14:solidFill>
                </w14:textFill>
              </w:rPr>
              <w:t>云南</w:t>
            </w:r>
            <w:r>
              <w:rPr>
                <w:color w:val="000000" w:themeColor="text1"/>
                <w:kern w:val="0"/>
                <w:sz w:val="24"/>
                <w14:textFill>
                  <w14:solidFill>
                    <w14:schemeClr w14:val="tx1"/>
                  </w14:solidFill>
                </w14:textFill>
              </w:rPr>
              <w:t>省分公司</w:t>
            </w:r>
            <w:r>
              <w:rPr>
                <w:rFonts w:hint="eastAsia"/>
                <w:color w:val="000000" w:themeColor="text1"/>
                <w:kern w:val="0"/>
                <w:sz w:val="24"/>
                <w14:textFill>
                  <w14:solidFill>
                    <w14:schemeClr w14:val="tx1"/>
                  </w14:solidFill>
                </w14:textFill>
              </w:rPr>
              <w:t>通信发展</w:t>
            </w:r>
            <w:r>
              <w:rPr>
                <w:color w:val="000000" w:themeColor="text1"/>
                <w:kern w:val="0"/>
                <w:sz w:val="24"/>
                <w14:textFill>
                  <w14:solidFill>
                    <w14:schemeClr w14:val="tx1"/>
                  </w14:solidFill>
                </w14:textFill>
              </w:rPr>
              <w:t>部</w:t>
            </w:r>
          </w:p>
        </w:tc>
        <w:tc>
          <w:tcPr>
            <w:tcW w:w="897" w:type="dxa"/>
            <w:vAlign w:val="center"/>
          </w:tcPr>
          <w:p w14:paraId="22CF0157">
            <w:pPr>
              <w:jc w:val="center"/>
              <w:rPr>
                <w:color w:val="000000" w:themeColor="text1"/>
                <w:kern w:val="0"/>
                <w:sz w:val="24"/>
                <w14:textFill>
                  <w14:solidFill>
                    <w14:schemeClr w14:val="tx1"/>
                  </w14:solidFill>
                </w14:textFill>
              </w:rPr>
            </w:pPr>
          </w:p>
        </w:tc>
        <w:tc>
          <w:tcPr>
            <w:tcW w:w="1264" w:type="dxa"/>
            <w:vAlign w:val="center"/>
          </w:tcPr>
          <w:p w14:paraId="7A732D1C">
            <w:pPr>
              <w:jc w:val="center"/>
              <w:rPr>
                <w:color w:val="000000" w:themeColor="text1"/>
                <w:kern w:val="0"/>
                <w:sz w:val="24"/>
                <w:highlight w:val="yellow"/>
                <w14:textFill>
                  <w14:solidFill>
                    <w14:schemeClr w14:val="tx1"/>
                  </w14:solidFill>
                </w14:textFill>
              </w:rPr>
            </w:pPr>
            <w:r>
              <w:rPr>
                <w:color w:val="000000" w:themeColor="text1"/>
                <w:kern w:val="0"/>
                <w:sz w:val="24"/>
                <w:highlight w:val="yellow"/>
                <w14:textFill>
                  <w14:solidFill>
                    <w14:schemeClr w14:val="tx1"/>
                  </w14:solidFill>
                </w14:textFill>
              </w:rPr>
              <w:t>1</w:t>
            </w:r>
          </w:p>
        </w:tc>
        <w:tc>
          <w:tcPr>
            <w:tcW w:w="943" w:type="dxa"/>
            <w:vAlign w:val="center"/>
          </w:tcPr>
          <w:p w14:paraId="2F968874">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3CFD9897">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67D3B983">
            <w:pPr>
              <w:ind w:firstLine="480"/>
              <w:jc w:val="center"/>
              <w:rPr>
                <w:color w:val="000000" w:themeColor="text1"/>
                <w:kern w:val="0"/>
                <w:sz w:val="24"/>
                <w14:textFill>
                  <w14:solidFill>
                    <w14:schemeClr w14:val="tx1"/>
                  </w14:solidFill>
                </w14:textFill>
              </w:rPr>
            </w:pPr>
          </w:p>
        </w:tc>
      </w:tr>
      <w:tr w14:paraId="2FDC05F9">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14:paraId="25CEE8AF">
            <w:pPr>
              <w:jc w:val="center"/>
              <w:rPr>
                <w:color w:val="000000" w:themeColor="text1"/>
                <w:kern w:val="0"/>
                <w:sz w:val="24"/>
                <w14:textFill>
                  <w14:solidFill>
                    <w14:schemeClr w14:val="tx1"/>
                  </w14:solidFill>
                </w14:textFill>
              </w:rPr>
            </w:pPr>
            <w:r>
              <w:rPr>
                <w:rFonts w:hint="eastAsia"/>
                <w:color w:val="000000" w:themeColor="text1"/>
                <w:kern w:val="0"/>
                <w:sz w:val="24"/>
                <w14:textFill>
                  <w14:solidFill>
                    <w14:schemeClr w14:val="tx1"/>
                  </w14:solidFill>
                </w14:textFill>
              </w:rPr>
              <w:t>中国铁塔股份有限公司临沧市分公司</w:t>
            </w:r>
          </w:p>
        </w:tc>
        <w:tc>
          <w:tcPr>
            <w:tcW w:w="897" w:type="dxa"/>
            <w:vAlign w:val="center"/>
          </w:tcPr>
          <w:p w14:paraId="0DC14B88">
            <w:pPr>
              <w:jc w:val="center"/>
              <w:rPr>
                <w:color w:val="000000" w:themeColor="text1"/>
                <w:kern w:val="0"/>
                <w:sz w:val="24"/>
                <w14:textFill>
                  <w14:solidFill>
                    <w14:schemeClr w14:val="tx1"/>
                  </w14:solidFill>
                </w14:textFill>
              </w:rPr>
            </w:pPr>
          </w:p>
        </w:tc>
        <w:tc>
          <w:tcPr>
            <w:tcW w:w="1264" w:type="dxa"/>
            <w:vAlign w:val="center"/>
          </w:tcPr>
          <w:p w14:paraId="4B7B5E99">
            <w:pPr>
              <w:jc w:val="center"/>
              <w:rPr>
                <w:color w:val="000000" w:themeColor="text1"/>
                <w:kern w:val="0"/>
                <w:sz w:val="24"/>
                <w:highlight w:val="yellow"/>
                <w14:textFill>
                  <w14:solidFill>
                    <w14:schemeClr w14:val="tx1"/>
                  </w14:solidFill>
                </w14:textFill>
              </w:rPr>
            </w:pPr>
            <w:r>
              <w:rPr>
                <w:rFonts w:hint="eastAsia"/>
                <w:color w:val="000000" w:themeColor="text1"/>
                <w:kern w:val="0"/>
                <w:sz w:val="24"/>
                <w:highlight w:val="yellow"/>
                <w14:textFill>
                  <w14:solidFill>
                    <w14:schemeClr w14:val="tx1"/>
                  </w14:solidFill>
                </w14:textFill>
              </w:rPr>
              <w:t>1</w:t>
            </w:r>
          </w:p>
        </w:tc>
        <w:tc>
          <w:tcPr>
            <w:tcW w:w="943" w:type="dxa"/>
            <w:vAlign w:val="center"/>
          </w:tcPr>
          <w:p w14:paraId="56E8E447">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3F8A69AF">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3C053C03">
            <w:pPr>
              <w:ind w:firstLine="480"/>
              <w:jc w:val="center"/>
              <w:rPr>
                <w:color w:val="000000" w:themeColor="text1"/>
                <w:kern w:val="0"/>
                <w:sz w:val="24"/>
                <w14:textFill>
                  <w14:solidFill>
                    <w14:schemeClr w14:val="tx1"/>
                  </w14:solidFill>
                </w14:textFill>
              </w:rPr>
            </w:pPr>
          </w:p>
        </w:tc>
      </w:tr>
      <w:tr w14:paraId="1931C563">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14:paraId="26DDF4DB">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施工单位</w:t>
            </w:r>
          </w:p>
        </w:tc>
        <w:tc>
          <w:tcPr>
            <w:tcW w:w="897" w:type="dxa"/>
            <w:vAlign w:val="center"/>
          </w:tcPr>
          <w:p w14:paraId="2C072F68">
            <w:pPr>
              <w:jc w:val="center"/>
              <w:rPr>
                <w:color w:val="000000" w:themeColor="text1"/>
                <w:kern w:val="0"/>
                <w:sz w:val="24"/>
                <w14:textFill>
                  <w14:solidFill>
                    <w14:schemeClr w14:val="tx1"/>
                  </w14:solidFill>
                </w14:textFill>
              </w:rPr>
            </w:pPr>
          </w:p>
        </w:tc>
        <w:tc>
          <w:tcPr>
            <w:tcW w:w="1264" w:type="dxa"/>
            <w:vAlign w:val="center"/>
          </w:tcPr>
          <w:p w14:paraId="2AB264F3">
            <w:pPr>
              <w:ind w:firstLine="480"/>
              <w:jc w:val="center"/>
              <w:rPr>
                <w:color w:val="000000" w:themeColor="text1"/>
                <w:kern w:val="0"/>
                <w:sz w:val="24"/>
                <w:highlight w:val="yellow"/>
                <w14:textFill>
                  <w14:solidFill>
                    <w14:schemeClr w14:val="tx1"/>
                  </w14:solidFill>
                </w14:textFill>
              </w:rPr>
            </w:pPr>
          </w:p>
        </w:tc>
        <w:tc>
          <w:tcPr>
            <w:tcW w:w="943" w:type="dxa"/>
            <w:vAlign w:val="center"/>
          </w:tcPr>
          <w:p w14:paraId="18D792A6">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2121B203">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24B6F069">
            <w:pPr>
              <w:ind w:firstLine="480"/>
              <w:jc w:val="center"/>
              <w:rPr>
                <w:color w:val="000000" w:themeColor="text1"/>
                <w:kern w:val="0"/>
                <w:sz w:val="24"/>
                <w14:textFill>
                  <w14:solidFill>
                    <w14:schemeClr w14:val="tx1"/>
                  </w14:solidFill>
                </w14:textFill>
              </w:rPr>
            </w:pPr>
          </w:p>
        </w:tc>
      </w:tr>
      <w:tr w14:paraId="48A0C7B1">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14:paraId="256E2741">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监理单位</w:t>
            </w:r>
          </w:p>
        </w:tc>
        <w:tc>
          <w:tcPr>
            <w:tcW w:w="897" w:type="dxa"/>
            <w:vAlign w:val="center"/>
          </w:tcPr>
          <w:p w14:paraId="0DE4BC9C">
            <w:pPr>
              <w:jc w:val="center"/>
              <w:rPr>
                <w:color w:val="000000" w:themeColor="text1"/>
                <w:kern w:val="0"/>
                <w:sz w:val="24"/>
                <w14:textFill>
                  <w14:solidFill>
                    <w14:schemeClr w14:val="tx1"/>
                  </w14:solidFill>
                </w14:textFill>
              </w:rPr>
            </w:pPr>
          </w:p>
        </w:tc>
        <w:tc>
          <w:tcPr>
            <w:tcW w:w="1264" w:type="dxa"/>
            <w:vAlign w:val="center"/>
          </w:tcPr>
          <w:p w14:paraId="1B2477E7">
            <w:pPr>
              <w:ind w:firstLine="480"/>
              <w:jc w:val="center"/>
              <w:rPr>
                <w:color w:val="000000" w:themeColor="text1"/>
                <w:kern w:val="0"/>
                <w:sz w:val="24"/>
                <w:highlight w:val="yellow"/>
                <w14:textFill>
                  <w14:solidFill>
                    <w14:schemeClr w14:val="tx1"/>
                  </w14:solidFill>
                </w14:textFill>
              </w:rPr>
            </w:pPr>
          </w:p>
        </w:tc>
        <w:tc>
          <w:tcPr>
            <w:tcW w:w="943" w:type="dxa"/>
            <w:vAlign w:val="center"/>
          </w:tcPr>
          <w:p w14:paraId="61189A7B">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07EB380E">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65D21C9E">
            <w:pPr>
              <w:ind w:firstLine="480"/>
              <w:jc w:val="center"/>
              <w:rPr>
                <w:color w:val="000000" w:themeColor="text1"/>
                <w:kern w:val="0"/>
                <w:sz w:val="24"/>
                <w14:textFill>
                  <w14:solidFill>
                    <w14:schemeClr w14:val="tx1"/>
                  </w14:solidFill>
                </w14:textFill>
              </w:rPr>
            </w:pPr>
          </w:p>
        </w:tc>
      </w:tr>
      <w:tr w14:paraId="55A61C6A">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vAlign w:val="center"/>
          </w:tcPr>
          <w:p w14:paraId="5B19B986">
            <w:pPr>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中通服咨询设计研究院有限公司归档</w:t>
            </w:r>
          </w:p>
        </w:tc>
        <w:tc>
          <w:tcPr>
            <w:tcW w:w="897" w:type="dxa"/>
            <w:vAlign w:val="center"/>
          </w:tcPr>
          <w:p w14:paraId="04EF3CEC">
            <w:pPr>
              <w:jc w:val="center"/>
              <w:rPr>
                <w:color w:val="000000" w:themeColor="text1"/>
                <w:kern w:val="0"/>
                <w:sz w:val="24"/>
                <w14:textFill>
                  <w14:solidFill>
                    <w14:schemeClr w14:val="tx1"/>
                  </w14:solidFill>
                </w14:textFill>
              </w:rPr>
            </w:pPr>
          </w:p>
        </w:tc>
        <w:tc>
          <w:tcPr>
            <w:tcW w:w="1264" w:type="dxa"/>
            <w:vAlign w:val="center"/>
          </w:tcPr>
          <w:p w14:paraId="6900EB25">
            <w:pPr>
              <w:jc w:val="center"/>
              <w:rPr>
                <w:color w:val="000000" w:themeColor="text1"/>
                <w:kern w:val="0"/>
                <w:sz w:val="24"/>
                <w:highlight w:val="yellow"/>
                <w14:textFill>
                  <w14:solidFill>
                    <w14:schemeClr w14:val="tx1"/>
                  </w14:solidFill>
                </w14:textFill>
              </w:rPr>
            </w:pPr>
            <w:r>
              <w:rPr>
                <w:color w:val="000000" w:themeColor="text1"/>
                <w:kern w:val="0"/>
                <w:sz w:val="24"/>
                <w:highlight w:val="yellow"/>
                <w14:textFill>
                  <w14:solidFill>
                    <w14:schemeClr w14:val="tx1"/>
                  </w14:solidFill>
                </w14:textFill>
              </w:rPr>
              <w:t>1</w:t>
            </w:r>
          </w:p>
        </w:tc>
        <w:tc>
          <w:tcPr>
            <w:tcW w:w="943" w:type="dxa"/>
            <w:vAlign w:val="center"/>
          </w:tcPr>
          <w:p w14:paraId="6349DA3C">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234609F0">
            <w:pPr>
              <w:ind w:firstLine="480"/>
              <w:jc w:val="center"/>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50F8035E">
            <w:pPr>
              <w:ind w:firstLine="480"/>
              <w:jc w:val="center"/>
              <w:rPr>
                <w:color w:val="000000" w:themeColor="text1"/>
                <w:kern w:val="0"/>
                <w:sz w:val="24"/>
                <w14:textFill>
                  <w14:solidFill>
                    <w14:schemeClr w14:val="tx1"/>
                  </w14:solidFill>
                </w14:textFill>
              </w:rPr>
            </w:pPr>
          </w:p>
        </w:tc>
      </w:tr>
      <w:tr w14:paraId="2C611E90">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jc w:val="center"/>
        </w:trPr>
        <w:tc>
          <w:tcPr>
            <w:tcW w:w="2714" w:type="dxa"/>
          </w:tcPr>
          <w:p w14:paraId="609D0498">
            <w:pPr>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合计</w:t>
            </w:r>
          </w:p>
        </w:tc>
        <w:tc>
          <w:tcPr>
            <w:tcW w:w="897" w:type="dxa"/>
            <w:vAlign w:val="center"/>
          </w:tcPr>
          <w:p w14:paraId="02C61F41">
            <w:pPr>
              <w:jc w:val="center"/>
              <w:rPr>
                <w:color w:val="000000" w:themeColor="text1"/>
                <w:kern w:val="0"/>
                <w:sz w:val="24"/>
                <w14:textFill>
                  <w14:solidFill>
                    <w14:schemeClr w14:val="tx1"/>
                  </w14:solidFill>
                </w14:textFill>
              </w:rPr>
            </w:pPr>
          </w:p>
        </w:tc>
        <w:tc>
          <w:tcPr>
            <w:tcW w:w="1264" w:type="dxa"/>
            <w:vAlign w:val="center"/>
          </w:tcPr>
          <w:p w14:paraId="05A9A089">
            <w:pPr>
              <w:jc w:val="center"/>
              <w:rPr>
                <w:color w:val="000000" w:themeColor="text1"/>
                <w:kern w:val="0"/>
                <w:sz w:val="24"/>
                <w:highlight w:val="yellow"/>
                <w14:textFill>
                  <w14:solidFill>
                    <w14:schemeClr w14:val="tx1"/>
                  </w14:solidFill>
                </w14:textFill>
              </w:rPr>
            </w:pPr>
            <w:r>
              <w:rPr>
                <w:rFonts w:hint="eastAsia"/>
                <w:color w:val="000000" w:themeColor="text1"/>
                <w:kern w:val="0"/>
                <w:sz w:val="24"/>
                <w:highlight w:val="yellow"/>
                <w14:textFill>
                  <w14:solidFill>
                    <w14:schemeClr w14:val="tx1"/>
                  </w14:solidFill>
                </w14:textFill>
              </w:rPr>
              <w:t>3</w:t>
            </w:r>
          </w:p>
        </w:tc>
        <w:tc>
          <w:tcPr>
            <w:tcW w:w="943" w:type="dxa"/>
            <w:vAlign w:val="center"/>
          </w:tcPr>
          <w:p w14:paraId="578069C8">
            <w:pPr>
              <w:ind w:firstLine="480"/>
              <w:jc w:val="center"/>
              <w:rPr>
                <w:color w:val="000000" w:themeColor="text1"/>
                <w:kern w:val="0"/>
                <w:sz w:val="24"/>
                <w14:textFill>
                  <w14:solidFill>
                    <w14:schemeClr w14:val="tx1"/>
                  </w14:solidFill>
                </w14:textFill>
              </w:rPr>
            </w:pPr>
          </w:p>
        </w:tc>
        <w:tc>
          <w:tcPr>
            <w:tcW w:w="1229" w:type="dxa"/>
            <w:tcBorders>
              <w:right w:val="single" w:color="auto" w:sz="4" w:space="0"/>
            </w:tcBorders>
            <w:vAlign w:val="center"/>
          </w:tcPr>
          <w:p w14:paraId="74670F76">
            <w:pPr>
              <w:ind w:firstLine="480"/>
              <w:jc w:val="left"/>
              <w:rPr>
                <w:color w:val="000000" w:themeColor="text1"/>
                <w:kern w:val="0"/>
                <w:sz w:val="24"/>
                <w14:textFill>
                  <w14:solidFill>
                    <w14:schemeClr w14:val="tx1"/>
                  </w14:solidFill>
                </w14:textFill>
              </w:rPr>
            </w:pPr>
          </w:p>
        </w:tc>
        <w:tc>
          <w:tcPr>
            <w:tcW w:w="1514" w:type="dxa"/>
            <w:tcBorders>
              <w:left w:val="single" w:color="auto" w:sz="4" w:space="0"/>
            </w:tcBorders>
            <w:vAlign w:val="center"/>
          </w:tcPr>
          <w:p w14:paraId="30C90F6A">
            <w:pPr>
              <w:ind w:firstLine="480"/>
              <w:jc w:val="center"/>
              <w:rPr>
                <w:color w:val="000000" w:themeColor="text1"/>
                <w:kern w:val="0"/>
                <w:sz w:val="24"/>
                <w14:textFill>
                  <w14:solidFill>
                    <w14:schemeClr w14:val="tx1"/>
                  </w14:solidFill>
                </w14:textFill>
              </w:rPr>
            </w:pPr>
          </w:p>
        </w:tc>
      </w:tr>
      <w:tr w14:paraId="0F6DF58F">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28" w:type="dxa"/>
            <w:bottom w:w="0" w:type="dxa"/>
            <w:right w:w="28" w:type="dxa"/>
          </w:tblCellMar>
        </w:tblPrEx>
        <w:trPr>
          <w:trHeight w:val="2268" w:hRule="atLeast"/>
          <w:jc w:val="center"/>
        </w:trPr>
        <w:tc>
          <w:tcPr>
            <w:tcW w:w="2714" w:type="dxa"/>
            <w:vAlign w:val="center"/>
          </w:tcPr>
          <w:p w14:paraId="24DE57FA">
            <w:pPr>
              <w:jc w:val="center"/>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备</w:t>
            </w:r>
            <w:r>
              <w:rPr>
                <w:rFonts w:hint="eastAsia"/>
                <w:bCs/>
                <w:color w:val="000000" w:themeColor="text1"/>
                <w:sz w:val="24"/>
                <w14:textFill>
                  <w14:solidFill>
                    <w14:schemeClr w14:val="tx1"/>
                  </w14:solidFill>
                </w14:textFill>
              </w:rPr>
              <w:t xml:space="preserve"> </w:t>
            </w:r>
            <w:r>
              <w:rPr>
                <w:bCs/>
                <w:color w:val="000000" w:themeColor="text1"/>
                <w:sz w:val="24"/>
                <w14:textFill>
                  <w14:solidFill>
                    <w14:schemeClr w14:val="tx1"/>
                  </w14:solidFill>
                </w14:textFill>
              </w:rPr>
              <w:t xml:space="preserve">  注</w:t>
            </w:r>
          </w:p>
        </w:tc>
        <w:tc>
          <w:tcPr>
            <w:tcW w:w="5847" w:type="dxa"/>
            <w:gridSpan w:val="5"/>
            <w:vAlign w:val="center"/>
          </w:tcPr>
          <w:p w14:paraId="00E1C740">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设计单位名称：中通服咨询设计研究院有限公司</w:t>
            </w:r>
          </w:p>
          <w:p w14:paraId="70A582EB">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设计单位地址：江苏省南京市建邺区楠溪江东街58号</w:t>
            </w:r>
          </w:p>
          <w:p w14:paraId="189C52B5">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邮编：210019</w:t>
            </w:r>
          </w:p>
          <w:p w14:paraId="401DA6F8">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项目总负责人：</w:t>
            </w:r>
            <w:r>
              <w:rPr>
                <w:rFonts w:hint="eastAsia"/>
                <w:color w:val="000000" w:themeColor="text1"/>
                <w:sz w:val="24"/>
                <w14:textFill>
                  <w14:solidFill>
                    <w14:schemeClr w14:val="tx1"/>
                  </w14:solidFill>
                </w14:textFill>
              </w:rPr>
              <w:t>蒋献周</w:t>
            </w:r>
          </w:p>
          <w:p w14:paraId="4C9B614B">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联系电话：</w:t>
            </w:r>
            <w:r>
              <w:rPr>
                <w:rFonts w:hint="eastAsia"/>
                <w:color w:val="000000" w:themeColor="text1"/>
                <w:sz w:val="24"/>
                <w14:textFill>
                  <w14:solidFill>
                    <w14:schemeClr w14:val="tx1"/>
                  </w14:solidFill>
                </w14:textFill>
              </w:rPr>
              <w:t>13548010827</w:t>
            </w:r>
          </w:p>
          <w:p w14:paraId="7FF054FB">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电子邮箱：</w:t>
            </w:r>
            <w:r>
              <w:rPr>
                <w:rFonts w:hint="eastAsia"/>
                <w:color w:val="000000" w:themeColor="text1"/>
                <w14:textFill>
                  <w14:solidFill>
                    <w14:schemeClr w14:val="tx1"/>
                  </w14:solidFill>
                </w14:textFill>
              </w:rPr>
              <w:t>jiangxianzhou</w:t>
            </w:r>
            <w:r>
              <w:rPr>
                <w:color w:val="000000" w:themeColor="text1"/>
                <w14:textFill>
                  <w14:solidFill>
                    <w14:schemeClr w14:val="tx1"/>
                  </w14:solidFill>
                </w14:textFill>
              </w:rPr>
              <w:t>.cicdi@chinaccs.cn</w:t>
            </w:r>
          </w:p>
          <w:p w14:paraId="41F9201D">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单项设计负责人：</w:t>
            </w:r>
            <w:r>
              <w:rPr>
                <w:rFonts w:hint="eastAsia"/>
                <w:color w:val="000000" w:themeColor="text1"/>
                <w:sz w:val="24"/>
                <w:highlight w:val="yellow"/>
                <w14:textFill>
                  <w14:solidFill>
                    <w14:schemeClr w14:val="tx1"/>
                  </w14:solidFill>
                </w14:textFill>
              </w:rPr>
              <w:t>齐天宇</w:t>
            </w:r>
          </w:p>
          <w:p w14:paraId="0D51C6FD">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联络电话：</w:t>
            </w:r>
            <w:r>
              <w:rPr>
                <w:rFonts w:hint="eastAsia"/>
                <w:color w:val="000000" w:themeColor="text1"/>
                <w:kern w:val="0"/>
                <w:sz w:val="24"/>
                <w:highlight w:val="yellow"/>
                <w14:textFill>
                  <w14:solidFill>
                    <w14:schemeClr w14:val="tx1"/>
                  </w14:solidFill>
                </w14:textFill>
              </w:rPr>
              <w:t>17805101835</w:t>
            </w:r>
          </w:p>
          <w:p w14:paraId="154B9235">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电子邮箱：</w:t>
            </w:r>
            <w:r>
              <w:rPr>
                <w:rFonts w:hint="eastAsia"/>
                <w:color w:val="000000" w:themeColor="text1"/>
                <w:sz w:val="24"/>
                <w14:textFill>
                  <w14:solidFill>
                    <w14:schemeClr w14:val="tx1"/>
                  </w14:solidFill>
                </w14:textFill>
              </w:rPr>
              <w:t>qitianyu2007@126.com</w:t>
            </w:r>
          </w:p>
          <w:p w14:paraId="0F34BADF">
            <w:pPr>
              <w:spacing w:line="360" w:lineRule="auto"/>
              <w:rPr>
                <w:color w:val="000000" w:themeColor="text1"/>
                <w:sz w:val="24"/>
                <w14:textFill>
                  <w14:solidFill>
                    <w14:schemeClr w14:val="tx1"/>
                  </w14:solidFill>
                </w14:textFill>
              </w:rPr>
            </w:pPr>
            <w:bookmarkStart w:id="517" w:name="_GoBack"/>
            <w:bookmarkEnd w:id="517"/>
          </w:p>
          <w:p w14:paraId="74F1B8A7">
            <w:pPr>
              <w:spacing w:line="360" w:lineRule="auto"/>
              <w:rPr>
                <w:color w:val="000000" w:themeColor="text1"/>
                <w:sz w:val="24"/>
                <w14:textFill>
                  <w14:solidFill>
                    <w14:schemeClr w14:val="tx1"/>
                  </w14:solidFill>
                </w14:textFill>
              </w:rPr>
            </w:pPr>
          </w:p>
          <w:p w14:paraId="7845CEFB">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建设单位名称：</w:t>
            </w:r>
            <w:r>
              <w:rPr>
                <w:color w:val="000000" w:themeColor="text1"/>
                <w:kern w:val="0"/>
                <w:sz w:val="24"/>
                <w14:textFill>
                  <w14:solidFill>
                    <w14:schemeClr w14:val="tx1"/>
                  </w14:solidFill>
                </w14:textFill>
              </w:rPr>
              <w:t>中国铁塔股份有限公司</w:t>
            </w:r>
            <w:r>
              <w:rPr>
                <w:rFonts w:hint="eastAsia"/>
                <w:color w:val="000000" w:themeColor="text1"/>
                <w:kern w:val="0"/>
                <w:sz w:val="24"/>
                <w:highlight w:val="yellow"/>
                <w14:textFill>
                  <w14:solidFill>
                    <w14:schemeClr w14:val="tx1"/>
                  </w14:solidFill>
                </w14:textFill>
              </w:rPr>
              <w:t>XX</w:t>
            </w:r>
            <w:r>
              <w:rPr>
                <w:color w:val="000000" w:themeColor="text1"/>
                <w:kern w:val="0"/>
                <w:sz w:val="24"/>
                <w14:textFill>
                  <w14:solidFill>
                    <w14:schemeClr w14:val="tx1"/>
                  </w14:solidFill>
                </w14:textFill>
              </w:rPr>
              <w:t>市分公司</w:t>
            </w:r>
          </w:p>
          <w:p w14:paraId="29227E2D">
            <w:pPr>
              <w:spacing w:line="360" w:lineRule="auto"/>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建设单位地址：</w:t>
            </w:r>
            <w:r>
              <w:rPr>
                <w:color w:val="000000" w:themeColor="text1"/>
                <w:kern w:val="0"/>
                <w:sz w:val="24"/>
                <w:highlight w:val="yellow"/>
                <w14:textFill>
                  <w14:solidFill>
                    <w14:schemeClr w14:val="tx1"/>
                  </w14:solidFill>
                </w14:textFill>
              </w:rPr>
              <w:t>XXXX</w:t>
            </w:r>
          </w:p>
          <w:p w14:paraId="2B4F5C17">
            <w:pPr>
              <w:spacing w:line="360" w:lineRule="auto"/>
              <w:rPr>
                <w:color w:val="000000" w:themeColor="text1"/>
                <w:sz w:val="24"/>
                <w14:textFill>
                  <w14:solidFill>
                    <w14:schemeClr w14:val="tx1"/>
                  </w14:solidFill>
                </w14:textFill>
              </w:rPr>
            </w:pPr>
            <w:r>
              <w:rPr>
                <w:rFonts w:hint="eastAsia"/>
                <w:color w:val="000000" w:themeColor="text1"/>
                <w:kern w:val="0"/>
                <w:sz w:val="24"/>
                <w14:textFill>
                  <w14:solidFill>
                    <w14:schemeClr w14:val="tx1"/>
                  </w14:solidFill>
                </w14:textFill>
              </w:rPr>
              <w:t>邮编：</w:t>
            </w:r>
            <w:r>
              <w:rPr>
                <w:rFonts w:hint="eastAsia"/>
                <w:color w:val="000000" w:themeColor="text1"/>
                <w:kern w:val="0"/>
                <w:sz w:val="24"/>
                <w:highlight w:val="yellow"/>
                <w14:textFill>
                  <w14:solidFill>
                    <w14:schemeClr w14:val="tx1"/>
                  </w14:solidFill>
                </w14:textFill>
              </w:rPr>
              <w:t>XXXX</w:t>
            </w:r>
          </w:p>
          <w:p w14:paraId="1E8CACBC">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建设单位联系人：</w:t>
            </w:r>
            <w:r>
              <w:rPr>
                <w:rFonts w:hint="eastAsia"/>
                <w:color w:val="000000" w:themeColor="text1"/>
                <w:sz w:val="24"/>
                <w14:textFill>
                  <w14:solidFill>
                    <w14:schemeClr w14:val="tx1"/>
                  </w14:solidFill>
                </w14:textFill>
              </w:rPr>
              <w:t>詹姆斯</w:t>
            </w:r>
          </w:p>
          <w:p w14:paraId="15CB5BA0">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联系电话：</w:t>
            </w:r>
            <w:r>
              <w:rPr>
                <w:rFonts w:hint="eastAsia"/>
                <w:color w:val="000000" w:themeColor="text1"/>
                <w:sz w:val="24"/>
                <w:highlight w:val="yellow"/>
                <w14:textFill>
                  <w14:solidFill>
                    <w14:schemeClr w14:val="tx1"/>
                  </w14:solidFill>
                </w14:textFill>
              </w:rPr>
              <w:t>12345678912</w:t>
            </w:r>
          </w:p>
          <w:p w14:paraId="3586CCDC">
            <w:pPr>
              <w:spacing w:line="360" w:lineRule="auto"/>
              <w:rPr>
                <w:color w:val="000000" w:themeColor="text1"/>
                <w:sz w:val="24"/>
                <w14:textFill>
                  <w14:solidFill>
                    <w14:schemeClr w14:val="tx1"/>
                  </w14:solidFill>
                </w14:textFill>
              </w:rPr>
            </w:pPr>
          </w:p>
        </w:tc>
      </w:tr>
    </w:tbl>
    <w:p w14:paraId="08721611">
      <w:pPr>
        <w:spacing w:line="340" w:lineRule="exact"/>
        <w:jc w:val="center"/>
        <w:rPr>
          <w:rFonts w:ascii="方正中等线简体" w:eastAsia="方正中等线简体"/>
          <w:color w:val="000000" w:themeColor="text1"/>
          <w:sz w:val="24"/>
          <w14:textFill>
            <w14:solidFill>
              <w14:schemeClr w14:val="tx1"/>
            </w14:solidFill>
          </w14:textFill>
        </w:rPr>
      </w:pPr>
    </w:p>
    <w:p w14:paraId="17264E3B">
      <w:pPr>
        <w:spacing w:line="360" w:lineRule="auto"/>
        <w:jc w:val="center"/>
        <w:rPr>
          <w:rFonts w:ascii="方正中等线简体" w:eastAsia="方正中等线简体"/>
          <w:color w:val="000000" w:themeColor="text1"/>
          <w:sz w:val="22"/>
          <w:szCs w:val="22"/>
          <w14:textFill>
            <w14:solidFill>
              <w14:schemeClr w14:val="tx1"/>
            </w14:solidFill>
          </w14:textFill>
        </w:rPr>
        <w:sectPr>
          <w:headerReference r:id="rId5" w:type="first"/>
          <w:footerReference r:id="rId8" w:type="first"/>
          <w:headerReference r:id="rId3" w:type="default"/>
          <w:footerReference r:id="rId6" w:type="default"/>
          <w:headerReference r:id="rId4" w:type="even"/>
          <w:footerReference r:id="rId7" w:type="even"/>
          <w:pgSz w:w="11906" w:h="16838"/>
          <w:pgMar w:top="1440" w:right="1418" w:bottom="1440" w:left="1418" w:header="851" w:footer="992" w:gutter="0"/>
          <w:pgNumType w:start="1"/>
          <w:cols w:space="425" w:num="1"/>
          <w:docGrid w:type="lines" w:linePitch="312" w:charSpace="0"/>
        </w:sectPr>
      </w:pPr>
    </w:p>
    <w:sdt>
      <w:sdtPr>
        <w:rPr>
          <w:rFonts w:ascii="Times New Roman" w:hAnsi="Times New Roman" w:eastAsia="宋体" w:cs="Times New Roman"/>
          <w:color w:val="000000" w:themeColor="text1"/>
          <w:sz w:val="22"/>
          <w:szCs w:val="22"/>
          <w:lang w:val="zh-CN"/>
          <w14:textFill>
            <w14:solidFill>
              <w14:schemeClr w14:val="tx1"/>
            </w14:solidFill>
          </w14:textFill>
        </w:rPr>
        <w:id w:val="1811904618"/>
        <w:docPartObj>
          <w:docPartGallery w:val="Table of Contents"/>
          <w:docPartUnique/>
        </w:docPartObj>
      </w:sdtPr>
      <w:sdtEndPr>
        <w:rPr>
          <w:rFonts w:ascii="Times New Roman" w:hAnsi="Times New Roman" w:eastAsia="宋体" w:cs="Times New Roman"/>
          <w:b w:val="0"/>
          <w:bCs w:val="0"/>
          <w:color w:val="000000" w:themeColor="text1"/>
          <w:sz w:val="22"/>
          <w:szCs w:val="22"/>
          <w:lang w:val="zh-CN"/>
          <w14:textFill>
            <w14:solidFill>
              <w14:schemeClr w14:val="tx1"/>
            </w14:solidFill>
          </w14:textFill>
        </w:rPr>
      </w:sdtEndPr>
      <w:sdtContent>
        <w:p w14:paraId="77CCCD7E">
          <w:pPr>
            <w:pStyle w:val="56"/>
            <w:tabs>
              <w:tab w:val="left" w:pos="290"/>
              <w:tab w:val="center" w:pos="4252"/>
            </w:tabs>
            <w:spacing w:before="0" w:line="360" w:lineRule="auto"/>
            <w:rPr>
              <w:rFonts w:ascii="Times New Roman" w:hAnsi="Times New Roman" w:eastAsia="宋体" w:cs="Times New Roman"/>
              <w:b w:val="0"/>
              <w:color w:val="000000" w:themeColor="text1"/>
              <w:kern w:val="2"/>
              <w:sz w:val="24"/>
              <w:szCs w:val="24"/>
              <w14:textFill>
                <w14:solidFill>
                  <w14:schemeClr w14:val="tx1"/>
                </w14:solidFill>
              </w14:textFill>
            </w:rPr>
          </w:pP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color w:val="000000" w:themeColor="text1"/>
              <w:sz w:val="22"/>
              <w:szCs w:val="22"/>
              <w:lang w:val="zh-CN"/>
              <w14:textFill>
                <w14:solidFill>
                  <w14:schemeClr w14:val="tx1"/>
                </w14:solidFill>
              </w14:textFill>
            </w:rPr>
            <w:tab/>
          </w:r>
          <w:r>
            <w:rPr>
              <w:rFonts w:ascii="Times New Roman" w:hAnsi="Times New Roman" w:eastAsia="宋体" w:cs="Times New Roman"/>
              <w:b w:val="0"/>
              <w:color w:val="000000" w:themeColor="text1"/>
              <w:kern w:val="2"/>
              <w:sz w:val="40"/>
              <w:szCs w:val="40"/>
              <w14:textFill>
                <w14:solidFill>
                  <w14:schemeClr w14:val="tx1"/>
                </w14:solidFill>
              </w14:textFill>
            </w:rPr>
            <w:t>目      录</w:t>
          </w:r>
        </w:p>
        <w:p w14:paraId="06F45E47">
          <w:pPr>
            <w:pStyle w:val="23"/>
            <w:tabs>
              <w:tab w:val="right" w:leader="dot" w:pos="8495"/>
            </w:tabs>
            <w:spacing w:line="360" w:lineRule="auto"/>
            <w:rPr>
              <w:rFonts w:ascii="Times New Roman" w:hAnsi="Times New Roman" w:eastAsia="宋体" w:cs="Times New Roman"/>
              <w:b w:val="0"/>
              <w:bCs w:val="0"/>
              <w:kern w:val="2"/>
              <w:sz w:val="28"/>
              <w:szCs w:val="28"/>
            </w:rPr>
          </w:pPr>
          <w:r>
            <w:rPr>
              <w:rFonts w:ascii="Times New Roman" w:hAnsi="Times New Roman" w:eastAsia="宋体" w:cs="Times New Roman"/>
              <w:color w:val="000000" w:themeColor="text1"/>
              <w:sz w:val="24"/>
              <w:szCs w:val="24"/>
              <w14:textFill>
                <w14:solidFill>
                  <w14:schemeClr w14:val="tx1"/>
                </w14:solidFill>
              </w14:textFill>
            </w:rPr>
            <w:fldChar w:fldCharType="begin"/>
          </w:r>
          <w:r>
            <w:rPr>
              <w:rFonts w:ascii="Times New Roman" w:hAnsi="Times New Roman" w:eastAsia="宋体" w:cs="Times New Roman"/>
              <w:color w:val="000000" w:themeColor="text1"/>
              <w:sz w:val="24"/>
              <w:szCs w:val="24"/>
              <w14:textFill>
                <w14:solidFill>
                  <w14:schemeClr w14:val="tx1"/>
                </w14:solidFill>
              </w14:textFill>
            </w:rPr>
            <w:instrText xml:space="preserve"> TOC \o "1-3" \h \z \u </w:instrText>
          </w:r>
          <w:r>
            <w:rPr>
              <w:rFonts w:ascii="Times New Roman" w:hAnsi="Times New Roman" w:eastAsia="宋体" w:cs="Times New Roman"/>
              <w:color w:val="000000" w:themeColor="text1"/>
              <w:sz w:val="24"/>
              <w:szCs w:val="24"/>
              <w14:textFill>
                <w14:solidFill>
                  <w14:schemeClr w14:val="tx1"/>
                </w14:solidFill>
              </w14:textFill>
            </w:rPr>
            <w:fldChar w:fldCharType="separate"/>
          </w:r>
          <w:r>
            <w:rPr>
              <w:sz w:val="28"/>
              <w:szCs w:val="28"/>
            </w:rPr>
            <w:fldChar w:fldCharType="begin"/>
          </w:r>
          <w:r>
            <w:rPr>
              <w:sz w:val="28"/>
              <w:szCs w:val="28"/>
            </w:rPr>
            <w:instrText xml:space="preserve"> HYPERLINK \l "_Toc132902821" </w:instrText>
          </w:r>
          <w:r>
            <w:rPr>
              <w:sz w:val="28"/>
              <w:szCs w:val="28"/>
            </w:rPr>
            <w:fldChar w:fldCharType="separate"/>
          </w:r>
          <w:r>
            <w:rPr>
              <w:rStyle w:val="33"/>
              <w:rFonts w:ascii="Times New Roman" w:hAnsi="Times New Roman" w:eastAsia="宋体" w:cs="Times New Roman"/>
              <w:sz w:val="28"/>
              <w:szCs w:val="28"/>
            </w:rPr>
            <w:t>一、设计说明</w:t>
          </w:r>
          <w:r>
            <w:rPr>
              <w:rFonts w:ascii="Times New Roman" w:hAnsi="Times New Roman" w:eastAsia="宋体" w:cs="Times New Roman"/>
              <w:sz w:val="28"/>
              <w:szCs w:val="28"/>
            </w:rPr>
            <w:tab/>
          </w:r>
          <w:r>
            <w:rPr>
              <w:rFonts w:ascii="Times New Roman" w:hAnsi="Times New Roman" w:eastAsia="宋体" w:cs="Times New Roman"/>
              <w:sz w:val="28"/>
              <w:szCs w:val="28"/>
            </w:rPr>
            <w:fldChar w:fldCharType="begin"/>
          </w:r>
          <w:r>
            <w:rPr>
              <w:rFonts w:ascii="Times New Roman" w:hAnsi="Times New Roman" w:eastAsia="宋体" w:cs="Times New Roman"/>
              <w:sz w:val="28"/>
              <w:szCs w:val="28"/>
            </w:rPr>
            <w:instrText xml:space="preserve"> PAGEREF _Toc132902821 \h </w:instrText>
          </w:r>
          <w:r>
            <w:rPr>
              <w:rFonts w:ascii="Times New Roman" w:hAnsi="Times New Roman" w:eastAsia="宋体" w:cs="Times New Roman"/>
              <w:sz w:val="28"/>
              <w:szCs w:val="28"/>
            </w:rPr>
            <w:fldChar w:fldCharType="separate"/>
          </w:r>
          <w:r>
            <w:rPr>
              <w:rFonts w:ascii="Times New Roman" w:hAnsi="Times New Roman" w:eastAsia="宋体" w:cs="Times New Roman"/>
              <w:sz w:val="28"/>
              <w:szCs w:val="28"/>
            </w:rPr>
            <w:t>1</w:t>
          </w:r>
          <w:r>
            <w:rPr>
              <w:rFonts w:ascii="Times New Roman" w:hAnsi="Times New Roman" w:eastAsia="宋体" w:cs="Times New Roman"/>
              <w:sz w:val="28"/>
              <w:szCs w:val="28"/>
            </w:rPr>
            <w:fldChar w:fldCharType="end"/>
          </w:r>
          <w:r>
            <w:rPr>
              <w:rFonts w:ascii="Times New Roman" w:hAnsi="Times New Roman" w:eastAsia="宋体" w:cs="Times New Roman"/>
              <w:sz w:val="28"/>
              <w:szCs w:val="28"/>
            </w:rPr>
            <w:fldChar w:fldCharType="end"/>
          </w:r>
        </w:p>
        <w:p w14:paraId="67D174E0">
          <w:pPr>
            <w:pStyle w:val="27"/>
            <w:tabs>
              <w:tab w:val="right" w:leader="dot" w:pos="8495"/>
            </w:tabs>
            <w:spacing w:line="360" w:lineRule="auto"/>
            <w:rPr>
              <w:sz w:val="28"/>
              <w:szCs w:val="28"/>
            </w:rPr>
          </w:pPr>
          <w:r>
            <w:rPr>
              <w:sz w:val="28"/>
              <w:szCs w:val="28"/>
            </w:rPr>
            <w:fldChar w:fldCharType="begin"/>
          </w:r>
          <w:r>
            <w:rPr>
              <w:sz w:val="28"/>
              <w:szCs w:val="28"/>
            </w:rPr>
            <w:instrText xml:space="preserve"> HYPERLINK \l "_Toc132902822" </w:instrText>
          </w:r>
          <w:r>
            <w:rPr>
              <w:sz w:val="28"/>
              <w:szCs w:val="28"/>
            </w:rPr>
            <w:fldChar w:fldCharType="separate"/>
          </w:r>
          <w:r>
            <w:rPr>
              <w:rStyle w:val="33"/>
              <w:sz w:val="28"/>
              <w:szCs w:val="28"/>
            </w:rPr>
            <w:t>1 项目概述</w:t>
          </w:r>
          <w:r>
            <w:rPr>
              <w:sz w:val="28"/>
              <w:szCs w:val="28"/>
            </w:rPr>
            <w:tab/>
          </w:r>
          <w:r>
            <w:rPr>
              <w:sz w:val="28"/>
              <w:szCs w:val="28"/>
            </w:rPr>
            <w:fldChar w:fldCharType="begin"/>
          </w:r>
          <w:r>
            <w:rPr>
              <w:sz w:val="28"/>
              <w:szCs w:val="28"/>
            </w:rPr>
            <w:instrText xml:space="preserve"> PAGEREF _Toc132902822 \h </w:instrText>
          </w:r>
          <w:r>
            <w:rPr>
              <w:sz w:val="28"/>
              <w:szCs w:val="28"/>
            </w:rPr>
            <w:fldChar w:fldCharType="separate"/>
          </w:r>
          <w:r>
            <w:rPr>
              <w:sz w:val="28"/>
              <w:szCs w:val="28"/>
            </w:rPr>
            <w:t>1</w:t>
          </w:r>
          <w:r>
            <w:rPr>
              <w:sz w:val="28"/>
              <w:szCs w:val="28"/>
            </w:rPr>
            <w:fldChar w:fldCharType="end"/>
          </w:r>
          <w:r>
            <w:rPr>
              <w:sz w:val="28"/>
              <w:szCs w:val="28"/>
            </w:rPr>
            <w:fldChar w:fldCharType="end"/>
          </w:r>
        </w:p>
        <w:p w14:paraId="697DA038">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"_Toc132902823" </w:instrText>
          </w:r>
          <w:r>
            <w:rPr>
              <w:sz w:val="28"/>
              <w:szCs w:val="28"/>
            </w:rPr>
            <w:fldChar w:fldCharType="separate"/>
          </w:r>
          <w:r>
            <w:rPr>
              <w:rStyle w:val="33"/>
              <w:sz w:val="28"/>
              <w:szCs w:val="28"/>
            </w:rPr>
            <w:t>1.1 设计依据</w:t>
          </w:r>
          <w:r>
            <w:rPr>
              <w:sz w:val="28"/>
              <w:szCs w:val="28"/>
            </w:rPr>
            <w:tab/>
          </w:r>
          <w:r>
            <w:rPr>
              <w:sz w:val="28"/>
              <w:szCs w:val="28"/>
            </w:rPr>
            <w:fldChar w:fldCharType="begin"/>
          </w:r>
          <w:r>
            <w:rPr>
              <w:sz w:val="28"/>
              <w:szCs w:val="28"/>
            </w:rPr>
            <w:instrText xml:space="preserve"> PAGEREF _Toc132902823 \h </w:instrText>
          </w:r>
          <w:r>
            <w:rPr>
              <w:sz w:val="28"/>
              <w:szCs w:val="28"/>
            </w:rPr>
            <w:fldChar w:fldCharType="separate"/>
          </w:r>
          <w:r>
            <w:rPr>
              <w:sz w:val="28"/>
              <w:szCs w:val="28"/>
            </w:rPr>
            <w:t>1</w:t>
          </w:r>
          <w:r>
            <w:rPr>
              <w:sz w:val="28"/>
              <w:szCs w:val="28"/>
            </w:rPr>
            <w:fldChar w:fldCharType="end"/>
          </w:r>
          <w:r>
            <w:rPr>
              <w:sz w:val="28"/>
              <w:szCs w:val="28"/>
            </w:rPr>
            <w:fldChar w:fldCharType="end"/>
          </w:r>
        </w:p>
        <w:p w14:paraId="1378854C">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"_Toc132902824" </w:instrText>
          </w:r>
          <w:r>
            <w:rPr>
              <w:sz w:val="28"/>
              <w:szCs w:val="28"/>
            </w:rPr>
            <w:fldChar w:fldCharType="separate"/>
          </w:r>
          <w:r>
            <w:rPr>
              <w:rStyle w:val="33"/>
              <w:sz w:val="28"/>
              <w:szCs w:val="28"/>
            </w:rPr>
            <w:t>1.2 地区概况</w:t>
          </w:r>
          <w:r>
            <w:rPr>
              <w:sz w:val="28"/>
              <w:szCs w:val="28"/>
            </w:rPr>
            <w:tab/>
          </w:r>
          <w:r>
            <w:rPr>
              <w:sz w:val="28"/>
              <w:szCs w:val="28"/>
            </w:rPr>
            <w:fldChar w:fldCharType="begin"/>
          </w:r>
          <w:r>
            <w:rPr>
              <w:sz w:val="28"/>
              <w:szCs w:val="28"/>
            </w:rPr>
            <w:instrText xml:space="preserve"> PAGEREF _Toc132902824 \h </w:instrText>
          </w:r>
          <w:r>
            <w:rPr>
              <w:sz w:val="28"/>
              <w:szCs w:val="28"/>
            </w:rPr>
            <w:fldChar w:fldCharType="separate"/>
          </w:r>
          <w:r>
            <w:rPr>
              <w:sz w:val="28"/>
              <w:szCs w:val="28"/>
            </w:rPr>
            <w:t>2</w:t>
          </w:r>
          <w:r>
            <w:rPr>
              <w:sz w:val="28"/>
              <w:szCs w:val="28"/>
            </w:rPr>
            <w:fldChar w:fldCharType="end"/>
          </w:r>
          <w:r>
            <w:rPr>
              <w:sz w:val="28"/>
              <w:szCs w:val="28"/>
            </w:rPr>
            <w:fldChar w:fldCharType="end"/>
          </w:r>
        </w:p>
        <w:p w14:paraId="119E7F3E">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"_Toc132902825" </w:instrText>
          </w:r>
          <w:r>
            <w:rPr>
              <w:sz w:val="28"/>
              <w:szCs w:val="28"/>
            </w:rPr>
            <w:fldChar w:fldCharType="separate"/>
          </w:r>
          <w:r>
            <w:rPr>
              <w:rStyle w:val="33"/>
              <w:sz w:val="28"/>
              <w:szCs w:val="28"/>
            </w:rPr>
            <w:t>1.3 分工界面</w:t>
          </w:r>
          <w:r>
            <w:rPr>
              <w:sz w:val="28"/>
              <w:szCs w:val="28"/>
            </w:rPr>
            <w:tab/>
          </w:r>
          <w:r>
            <w:rPr>
              <w:sz w:val="28"/>
              <w:szCs w:val="28"/>
            </w:rPr>
            <w:fldChar w:fldCharType="begin"/>
          </w:r>
          <w:r>
            <w:rPr>
              <w:sz w:val="28"/>
              <w:szCs w:val="28"/>
            </w:rPr>
            <w:instrText xml:space="preserve"> PAGEREF _Toc132902825 \h </w:instrText>
          </w:r>
          <w:r>
            <w:rPr>
              <w:sz w:val="28"/>
              <w:szCs w:val="28"/>
            </w:rPr>
            <w:fldChar w:fldCharType="separate"/>
          </w:r>
          <w:r>
            <w:rPr>
              <w:sz w:val="28"/>
              <w:szCs w:val="28"/>
            </w:rPr>
            <w:t>4</w:t>
          </w:r>
          <w:r>
            <w:rPr>
              <w:sz w:val="28"/>
              <w:szCs w:val="28"/>
            </w:rPr>
            <w:fldChar w:fldCharType="end"/>
          </w:r>
          <w:r>
            <w:rPr>
              <w:sz w:val="28"/>
              <w:szCs w:val="28"/>
            </w:rPr>
            <w:fldChar w:fldCharType="end"/>
          </w:r>
        </w:p>
        <w:p w14:paraId="08841DB5">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"_Toc132902826" </w:instrText>
          </w:r>
          <w:r>
            <w:rPr>
              <w:sz w:val="28"/>
              <w:szCs w:val="28"/>
            </w:rPr>
            <w:fldChar w:fldCharType="separate"/>
          </w:r>
          <w:r>
            <w:rPr>
              <w:rStyle w:val="33"/>
              <w:sz w:val="28"/>
              <w:szCs w:val="28"/>
            </w:rPr>
            <w:t>1.4 设计文件组成</w:t>
          </w:r>
          <w:r>
            <w:rPr>
              <w:sz w:val="28"/>
              <w:szCs w:val="28"/>
            </w:rPr>
            <w:tab/>
          </w:r>
          <w:r>
            <w:rPr>
              <w:sz w:val="28"/>
              <w:szCs w:val="28"/>
            </w:rPr>
            <w:fldChar w:fldCharType="begin"/>
          </w:r>
          <w:r>
            <w:rPr>
              <w:sz w:val="28"/>
              <w:szCs w:val="28"/>
            </w:rPr>
            <w:instrText xml:space="preserve"> PAGEREF _Toc132902826 \h </w:instrText>
          </w:r>
          <w:r>
            <w:rPr>
              <w:sz w:val="28"/>
              <w:szCs w:val="28"/>
            </w:rPr>
            <w:fldChar w:fldCharType="separate"/>
          </w:r>
          <w:r>
            <w:rPr>
              <w:sz w:val="28"/>
              <w:szCs w:val="28"/>
            </w:rPr>
            <w:t>5</w:t>
          </w:r>
          <w:r>
            <w:rPr>
              <w:sz w:val="28"/>
              <w:szCs w:val="28"/>
            </w:rPr>
            <w:fldChar w:fldCharType="end"/>
          </w:r>
          <w:r>
            <w:rPr>
              <w:sz w:val="28"/>
              <w:szCs w:val="28"/>
            </w:rPr>
            <w:fldChar w:fldCharType="end"/>
          </w:r>
        </w:p>
        <w:p w14:paraId="4F74545D">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"_Toc132902827" </w:instrText>
          </w:r>
          <w:r>
            <w:rPr>
              <w:sz w:val="28"/>
              <w:szCs w:val="28"/>
            </w:rPr>
            <w:fldChar w:fldCharType="separate"/>
          </w:r>
          <w:r>
            <w:rPr>
              <w:rStyle w:val="33"/>
              <w:sz w:val="28"/>
              <w:szCs w:val="28"/>
            </w:rPr>
            <w:t>1.5 工程合理使用年限</w:t>
          </w:r>
          <w:r>
            <w:rPr>
              <w:sz w:val="28"/>
              <w:szCs w:val="28"/>
            </w:rPr>
            <w:tab/>
          </w:r>
          <w:r>
            <w:rPr>
              <w:sz w:val="28"/>
              <w:szCs w:val="28"/>
            </w:rPr>
            <w:fldChar w:fldCharType="begin"/>
          </w:r>
          <w:r>
            <w:rPr>
              <w:sz w:val="28"/>
              <w:szCs w:val="28"/>
            </w:rPr>
            <w:instrText xml:space="preserve"> PAGEREF _Toc132902827 \h </w:instrText>
          </w:r>
          <w:r>
            <w:rPr>
              <w:sz w:val="28"/>
              <w:szCs w:val="28"/>
            </w:rPr>
            <w:fldChar w:fldCharType="separate"/>
          </w:r>
          <w:r>
            <w:rPr>
              <w:sz w:val="28"/>
              <w:szCs w:val="28"/>
            </w:rPr>
            <w:t>5</w:t>
          </w:r>
          <w:r>
            <w:rPr>
              <w:sz w:val="28"/>
              <w:szCs w:val="28"/>
            </w:rPr>
            <w:fldChar w:fldCharType="end"/>
          </w:r>
          <w:r>
            <w:rPr>
              <w:sz w:val="28"/>
              <w:szCs w:val="28"/>
            </w:rPr>
            <w:fldChar w:fldCharType="end"/>
          </w:r>
        </w:p>
        <w:p w14:paraId="3CD542AF">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"_Toc132902828" </w:instrText>
          </w:r>
          <w:r>
            <w:rPr>
              <w:sz w:val="28"/>
              <w:szCs w:val="28"/>
            </w:rPr>
            <w:fldChar w:fldCharType="separate"/>
          </w:r>
          <w:r>
            <w:rPr>
              <w:rStyle w:val="33"/>
              <w:sz w:val="28"/>
              <w:szCs w:val="28"/>
            </w:rPr>
            <w:t>2</w:t>
          </w:r>
          <w:r>
            <w:rPr>
              <w:sz w:val="28"/>
              <w:szCs w:val="28"/>
            </w:rPr>
            <w:tab/>
          </w:r>
          <w:r>
            <w:rPr>
              <w:rStyle w:val="33"/>
              <w:sz w:val="28"/>
              <w:szCs w:val="28"/>
            </w:rPr>
            <w:t>建设方案</w:t>
          </w:r>
          <w:r>
            <w:rPr>
              <w:sz w:val="28"/>
              <w:szCs w:val="28"/>
            </w:rPr>
            <w:tab/>
          </w:r>
          <w:r>
            <w:rPr>
              <w:sz w:val="28"/>
              <w:szCs w:val="28"/>
            </w:rPr>
            <w:fldChar w:fldCharType="begin"/>
          </w:r>
          <w:r>
            <w:rPr>
              <w:sz w:val="28"/>
              <w:szCs w:val="28"/>
            </w:rPr>
            <w:instrText xml:space="preserve"> PAGEREF _Toc132902828 \h </w:instrText>
          </w:r>
          <w:r>
            <w:rPr>
              <w:sz w:val="28"/>
              <w:szCs w:val="28"/>
            </w:rPr>
            <w:fldChar w:fldCharType="separate"/>
          </w:r>
          <w:r>
            <w:rPr>
              <w:sz w:val="28"/>
              <w:szCs w:val="28"/>
            </w:rPr>
            <w:t>5</w:t>
          </w:r>
          <w:r>
            <w:rPr>
              <w:sz w:val="28"/>
              <w:szCs w:val="28"/>
            </w:rPr>
            <w:fldChar w:fldCharType="end"/>
          </w:r>
          <w:r>
            <w:rPr>
              <w:sz w:val="28"/>
              <w:szCs w:val="28"/>
            </w:rPr>
            <w:fldChar w:fldCharType="end"/>
          </w:r>
        </w:p>
        <w:p w14:paraId="5C6C17AD">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"_Toc132902829" </w:instrText>
          </w:r>
          <w:r>
            <w:rPr>
              <w:sz w:val="28"/>
              <w:szCs w:val="28"/>
            </w:rPr>
            <w:fldChar w:fldCharType="separate"/>
          </w:r>
          <w:r>
            <w:rPr>
              <w:rStyle w:val="33"/>
              <w:sz w:val="28"/>
              <w:szCs w:val="28"/>
            </w:rPr>
            <w:t>2.1 基站现状</w:t>
          </w:r>
          <w:r>
            <w:rPr>
              <w:sz w:val="28"/>
              <w:szCs w:val="28"/>
            </w:rPr>
            <w:tab/>
          </w:r>
          <w:r>
            <w:rPr>
              <w:sz w:val="28"/>
              <w:szCs w:val="28"/>
            </w:rPr>
            <w:fldChar w:fldCharType="begin"/>
          </w:r>
          <w:r>
            <w:rPr>
              <w:sz w:val="28"/>
              <w:szCs w:val="28"/>
            </w:rPr>
            <w:instrText xml:space="preserve"> PAGEREF _Toc132902829 \h </w:instrText>
          </w:r>
          <w:r>
            <w:rPr>
              <w:sz w:val="28"/>
              <w:szCs w:val="28"/>
            </w:rPr>
            <w:fldChar w:fldCharType="separate"/>
          </w:r>
          <w:r>
            <w:rPr>
              <w:sz w:val="28"/>
              <w:szCs w:val="28"/>
            </w:rPr>
            <w:t>5</w:t>
          </w:r>
          <w:r>
            <w:rPr>
              <w:sz w:val="28"/>
              <w:szCs w:val="28"/>
            </w:rPr>
            <w:fldChar w:fldCharType="end"/>
          </w:r>
          <w:r>
            <w:rPr>
              <w:sz w:val="28"/>
              <w:szCs w:val="28"/>
            </w:rPr>
            <w:fldChar w:fldCharType="end"/>
          </w:r>
        </w:p>
        <w:p w14:paraId="39D53B76">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"_Toc132902830" </w:instrText>
          </w:r>
          <w:r>
            <w:rPr>
              <w:sz w:val="28"/>
              <w:szCs w:val="28"/>
            </w:rPr>
            <w:fldChar w:fldCharType="separate"/>
          </w:r>
          <w:r>
            <w:rPr>
              <w:rStyle w:val="33"/>
              <w:sz w:val="28"/>
              <w:szCs w:val="28"/>
            </w:rPr>
            <w:t>2.2 本期站址需求</w:t>
          </w:r>
          <w:r>
            <w:rPr>
              <w:sz w:val="28"/>
              <w:szCs w:val="28"/>
            </w:rPr>
            <w:tab/>
          </w:r>
          <w:r>
            <w:rPr>
              <w:sz w:val="28"/>
              <w:szCs w:val="28"/>
            </w:rPr>
            <w:fldChar w:fldCharType="begin"/>
          </w:r>
          <w:r>
            <w:rPr>
              <w:sz w:val="28"/>
              <w:szCs w:val="28"/>
            </w:rPr>
            <w:instrText xml:space="preserve"> PAGEREF _Toc132902830 \h </w:instrText>
          </w:r>
          <w:r>
            <w:rPr>
              <w:sz w:val="28"/>
              <w:szCs w:val="28"/>
            </w:rPr>
            <w:fldChar w:fldCharType="separate"/>
          </w:r>
          <w:r>
            <w:rPr>
              <w:sz w:val="28"/>
              <w:szCs w:val="28"/>
            </w:rPr>
            <w:t>5</w:t>
          </w:r>
          <w:r>
            <w:rPr>
              <w:sz w:val="28"/>
              <w:szCs w:val="28"/>
            </w:rPr>
            <w:fldChar w:fldCharType="end"/>
          </w:r>
          <w:r>
            <w:rPr>
              <w:sz w:val="28"/>
              <w:szCs w:val="28"/>
            </w:rPr>
            <w:fldChar w:fldCharType="end"/>
          </w:r>
        </w:p>
        <w:p w14:paraId="4457021F">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"_Toc132902831" </w:instrText>
          </w:r>
          <w:r>
            <w:rPr>
              <w:sz w:val="28"/>
              <w:szCs w:val="28"/>
            </w:rPr>
            <w:fldChar w:fldCharType="separate"/>
          </w:r>
          <w:r>
            <w:rPr>
              <w:rStyle w:val="33"/>
              <w:sz w:val="28"/>
              <w:szCs w:val="28"/>
            </w:rPr>
            <w:t>2.3 建设方案</w:t>
          </w:r>
          <w:r>
            <w:rPr>
              <w:sz w:val="28"/>
              <w:szCs w:val="28"/>
            </w:rPr>
            <w:tab/>
          </w:r>
          <w:r>
            <w:rPr>
              <w:sz w:val="28"/>
              <w:szCs w:val="28"/>
            </w:rPr>
            <w:fldChar w:fldCharType="begin"/>
          </w:r>
          <w:r>
            <w:rPr>
              <w:sz w:val="28"/>
              <w:szCs w:val="28"/>
            </w:rPr>
            <w:instrText xml:space="preserve"> PAGEREF _Toc132902831 \h </w:instrText>
          </w:r>
          <w:r>
            <w:rPr>
              <w:sz w:val="28"/>
              <w:szCs w:val="28"/>
            </w:rPr>
            <w:fldChar w:fldCharType="separate"/>
          </w:r>
          <w:r>
            <w:rPr>
              <w:sz w:val="28"/>
              <w:szCs w:val="28"/>
            </w:rPr>
            <w:t>6</w:t>
          </w:r>
          <w:r>
            <w:rPr>
              <w:sz w:val="28"/>
              <w:szCs w:val="28"/>
            </w:rPr>
            <w:fldChar w:fldCharType="end"/>
          </w:r>
          <w:r>
            <w:rPr>
              <w:sz w:val="28"/>
              <w:szCs w:val="28"/>
            </w:rPr>
            <w:fldChar w:fldCharType="end"/>
          </w:r>
        </w:p>
        <w:p w14:paraId="58F93A7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"_Toc132902832" </w:instrText>
          </w:r>
          <w:r>
            <w:rPr>
              <w:sz w:val="28"/>
              <w:szCs w:val="28"/>
            </w:rPr>
            <w:fldChar w:fldCharType="separate"/>
          </w:r>
          <w:r>
            <w:rPr>
              <w:rStyle w:val="33"/>
              <w:sz w:val="28"/>
              <w:szCs w:val="28"/>
            </w:rPr>
            <w:t>2.4 进度安排</w:t>
          </w:r>
          <w:r>
            <w:rPr>
              <w:sz w:val="28"/>
              <w:szCs w:val="28"/>
            </w:rPr>
            <w:tab/>
          </w:r>
          <w:r>
            <w:rPr>
              <w:sz w:val="28"/>
              <w:szCs w:val="28"/>
            </w:rPr>
            <w:fldChar w:fldCharType="begin"/>
          </w:r>
          <w:r>
            <w:rPr>
              <w:sz w:val="28"/>
              <w:szCs w:val="28"/>
            </w:rPr>
            <w:instrText xml:space="preserve"> PAGEREF _Toc132902832 \h </w:instrText>
          </w:r>
          <w:r>
            <w:rPr>
              <w:sz w:val="28"/>
              <w:szCs w:val="28"/>
            </w:rPr>
            <w:fldChar w:fldCharType="separate"/>
          </w:r>
          <w:r>
            <w:rPr>
              <w:sz w:val="28"/>
              <w:szCs w:val="28"/>
            </w:rPr>
            <w:t>6</w:t>
          </w:r>
          <w:r>
            <w:rPr>
              <w:sz w:val="28"/>
              <w:szCs w:val="28"/>
            </w:rPr>
            <w:fldChar w:fldCharType="end"/>
          </w:r>
          <w:r>
            <w:rPr>
              <w:sz w:val="28"/>
              <w:szCs w:val="28"/>
            </w:rPr>
            <w:fldChar w:fldCharType="end"/>
          </w:r>
        </w:p>
        <w:p w14:paraId="6C4429C9">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"_Toc132902833" </w:instrText>
          </w:r>
          <w:r>
            <w:rPr>
              <w:sz w:val="28"/>
              <w:szCs w:val="28"/>
            </w:rPr>
            <w:fldChar w:fldCharType="separate"/>
          </w:r>
          <w:r>
            <w:rPr>
              <w:rStyle w:val="33"/>
              <w:sz w:val="28"/>
              <w:szCs w:val="28"/>
            </w:rPr>
            <w:t>3</w:t>
          </w:r>
          <w:r>
            <w:rPr>
              <w:sz w:val="28"/>
              <w:szCs w:val="28"/>
            </w:rPr>
            <w:tab/>
          </w:r>
          <w:r>
            <w:rPr>
              <w:rStyle w:val="33"/>
              <w:sz w:val="28"/>
              <w:szCs w:val="28"/>
            </w:rPr>
            <w:t>主要设备技术要求</w:t>
          </w:r>
          <w:r>
            <w:rPr>
              <w:sz w:val="28"/>
              <w:szCs w:val="28"/>
            </w:rPr>
            <w:tab/>
          </w:r>
          <w:r>
            <w:rPr>
              <w:sz w:val="28"/>
              <w:szCs w:val="28"/>
            </w:rPr>
            <w:fldChar w:fldCharType="begin"/>
          </w:r>
          <w:r>
            <w:rPr>
              <w:sz w:val="28"/>
              <w:szCs w:val="28"/>
            </w:rPr>
            <w:instrText xml:space="preserve"> PAGEREF _Toc132902833 \h </w:instrText>
          </w:r>
          <w:r>
            <w:rPr>
              <w:sz w:val="28"/>
              <w:szCs w:val="28"/>
            </w:rPr>
            <w:fldChar w:fldCharType="separate"/>
          </w:r>
          <w:r>
            <w:rPr>
              <w:sz w:val="28"/>
              <w:szCs w:val="28"/>
            </w:rPr>
            <w:t>7</w:t>
          </w:r>
          <w:r>
            <w:rPr>
              <w:sz w:val="28"/>
              <w:szCs w:val="28"/>
            </w:rPr>
            <w:fldChar w:fldCharType="end"/>
          </w:r>
          <w:r>
            <w:rPr>
              <w:sz w:val="28"/>
              <w:szCs w:val="28"/>
            </w:rPr>
            <w:fldChar w:fldCharType="end"/>
          </w:r>
        </w:p>
        <w:p w14:paraId="0E04065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"_Toc132902834" </w:instrText>
          </w:r>
          <w:r>
            <w:rPr>
              <w:sz w:val="28"/>
              <w:szCs w:val="28"/>
            </w:rPr>
            <w:fldChar w:fldCharType="separate"/>
          </w:r>
          <w:r>
            <w:rPr>
              <w:rStyle w:val="33"/>
              <w:sz w:val="28"/>
              <w:szCs w:val="28"/>
            </w:rPr>
            <w:t>3.1 交流配电箱</w:t>
          </w:r>
          <w:r>
            <w:rPr>
              <w:sz w:val="28"/>
              <w:szCs w:val="28"/>
            </w:rPr>
            <w:tab/>
          </w:r>
          <w:r>
            <w:rPr>
              <w:sz w:val="28"/>
              <w:szCs w:val="28"/>
            </w:rPr>
            <w:fldChar w:fldCharType="begin"/>
          </w:r>
          <w:r>
            <w:rPr>
              <w:sz w:val="28"/>
              <w:szCs w:val="28"/>
            </w:rPr>
            <w:instrText xml:space="preserve"> PAGEREF _Toc132902834 \h </w:instrText>
          </w:r>
          <w:r>
            <w:rPr>
              <w:sz w:val="28"/>
              <w:szCs w:val="28"/>
            </w:rPr>
            <w:fldChar w:fldCharType="separate"/>
          </w:r>
          <w:r>
            <w:rPr>
              <w:sz w:val="28"/>
              <w:szCs w:val="28"/>
            </w:rPr>
            <w:t>7</w:t>
          </w:r>
          <w:r>
            <w:rPr>
              <w:sz w:val="28"/>
              <w:szCs w:val="28"/>
            </w:rPr>
            <w:fldChar w:fldCharType="end"/>
          </w:r>
          <w:r>
            <w:rPr>
              <w:sz w:val="28"/>
              <w:szCs w:val="28"/>
            </w:rPr>
            <w:fldChar w:fldCharType="end"/>
          </w:r>
        </w:p>
        <w:p w14:paraId="4B734CD5">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"_Toc132902835" </w:instrText>
          </w:r>
          <w:r>
            <w:rPr>
              <w:sz w:val="28"/>
              <w:szCs w:val="28"/>
            </w:rPr>
            <w:fldChar w:fldCharType="separate"/>
          </w:r>
          <w:r>
            <w:rPr>
              <w:rStyle w:val="33"/>
              <w:sz w:val="28"/>
              <w:szCs w:val="28"/>
            </w:rPr>
            <w:t>3.2 开关电源</w:t>
          </w:r>
          <w:r>
            <w:rPr>
              <w:sz w:val="28"/>
              <w:szCs w:val="28"/>
            </w:rPr>
            <w:tab/>
          </w:r>
          <w:r>
            <w:rPr>
              <w:sz w:val="28"/>
              <w:szCs w:val="28"/>
            </w:rPr>
            <w:fldChar w:fldCharType="begin"/>
          </w:r>
          <w:r>
            <w:rPr>
              <w:sz w:val="28"/>
              <w:szCs w:val="28"/>
            </w:rPr>
            <w:instrText xml:space="preserve"> PAGEREF _Toc132902835 \h </w:instrText>
          </w:r>
          <w:r>
            <w:rPr>
              <w:sz w:val="28"/>
              <w:szCs w:val="28"/>
            </w:rPr>
            <w:fldChar w:fldCharType="separate"/>
          </w:r>
          <w:r>
            <w:rPr>
              <w:sz w:val="28"/>
              <w:szCs w:val="28"/>
            </w:rPr>
            <w:t>8</w:t>
          </w:r>
          <w:r>
            <w:rPr>
              <w:sz w:val="28"/>
              <w:szCs w:val="28"/>
            </w:rPr>
            <w:fldChar w:fldCharType="end"/>
          </w:r>
          <w:r>
            <w:rPr>
              <w:sz w:val="28"/>
              <w:szCs w:val="28"/>
            </w:rPr>
            <w:fldChar w:fldCharType="end"/>
          </w:r>
        </w:p>
        <w:p w14:paraId="21576770">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"_Toc132902836" </w:instrText>
          </w:r>
          <w:r>
            <w:rPr>
              <w:sz w:val="28"/>
              <w:szCs w:val="28"/>
            </w:rPr>
            <w:fldChar w:fldCharType="separate"/>
          </w:r>
          <w:r>
            <w:rPr>
              <w:rStyle w:val="33"/>
              <w:sz w:val="28"/>
              <w:szCs w:val="28"/>
            </w:rPr>
            <w:t>3.3 配套综合柜</w:t>
          </w:r>
          <w:r>
            <w:rPr>
              <w:sz w:val="28"/>
              <w:szCs w:val="28"/>
            </w:rPr>
            <w:tab/>
          </w:r>
          <w:r>
            <w:rPr>
              <w:sz w:val="28"/>
              <w:szCs w:val="28"/>
            </w:rPr>
            <w:fldChar w:fldCharType="begin"/>
          </w:r>
          <w:r>
            <w:rPr>
              <w:sz w:val="28"/>
              <w:szCs w:val="28"/>
            </w:rPr>
            <w:instrText xml:space="preserve"> PAGEREF _Toc132902836 \h </w:instrText>
          </w:r>
          <w:r>
            <w:rPr>
              <w:sz w:val="28"/>
              <w:szCs w:val="28"/>
            </w:rPr>
            <w:fldChar w:fldCharType="separate"/>
          </w:r>
          <w:r>
            <w:rPr>
              <w:sz w:val="28"/>
              <w:szCs w:val="28"/>
            </w:rPr>
            <w:t>10</w:t>
          </w:r>
          <w:r>
            <w:rPr>
              <w:sz w:val="28"/>
              <w:szCs w:val="28"/>
            </w:rPr>
            <w:fldChar w:fldCharType="end"/>
          </w:r>
          <w:r>
            <w:rPr>
              <w:sz w:val="28"/>
              <w:szCs w:val="28"/>
            </w:rPr>
            <w:fldChar w:fldCharType="end"/>
          </w:r>
        </w:p>
        <w:p w14:paraId="31280848">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"_Toc132902837" </w:instrText>
          </w:r>
          <w:r>
            <w:rPr>
              <w:sz w:val="28"/>
              <w:szCs w:val="28"/>
            </w:rPr>
            <w:fldChar w:fldCharType="separate"/>
          </w:r>
          <w:r>
            <w:rPr>
              <w:rStyle w:val="33"/>
              <w:sz w:val="28"/>
              <w:szCs w:val="28"/>
            </w:rPr>
            <w:t>3.4 机房</w:t>
          </w:r>
          <w:r>
            <w:rPr>
              <w:sz w:val="28"/>
              <w:szCs w:val="28"/>
            </w:rPr>
            <w:tab/>
          </w:r>
          <w:r>
            <w:rPr>
              <w:sz w:val="28"/>
              <w:szCs w:val="28"/>
            </w:rPr>
            <w:fldChar w:fldCharType="begin"/>
          </w:r>
          <w:r>
            <w:rPr>
              <w:sz w:val="28"/>
              <w:szCs w:val="28"/>
            </w:rPr>
            <w:instrText xml:space="preserve"> PAGEREF _Toc132902837 \h </w:instrText>
          </w:r>
          <w:r>
            <w:rPr>
              <w:sz w:val="28"/>
              <w:szCs w:val="28"/>
            </w:rPr>
            <w:fldChar w:fldCharType="separate"/>
          </w:r>
          <w:r>
            <w:rPr>
              <w:sz w:val="28"/>
              <w:szCs w:val="28"/>
            </w:rPr>
            <w:t>11</w:t>
          </w:r>
          <w:r>
            <w:rPr>
              <w:sz w:val="28"/>
              <w:szCs w:val="28"/>
            </w:rPr>
            <w:fldChar w:fldCharType="end"/>
          </w:r>
          <w:r>
            <w:rPr>
              <w:sz w:val="28"/>
              <w:szCs w:val="28"/>
            </w:rPr>
            <w:fldChar w:fldCharType="end"/>
          </w:r>
        </w:p>
        <w:p w14:paraId="67D28EC4">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"_Toc132902838" </w:instrText>
          </w:r>
          <w:r>
            <w:rPr>
              <w:sz w:val="28"/>
              <w:szCs w:val="28"/>
            </w:rPr>
            <w:fldChar w:fldCharType="separate"/>
          </w:r>
          <w:r>
            <w:rPr>
              <w:rStyle w:val="33"/>
              <w:sz w:val="28"/>
              <w:szCs w:val="28"/>
            </w:rPr>
            <w:t>4</w:t>
          </w:r>
          <w:r>
            <w:rPr>
              <w:sz w:val="28"/>
              <w:szCs w:val="28"/>
            </w:rPr>
            <w:tab/>
          </w:r>
          <w:r>
            <w:rPr>
              <w:rStyle w:val="33"/>
              <w:sz w:val="28"/>
              <w:szCs w:val="28"/>
            </w:rPr>
            <w:t>防雷与接地系统</w:t>
          </w:r>
          <w:r>
            <w:rPr>
              <w:sz w:val="28"/>
              <w:szCs w:val="28"/>
            </w:rPr>
            <w:tab/>
          </w:r>
          <w:r>
            <w:rPr>
              <w:sz w:val="28"/>
              <w:szCs w:val="28"/>
            </w:rPr>
            <w:fldChar w:fldCharType="begin"/>
          </w:r>
          <w:r>
            <w:rPr>
              <w:sz w:val="28"/>
              <w:szCs w:val="28"/>
            </w:rPr>
            <w:instrText xml:space="preserve"> PAGEREF _Toc132902838 \h </w:instrText>
          </w:r>
          <w:r>
            <w:rPr>
              <w:sz w:val="28"/>
              <w:szCs w:val="28"/>
            </w:rPr>
            <w:fldChar w:fldCharType="separate"/>
          </w:r>
          <w:r>
            <w:rPr>
              <w:sz w:val="28"/>
              <w:szCs w:val="28"/>
            </w:rPr>
            <w:t>11</w:t>
          </w:r>
          <w:r>
            <w:rPr>
              <w:sz w:val="28"/>
              <w:szCs w:val="28"/>
            </w:rPr>
            <w:fldChar w:fldCharType="end"/>
          </w:r>
          <w:r>
            <w:rPr>
              <w:sz w:val="28"/>
              <w:szCs w:val="28"/>
            </w:rPr>
            <w:fldChar w:fldCharType="end"/>
          </w:r>
        </w:p>
        <w:p w14:paraId="13BBE287">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"_Toc132902839" </w:instrText>
          </w:r>
          <w:r>
            <w:rPr>
              <w:sz w:val="28"/>
              <w:szCs w:val="28"/>
            </w:rPr>
            <w:fldChar w:fldCharType="separate"/>
          </w:r>
          <w:r>
            <w:rPr>
              <w:rStyle w:val="33"/>
              <w:sz w:val="28"/>
              <w:szCs w:val="28"/>
            </w:rPr>
            <w:t>4.1 概述</w:t>
          </w:r>
          <w:r>
            <w:rPr>
              <w:sz w:val="28"/>
              <w:szCs w:val="28"/>
            </w:rPr>
            <w:tab/>
          </w:r>
          <w:r>
            <w:rPr>
              <w:sz w:val="28"/>
              <w:szCs w:val="28"/>
            </w:rPr>
            <w:fldChar w:fldCharType="begin"/>
          </w:r>
          <w:r>
            <w:rPr>
              <w:sz w:val="28"/>
              <w:szCs w:val="28"/>
            </w:rPr>
            <w:instrText xml:space="preserve"> PAGEREF _Toc132902839 \h </w:instrText>
          </w:r>
          <w:r>
            <w:rPr>
              <w:sz w:val="28"/>
              <w:szCs w:val="28"/>
            </w:rPr>
            <w:fldChar w:fldCharType="separate"/>
          </w:r>
          <w:r>
            <w:rPr>
              <w:sz w:val="28"/>
              <w:szCs w:val="28"/>
            </w:rPr>
            <w:t>12</w:t>
          </w:r>
          <w:r>
            <w:rPr>
              <w:sz w:val="28"/>
              <w:szCs w:val="28"/>
            </w:rPr>
            <w:fldChar w:fldCharType="end"/>
          </w:r>
          <w:r>
            <w:rPr>
              <w:sz w:val="28"/>
              <w:szCs w:val="28"/>
            </w:rPr>
            <w:fldChar w:fldCharType="end"/>
          </w:r>
        </w:p>
        <w:p w14:paraId="29EE090B">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"_Toc132902840" </w:instrText>
          </w:r>
          <w:r>
            <w:rPr>
              <w:sz w:val="28"/>
              <w:szCs w:val="28"/>
            </w:rPr>
            <w:fldChar w:fldCharType="separate"/>
          </w:r>
          <w:r>
            <w:rPr>
              <w:rStyle w:val="33"/>
              <w:sz w:val="28"/>
              <w:szCs w:val="28"/>
            </w:rPr>
            <w:t>4.2 供电系统的防雷和接地</w:t>
          </w:r>
          <w:r>
            <w:rPr>
              <w:sz w:val="28"/>
              <w:szCs w:val="28"/>
            </w:rPr>
            <w:tab/>
          </w:r>
          <w:r>
            <w:rPr>
              <w:sz w:val="28"/>
              <w:szCs w:val="28"/>
            </w:rPr>
            <w:fldChar w:fldCharType="begin"/>
          </w:r>
          <w:r>
            <w:rPr>
              <w:sz w:val="28"/>
              <w:szCs w:val="28"/>
            </w:rPr>
            <w:instrText xml:space="preserve"> PAGEREF _Toc132902840 \h </w:instrText>
          </w:r>
          <w:r>
            <w:rPr>
              <w:sz w:val="28"/>
              <w:szCs w:val="28"/>
            </w:rPr>
            <w:fldChar w:fldCharType="separate"/>
          </w:r>
          <w:r>
            <w:rPr>
              <w:sz w:val="28"/>
              <w:szCs w:val="28"/>
            </w:rPr>
            <w:t>12</w:t>
          </w:r>
          <w:r>
            <w:rPr>
              <w:sz w:val="28"/>
              <w:szCs w:val="28"/>
            </w:rPr>
            <w:fldChar w:fldCharType="end"/>
          </w:r>
          <w:r>
            <w:rPr>
              <w:sz w:val="28"/>
              <w:szCs w:val="28"/>
            </w:rPr>
            <w:fldChar w:fldCharType="end"/>
          </w:r>
        </w:p>
        <w:p w14:paraId="2BDDC716">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"_Toc132902841" </w:instrText>
          </w:r>
          <w:r>
            <w:rPr>
              <w:sz w:val="28"/>
              <w:szCs w:val="28"/>
            </w:rPr>
            <w:fldChar w:fldCharType="separate"/>
          </w:r>
          <w:r>
            <w:rPr>
              <w:rStyle w:val="33"/>
              <w:sz w:val="28"/>
              <w:szCs w:val="28"/>
            </w:rPr>
            <w:t>4.3 天馈线系统的防雷和接地</w:t>
          </w:r>
          <w:r>
            <w:rPr>
              <w:sz w:val="28"/>
              <w:szCs w:val="28"/>
            </w:rPr>
            <w:tab/>
          </w:r>
          <w:r>
            <w:rPr>
              <w:sz w:val="28"/>
              <w:szCs w:val="28"/>
            </w:rPr>
            <w:fldChar w:fldCharType="begin"/>
          </w:r>
          <w:r>
            <w:rPr>
              <w:sz w:val="28"/>
              <w:szCs w:val="28"/>
            </w:rPr>
            <w:instrText xml:space="preserve"> PAGEREF _Toc132902841 \h </w:instrText>
          </w:r>
          <w:r>
            <w:rPr>
              <w:sz w:val="28"/>
              <w:szCs w:val="28"/>
            </w:rPr>
            <w:fldChar w:fldCharType="separate"/>
          </w:r>
          <w:r>
            <w:rPr>
              <w:sz w:val="28"/>
              <w:szCs w:val="28"/>
            </w:rPr>
            <w:t>13</w:t>
          </w:r>
          <w:r>
            <w:rPr>
              <w:sz w:val="28"/>
              <w:szCs w:val="28"/>
            </w:rPr>
            <w:fldChar w:fldCharType="end"/>
          </w:r>
          <w:r>
            <w:rPr>
              <w:sz w:val="28"/>
              <w:szCs w:val="28"/>
            </w:rPr>
            <w:fldChar w:fldCharType="end"/>
          </w:r>
        </w:p>
        <w:p w14:paraId="762B5388">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"_Toc132902842" </w:instrText>
          </w:r>
          <w:r>
            <w:rPr>
              <w:sz w:val="28"/>
              <w:szCs w:val="28"/>
            </w:rPr>
            <w:fldChar w:fldCharType="separate"/>
          </w:r>
          <w:r>
            <w:rPr>
              <w:rStyle w:val="33"/>
              <w:sz w:val="28"/>
              <w:szCs w:val="28"/>
            </w:rPr>
            <w:t>4.4 信号线的防雷和接地</w:t>
          </w:r>
          <w:r>
            <w:rPr>
              <w:sz w:val="28"/>
              <w:szCs w:val="28"/>
            </w:rPr>
            <w:tab/>
          </w:r>
          <w:r>
            <w:rPr>
              <w:sz w:val="28"/>
              <w:szCs w:val="28"/>
            </w:rPr>
            <w:fldChar w:fldCharType="begin"/>
          </w:r>
          <w:r>
            <w:rPr>
              <w:sz w:val="28"/>
              <w:szCs w:val="28"/>
            </w:rPr>
            <w:instrText xml:space="preserve"> PAGEREF _Toc132902842 \h </w:instrText>
          </w:r>
          <w:r>
            <w:rPr>
              <w:sz w:val="28"/>
              <w:szCs w:val="28"/>
            </w:rPr>
            <w:fldChar w:fldCharType="separate"/>
          </w:r>
          <w:r>
            <w:rPr>
              <w:sz w:val="28"/>
              <w:szCs w:val="28"/>
            </w:rPr>
            <w:t>13</w:t>
          </w:r>
          <w:r>
            <w:rPr>
              <w:sz w:val="28"/>
              <w:szCs w:val="28"/>
            </w:rPr>
            <w:fldChar w:fldCharType="end"/>
          </w:r>
          <w:r>
            <w:rPr>
              <w:sz w:val="28"/>
              <w:szCs w:val="28"/>
            </w:rPr>
            <w:fldChar w:fldCharType="end"/>
          </w:r>
        </w:p>
        <w:p w14:paraId="77307F9D">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"_Toc132902843" </w:instrText>
          </w:r>
          <w:r>
            <w:rPr>
              <w:sz w:val="28"/>
              <w:szCs w:val="28"/>
            </w:rPr>
            <w:fldChar w:fldCharType="separate"/>
          </w:r>
          <w:r>
            <w:rPr>
              <w:rStyle w:val="33"/>
              <w:sz w:val="28"/>
              <w:szCs w:val="28"/>
            </w:rPr>
            <w:t>4.5 其他设施的防雷和接地</w:t>
          </w:r>
          <w:r>
            <w:rPr>
              <w:sz w:val="28"/>
              <w:szCs w:val="28"/>
            </w:rPr>
            <w:tab/>
          </w:r>
          <w:r>
            <w:rPr>
              <w:sz w:val="28"/>
              <w:szCs w:val="28"/>
            </w:rPr>
            <w:fldChar w:fldCharType="begin"/>
          </w:r>
          <w:r>
            <w:rPr>
              <w:sz w:val="28"/>
              <w:szCs w:val="28"/>
            </w:rPr>
            <w:instrText xml:space="preserve"> PAGEREF _Toc132902843 \h </w:instrText>
          </w:r>
          <w:r>
            <w:rPr>
              <w:sz w:val="28"/>
              <w:szCs w:val="28"/>
            </w:rPr>
            <w:fldChar w:fldCharType="separate"/>
          </w:r>
          <w:r>
            <w:rPr>
              <w:sz w:val="28"/>
              <w:szCs w:val="28"/>
            </w:rPr>
            <w:t>14</w:t>
          </w:r>
          <w:r>
            <w:rPr>
              <w:sz w:val="28"/>
              <w:szCs w:val="28"/>
            </w:rPr>
            <w:fldChar w:fldCharType="end"/>
          </w:r>
          <w:r>
            <w:rPr>
              <w:sz w:val="28"/>
              <w:szCs w:val="28"/>
            </w:rPr>
            <w:fldChar w:fldCharType="end"/>
          </w:r>
        </w:p>
        <w:p w14:paraId="1A9CA9F1">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"_Toc132902844" </w:instrText>
          </w:r>
          <w:r>
            <w:rPr>
              <w:sz w:val="28"/>
              <w:szCs w:val="28"/>
            </w:rPr>
            <w:fldChar w:fldCharType="separate"/>
          </w:r>
          <w:r>
            <w:rPr>
              <w:rStyle w:val="33"/>
              <w:sz w:val="28"/>
              <w:szCs w:val="28"/>
            </w:rPr>
            <w:t>4.6 接地网</w:t>
          </w:r>
          <w:r>
            <w:rPr>
              <w:sz w:val="28"/>
              <w:szCs w:val="28"/>
            </w:rPr>
            <w:tab/>
          </w:r>
          <w:r>
            <w:rPr>
              <w:sz w:val="28"/>
              <w:szCs w:val="28"/>
            </w:rPr>
            <w:fldChar w:fldCharType="begin"/>
          </w:r>
          <w:r>
            <w:rPr>
              <w:sz w:val="28"/>
              <w:szCs w:val="28"/>
            </w:rPr>
            <w:instrText xml:space="preserve"> PAGEREF _Toc132902844 \h </w:instrText>
          </w:r>
          <w:r>
            <w:rPr>
              <w:sz w:val="28"/>
              <w:szCs w:val="28"/>
            </w:rPr>
            <w:fldChar w:fldCharType="separate"/>
          </w:r>
          <w:r>
            <w:rPr>
              <w:sz w:val="28"/>
              <w:szCs w:val="28"/>
            </w:rPr>
            <w:t>15</w:t>
          </w:r>
          <w:r>
            <w:rPr>
              <w:sz w:val="28"/>
              <w:szCs w:val="28"/>
            </w:rPr>
            <w:fldChar w:fldCharType="end"/>
          </w:r>
          <w:r>
            <w:rPr>
              <w:sz w:val="28"/>
              <w:szCs w:val="28"/>
            </w:rPr>
            <w:fldChar w:fldCharType="end"/>
          </w:r>
        </w:p>
        <w:p w14:paraId="0730386E">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"_Toc132902845" </w:instrText>
          </w:r>
          <w:r>
            <w:rPr>
              <w:sz w:val="28"/>
              <w:szCs w:val="28"/>
            </w:rPr>
            <w:fldChar w:fldCharType="separate"/>
          </w:r>
          <w:r>
            <w:rPr>
              <w:rStyle w:val="33"/>
              <w:sz w:val="28"/>
              <w:szCs w:val="28"/>
            </w:rPr>
            <w:t>4.7 基站内接地排布置要求</w:t>
          </w:r>
          <w:r>
            <w:rPr>
              <w:sz w:val="28"/>
              <w:szCs w:val="28"/>
            </w:rPr>
            <w:tab/>
          </w:r>
          <w:r>
            <w:rPr>
              <w:sz w:val="28"/>
              <w:szCs w:val="28"/>
            </w:rPr>
            <w:fldChar w:fldCharType="begin"/>
          </w:r>
          <w:r>
            <w:rPr>
              <w:sz w:val="28"/>
              <w:szCs w:val="28"/>
            </w:rPr>
            <w:instrText xml:space="preserve"> PAGEREF _Toc132902845 \h </w:instrText>
          </w:r>
          <w:r>
            <w:rPr>
              <w:sz w:val="28"/>
              <w:szCs w:val="28"/>
            </w:rPr>
            <w:fldChar w:fldCharType="separate"/>
          </w:r>
          <w:r>
            <w:rPr>
              <w:sz w:val="28"/>
              <w:szCs w:val="28"/>
            </w:rPr>
            <w:t>15</w:t>
          </w:r>
          <w:r>
            <w:rPr>
              <w:sz w:val="28"/>
              <w:szCs w:val="28"/>
            </w:rPr>
            <w:fldChar w:fldCharType="end"/>
          </w:r>
          <w:r>
            <w:rPr>
              <w:sz w:val="28"/>
              <w:szCs w:val="28"/>
            </w:rPr>
            <w:fldChar w:fldCharType="end"/>
          </w:r>
        </w:p>
        <w:p w14:paraId="5FF1781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"_Toc132902846" </w:instrText>
          </w:r>
          <w:r>
            <w:rPr>
              <w:sz w:val="28"/>
              <w:szCs w:val="28"/>
            </w:rPr>
            <w:fldChar w:fldCharType="separate"/>
          </w:r>
          <w:r>
            <w:rPr>
              <w:rStyle w:val="33"/>
              <w:sz w:val="28"/>
              <w:szCs w:val="28"/>
            </w:rPr>
            <w:t>4.8 其它需要说明的问题</w:t>
          </w:r>
          <w:r>
            <w:rPr>
              <w:sz w:val="28"/>
              <w:szCs w:val="28"/>
            </w:rPr>
            <w:tab/>
          </w:r>
          <w:r>
            <w:rPr>
              <w:sz w:val="28"/>
              <w:szCs w:val="28"/>
            </w:rPr>
            <w:fldChar w:fldCharType="begin"/>
          </w:r>
          <w:r>
            <w:rPr>
              <w:sz w:val="28"/>
              <w:szCs w:val="28"/>
            </w:rPr>
            <w:instrText xml:space="preserve"> PAGEREF _Toc132902846 \h </w:instrText>
          </w:r>
          <w:r>
            <w:rPr>
              <w:sz w:val="28"/>
              <w:szCs w:val="28"/>
            </w:rPr>
            <w:fldChar w:fldCharType="separate"/>
          </w:r>
          <w:r>
            <w:rPr>
              <w:sz w:val="28"/>
              <w:szCs w:val="28"/>
            </w:rPr>
            <w:t>16</w:t>
          </w:r>
          <w:r>
            <w:rPr>
              <w:sz w:val="28"/>
              <w:szCs w:val="28"/>
            </w:rPr>
            <w:fldChar w:fldCharType="end"/>
          </w:r>
          <w:r>
            <w:rPr>
              <w:sz w:val="28"/>
              <w:szCs w:val="28"/>
            </w:rPr>
            <w:fldChar w:fldCharType="end"/>
          </w:r>
        </w:p>
        <w:p w14:paraId="4D985FDF">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"_Toc132902847" </w:instrText>
          </w:r>
          <w:r>
            <w:rPr>
              <w:sz w:val="28"/>
              <w:szCs w:val="28"/>
            </w:rPr>
            <w:fldChar w:fldCharType="separate"/>
          </w:r>
          <w:r>
            <w:rPr>
              <w:rStyle w:val="33"/>
              <w:sz w:val="28"/>
              <w:szCs w:val="28"/>
            </w:rPr>
            <w:t>5</w:t>
          </w:r>
          <w:r>
            <w:rPr>
              <w:sz w:val="28"/>
              <w:szCs w:val="28"/>
            </w:rPr>
            <w:tab/>
          </w:r>
          <w:r>
            <w:rPr>
              <w:rStyle w:val="33"/>
              <w:sz w:val="28"/>
              <w:szCs w:val="28"/>
            </w:rPr>
            <w:t>运行维护、劳动定员与培训、仪表配置</w:t>
          </w:r>
          <w:r>
            <w:rPr>
              <w:sz w:val="28"/>
              <w:szCs w:val="28"/>
            </w:rPr>
            <w:tab/>
          </w:r>
          <w:r>
            <w:rPr>
              <w:sz w:val="28"/>
              <w:szCs w:val="28"/>
            </w:rPr>
            <w:fldChar w:fldCharType="begin"/>
          </w:r>
          <w:r>
            <w:rPr>
              <w:sz w:val="28"/>
              <w:szCs w:val="28"/>
            </w:rPr>
            <w:instrText xml:space="preserve"> PAGEREF _Toc132902847 \h </w:instrText>
          </w:r>
          <w:r>
            <w:rPr>
              <w:sz w:val="28"/>
              <w:szCs w:val="28"/>
            </w:rPr>
            <w:fldChar w:fldCharType="separate"/>
          </w:r>
          <w:r>
            <w:rPr>
              <w:sz w:val="28"/>
              <w:szCs w:val="28"/>
            </w:rPr>
            <w:t>17</w:t>
          </w:r>
          <w:r>
            <w:rPr>
              <w:sz w:val="28"/>
              <w:szCs w:val="28"/>
            </w:rPr>
            <w:fldChar w:fldCharType="end"/>
          </w:r>
          <w:r>
            <w:rPr>
              <w:sz w:val="28"/>
              <w:szCs w:val="28"/>
            </w:rPr>
            <w:fldChar w:fldCharType="end"/>
          </w:r>
        </w:p>
        <w:p w14:paraId="69A2C839">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"_Toc132902848" </w:instrText>
          </w:r>
          <w:r>
            <w:rPr>
              <w:sz w:val="28"/>
              <w:szCs w:val="28"/>
            </w:rPr>
            <w:fldChar w:fldCharType="separate"/>
          </w:r>
          <w:r>
            <w:rPr>
              <w:rStyle w:val="33"/>
              <w:sz w:val="28"/>
              <w:szCs w:val="28"/>
            </w:rPr>
            <w:t>5.1 运行维护</w:t>
          </w:r>
          <w:r>
            <w:rPr>
              <w:sz w:val="28"/>
              <w:szCs w:val="28"/>
            </w:rPr>
            <w:tab/>
          </w:r>
          <w:r>
            <w:rPr>
              <w:sz w:val="28"/>
              <w:szCs w:val="28"/>
            </w:rPr>
            <w:fldChar w:fldCharType="begin"/>
          </w:r>
          <w:r>
            <w:rPr>
              <w:sz w:val="28"/>
              <w:szCs w:val="28"/>
            </w:rPr>
            <w:instrText xml:space="preserve"> PAGEREF _Toc132902848 \h </w:instrText>
          </w:r>
          <w:r>
            <w:rPr>
              <w:sz w:val="28"/>
              <w:szCs w:val="28"/>
            </w:rPr>
            <w:fldChar w:fldCharType="separate"/>
          </w:r>
          <w:r>
            <w:rPr>
              <w:sz w:val="28"/>
              <w:szCs w:val="28"/>
            </w:rPr>
            <w:t>17</w:t>
          </w:r>
          <w:r>
            <w:rPr>
              <w:sz w:val="28"/>
              <w:szCs w:val="28"/>
            </w:rPr>
            <w:fldChar w:fldCharType="end"/>
          </w:r>
          <w:r>
            <w:rPr>
              <w:sz w:val="28"/>
              <w:szCs w:val="28"/>
            </w:rPr>
            <w:fldChar w:fldCharType="end"/>
          </w:r>
        </w:p>
        <w:p w14:paraId="24E82739">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"_Toc132902849" </w:instrText>
          </w:r>
          <w:r>
            <w:rPr>
              <w:sz w:val="28"/>
              <w:szCs w:val="28"/>
            </w:rPr>
            <w:fldChar w:fldCharType="separate"/>
          </w:r>
          <w:r>
            <w:rPr>
              <w:rStyle w:val="33"/>
              <w:sz w:val="28"/>
              <w:szCs w:val="28"/>
            </w:rPr>
            <w:t>5.2 劳动定员与培训</w:t>
          </w:r>
          <w:r>
            <w:rPr>
              <w:sz w:val="28"/>
              <w:szCs w:val="28"/>
            </w:rPr>
            <w:tab/>
          </w:r>
          <w:r>
            <w:rPr>
              <w:sz w:val="28"/>
              <w:szCs w:val="28"/>
            </w:rPr>
            <w:fldChar w:fldCharType="begin"/>
          </w:r>
          <w:r>
            <w:rPr>
              <w:sz w:val="28"/>
              <w:szCs w:val="28"/>
            </w:rPr>
            <w:instrText xml:space="preserve"> PAGEREF _Toc132902849 \h </w:instrText>
          </w:r>
          <w:r>
            <w:rPr>
              <w:sz w:val="28"/>
              <w:szCs w:val="28"/>
            </w:rPr>
            <w:fldChar w:fldCharType="separate"/>
          </w:r>
          <w:r>
            <w:rPr>
              <w:sz w:val="28"/>
              <w:szCs w:val="28"/>
            </w:rPr>
            <w:t>17</w:t>
          </w:r>
          <w:r>
            <w:rPr>
              <w:sz w:val="28"/>
              <w:szCs w:val="28"/>
            </w:rPr>
            <w:fldChar w:fldCharType="end"/>
          </w:r>
          <w:r>
            <w:rPr>
              <w:sz w:val="28"/>
              <w:szCs w:val="28"/>
            </w:rPr>
            <w:fldChar w:fldCharType="end"/>
          </w:r>
        </w:p>
        <w:p w14:paraId="79357A7D">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"_Toc132902850" </w:instrText>
          </w:r>
          <w:r>
            <w:rPr>
              <w:sz w:val="28"/>
              <w:szCs w:val="28"/>
            </w:rPr>
            <w:fldChar w:fldCharType="separate"/>
          </w:r>
          <w:r>
            <w:rPr>
              <w:rStyle w:val="33"/>
              <w:sz w:val="28"/>
              <w:szCs w:val="28"/>
            </w:rPr>
            <w:t>5.3 仪表配置</w:t>
          </w:r>
          <w:r>
            <w:rPr>
              <w:sz w:val="28"/>
              <w:szCs w:val="28"/>
            </w:rPr>
            <w:tab/>
          </w:r>
          <w:r>
            <w:rPr>
              <w:sz w:val="28"/>
              <w:szCs w:val="28"/>
            </w:rPr>
            <w:fldChar w:fldCharType="begin"/>
          </w:r>
          <w:r>
            <w:rPr>
              <w:sz w:val="28"/>
              <w:szCs w:val="28"/>
            </w:rPr>
            <w:instrText xml:space="preserve"> PAGEREF _Toc132902850 \h </w:instrText>
          </w:r>
          <w:r>
            <w:rPr>
              <w:sz w:val="28"/>
              <w:szCs w:val="28"/>
            </w:rPr>
            <w:fldChar w:fldCharType="separate"/>
          </w:r>
          <w:r>
            <w:rPr>
              <w:sz w:val="28"/>
              <w:szCs w:val="28"/>
            </w:rPr>
            <w:t>17</w:t>
          </w:r>
          <w:r>
            <w:rPr>
              <w:sz w:val="28"/>
              <w:szCs w:val="28"/>
            </w:rPr>
            <w:fldChar w:fldCharType="end"/>
          </w:r>
          <w:r>
            <w:rPr>
              <w:sz w:val="28"/>
              <w:szCs w:val="28"/>
            </w:rPr>
            <w:fldChar w:fldCharType="end"/>
          </w:r>
        </w:p>
        <w:p w14:paraId="13A903E0">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"_Toc132902851" </w:instrText>
          </w:r>
          <w:r>
            <w:rPr>
              <w:sz w:val="28"/>
              <w:szCs w:val="28"/>
            </w:rPr>
            <w:fldChar w:fldCharType="separate"/>
          </w:r>
          <w:r>
            <w:rPr>
              <w:rStyle w:val="33"/>
              <w:sz w:val="28"/>
              <w:szCs w:val="28"/>
            </w:rPr>
            <w:t>6</w:t>
          </w:r>
          <w:r>
            <w:rPr>
              <w:sz w:val="28"/>
              <w:szCs w:val="28"/>
            </w:rPr>
            <w:tab/>
          </w:r>
          <w:r>
            <w:rPr>
              <w:rStyle w:val="33"/>
              <w:sz w:val="28"/>
              <w:szCs w:val="28"/>
            </w:rPr>
            <w:t>共建共享</w:t>
          </w:r>
          <w:r>
            <w:rPr>
              <w:sz w:val="28"/>
              <w:szCs w:val="28"/>
            </w:rPr>
            <w:tab/>
          </w:r>
          <w:r>
            <w:rPr>
              <w:sz w:val="28"/>
              <w:szCs w:val="28"/>
            </w:rPr>
            <w:fldChar w:fldCharType="begin"/>
          </w:r>
          <w:r>
            <w:rPr>
              <w:sz w:val="28"/>
              <w:szCs w:val="28"/>
            </w:rPr>
            <w:instrText xml:space="preserve"> PAGEREF _Toc132902851 \h </w:instrText>
          </w:r>
          <w:r>
            <w:rPr>
              <w:sz w:val="28"/>
              <w:szCs w:val="28"/>
            </w:rPr>
            <w:fldChar w:fldCharType="separate"/>
          </w:r>
          <w:r>
            <w:rPr>
              <w:sz w:val="28"/>
              <w:szCs w:val="28"/>
            </w:rPr>
            <w:t>17</w:t>
          </w:r>
          <w:r>
            <w:rPr>
              <w:sz w:val="28"/>
              <w:szCs w:val="28"/>
            </w:rPr>
            <w:fldChar w:fldCharType="end"/>
          </w:r>
          <w:r>
            <w:rPr>
              <w:sz w:val="28"/>
              <w:szCs w:val="28"/>
            </w:rPr>
            <w:fldChar w:fldCharType="end"/>
          </w:r>
        </w:p>
        <w:p w14:paraId="56066298">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"_Toc132902852" </w:instrText>
          </w:r>
          <w:r>
            <w:rPr>
              <w:sz w:val="28"/>
              <w:szCs w:val="28"/>
            </w:rPr>
            <w:fldChar w:fldCharType="separate"/>
          </w:r>
          <w:r>
            <w:rPr>
              <w:rStyle w:val="33"/>
              <w:sz w:val="28"/>
              <w:szCs w:val="28"/>
            </w:rPr>
            <w:t>6.1 指导原则</w:t>
          </w:r>
          <w:r>
            <w:rPr>
              <w:sz w:val="28"/>
              <w:szCs w:val="28"/>
            </w:rPr>
            <w:tab/>
          </w:r>
          <w:r>
            <w:rPr>
              <w:sz w:val="28"/>
              <w:szCs w:val="28"/>
            </w:rPr>
            <w:fldChar w:fldCharType="begin"/>
          </w:r>
          <w:r>
            <w:rPr>
              <w:sz w:val="28"/>
              <w:szCs w:val="28"/>
            </w:rPr>
            <w:instrText xml:space="preserve"> PAGEREF _Toc132902852 \h </w:instrText>
          </w:r>
          <w:r>
            <w:rPr>
              <w:sz w:val="28"/>
              <w:szCs w:val="28"/>
            </w:rPr>
            <w:fldChar w:fldCharType="separate"/>
          </w:r>
          <w:r>
            <w:rPr>
              <w:sz w:val="28"/>
              <w:szCs w:val="28"/>
            </w:rPr>
            <w:t>17</w:t>
          </w:r>
          <w:r>
            <w:rPr>
              <w:sz w:val="28"/>
              <w:szCs w:val="28"/>
            </w:rPr>
            <w:fldChar w:fldCharType="end"/>
          </w:r>
          <w:r>
            <w:rPr>
              <w:sz w:val="28"/>
              <w:szCs w:val="28"/>
            </w:rPr>
            <w:fldChar w:fldCharType="end"/>
          </w:r>
        </w:p>
        <w:p w14:paraId="4E01403A">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"_Toc132902853" </w:instrText>
          </w:r>
          <w:r>
            <w:rPr>
              <w:sz w:val="28"/>
              <w:szCs w:val="28"/>
            </w:rPr>
            <w:fldChar w:fldCharType="separate"/>
          </w:r>
          <w:r>
            <w:rPr>
              <w:rStyle w:val="33"/>
              <w:sz w:val="28"/>
              <w:szCs w:val="28"/>
            </w:rPr>
            <w:t>6.2 具体要求</w:t>
          </w:r>
          <w:r>
            <w:rPr>
              <w:sz w:val="28"/>
              <w:szCs w:val="28"/>
            </w:rPr>
            <w:tab/>
          </w:r>
          <w:r>
            <w:rPr>
              <w:sz w:val="28"/>
              <w:szCs w:val="28"/>
            </w:rPr>
            <w:fldChar w:fldCharType="begin"/>
          </w:r>
          <w:r>
            <w:rPr>
              <w:sz w:val="28"/>
              <w:szCs w:val="28"/>
            </w:rPr>
            <w:instrText xml:space="preserve"> PAGEREF _Toc132902853 \h </w:instrText>
          </w:r>
          <w:r>
            <w:rPr>
              <w:sz w:val="28"/>
              <w:szCs w:val="28"/>
            </w:rPr>
            <w:fldChar w:fldCharType="separate"/>
          </w:r>
          <w:r>
            <w:rPr>
              <w:sz w:val="28"/>
              <w:szCs w:val="28"/>
            </w:rPr>
            <w:t>18</w:t>
          </w:r>
          <w:r>
            <w:rPr>
              <w:sz w:val="28"/>
              <w:szCs w:val="28"/>
            </w:rPr>
            <w:fldChar w:fldCharType="end"/>
          </w:r>
          <w:r>
            <w:rPr>
              <w:sz w:val="28"/>
              <w:szCs w:val="28"/>
            </w:rPr>
            <w:fldChar w:fldCharType="end"/>
          </w:r>
        </w:p>
        <w:p w14:paraId="2109D733">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"_Toc132902854" </w:instrText>
          </w:r>
          <w:r>
            <w:rPr>
              <w:sz w:val="28"/>
              <w:szCs w:val="28"/>
            </w:rPr>
            <w:fldChar w:fldCharType="separate"/>
          </w:r>
          <w:r>
            <w:rPr>
              <w:rStyle w:val="33"/>
              <w:sz w:val="28"/>
              <w:szCs w:val="28"/>
            </w:rPr>
            <w:t>7</w:t>
          </w:r>
          <w:r>
            <w:rPr>
              <w:sz w:val="28"/>
              <w:szCs w:val="28"/>
            </w:rPr>
            <w:tab/>
          </w:r>
          <w:r>
            <w:rPr>
              <w:rStyle w:val="33"/>
              <w:sz w:val="28"/>
              <w:szCs w:val="28"/>
            </w:rPr>
            <w:t>环境保护</w:t>
          </w:r>
          <w:r>
            <w:rPr>
              <w:sz w:val="28"/>
              <w:szCs w:val="28"/>
            </w:rPr>
            <w:tab/>
          </w:r>
          <w:r>
            <w:rPr>
              <w:sz w:val="28"/>
              <w:szCs w:val="28"/>
            </w:rPr>
            <w:fldChar w:fldCharType="begin"/>
          </w:r>
          <w:r>
            <w:rPr>
              <w:sz w:val="28"/>
              <w:szCs w:val="28"/>
            </w:rPr>
            <w:instrText xml:space="preserve"> PAGEREF _Toc132902854 \h </w:instrText>
          </w:r>
          <w:r>
            <w:rPr>
              <w:sz w:val="28"/>
              <w:szCs w:val="28"/>
            </w:rPr>
            <w:fldChar w:fldCharType="separate"/>
          </w:r>
          <w:r>
            <w:rPr>
              <w:sz w:val="28"/>
              <w:szCs w:val="28"/>
            </w:rPr>
            <w:t>19</w:t>
          </w:r>
          <w:r>
            <w:rPr>
              <w:sz w:val="28"/>
              <w:szCs w:val="28"/>
            </w:rPr>
            <w:fldChar w:fldCharType="end"/>
          </w:r>
          <w:r>
            <w:rPr>
              <w:sz w:val="28"/>
              <w:szCs w:val="28"/>
            </w:rPr>
            <w:fldChar w:fldCharType="end"/>
          </w:r>
        </w:p>
        <w:p w14:paraId="1191891C">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"_Toc132902855" </w:instrText>
          </w:r>
          <w:r>
            <w:rPr>
              <w:sz w:val="28"/>
              <w:szCs w:val="28"/>
            </w:rPr>
            <w:fldChar w:fldCharType="separate"/>
          </w:r>
          <w:r>
            <w:rPr>
              <w:rStyle w:val="33"/>
              <w:sz w:val="28"/>
              <w:szCs w:val="28"/>
            </w:rPr>
            <w:t>7.1 电磁辐射</w:t>
          </w:r>
          <w:r>
            <w:rPr>
              <w:sz w:val="28"/>
              <w:szCs w:val="28"/>
            </w:rPr>
            <w:tab/>
          </w:r>
          <w:r>
            <w:rPr>
              <w:sz w:val="28"/>
              <w:szCs w:val="28"/>
            </w:rPr>
            <w:fldChar w:fldCharType="begin"/>
          </w:r>
          <w:r>
            <w:rPr>
              <w:sz w:val="28"/>
              <w:szCs w:val="28"/>
            </w:rPr>
            <w:instrText xml:space="preserve"> PAGEREF _Toc132902855 \h </w:instrText>
          </w:r>
          <w:r>
            <w:rPr>
              <w:sz w:val="28"/>
              <w:szCs w:val="28"/>
            </w:rPr>
            <w:fldChar w:fldCharType="separate"/>
          </w:r>
          <w:r>
            <w:rPr>
              <w:sz w:val="28"/>
              <w:szCs w:val="28"/>
            </w:rPr>
            <w:t>19</w:t>
          </w:r>
          <w:r>
            <w:rPr>
              <w:sz w:val="28"/>
              <w:szCs w:val="28"/>
            </w:rPr>
            <w:fldChar w:fldCharType="end"/>
          </w:r>
          <w:r>
            <w:rPr>
              <w:sz w:val="28"/>
              <w:szCs w:val="28"/>
            </w:rPr>
            <w:fldChar w:fldCharType="end"/>
          </w:r>
        </w:p>
        <w:p w14:paraId="1745B8E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"_Toc132902856" </w:instrText>
          </w:r>
          <w:r>
            <w:rPr>
              <w:sz w:val="28"/>
              <w:szCs w:val="28"/>
            </w:rPr>
            <w:fldChar w:fldCharType="separate"/>
          </w:r>
          <w:r>
            <w:rPr>
              <w:rStyle w:val="33"/>
              <w:sz w:val="28"/>
              <w:szCs w:val="28"/>
            </w:rPr>
            <w:t>7.2 生态环境保护</w:t>
          </w:r>
          <w:r>
            <w:rPr>
              <w:sz w:val="28"/>
              <w:szCs w:val="28"/>
            </w:rPr>
            <w:tab/>
          </w:r>
          <w:r>
            <w:rPr>
              <w:sz w:val="28"/>
              <w:szCs w:val="28"/>
            </w:rPr>
            <w:fldChar w:fldCharType="begin"/>
          </w:r>
          <w:r>
            <w:rPr>
              <w:sz w:val="28"/>
              <w:szCs w:val="28"/>
            </w:rPr>
            <w:instrText xml:space="preserve"> PAGEREF _Toc132902856 \h </w:instrText>
          </w:r>
          <w:r>
            <w:rPr>
              <w:sz w:val="28"/>
              <w:szCs w:val="28"/>
            </w:rPr>
            <w:fldChar w:fldCharType="separate"/>
          </w:r>
          <w:r>
            <w:rPr>
              <w:sz w:val="28"/>
              <w:szCs w:val="28"/>
            </w:rPr>
            <w:t>30</w:t>
          </w:r>
          <w:r>
            <w:rPr>
              <w:sz w:val="28"/>
              <w:szCs w:val="28"/>
            </w:rPr>
            <w:fldChar w:fldCharType="end"/>
          </w:r>
          <w:r>
            <w:rPr>
              <w:sz w:val="28"/>
              <w:szCs w:val="28"/>
            </w:rPr>
            <w:fldChar w:fldCharType="end"/>
          </w:r>
        </w:p>
        <w:p w14:paraId="68D29B67">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"_Toc132902857" </w:instrText>
          </w:r>
          <w:r>
            <w:rPr>
              <w:sz w:val="28"/>
              <w:szCs w:val="28"/>
            </w:rPr>
            <w:fldChar w:fldCharType="separate"/>
          </w:r>
          <w:r>
            <w:rPr>
              <w:rStyle w:val="33"/>
              <w:sz w:val="28"/>
              <w:szCs w:val="28"/>
            </w:rPr>
            <w:t>7.3 噪声控制</w:t>
          </w:r>
          <w:r>
            <w:rPr>
              <w:sz w:val="28"/>
              <w:szCs w:val="28"/>
            </w:rPr>
            <w:tab/>
          </w:r>
          <w:r>
            <w:rPr>
              <w:sz w:val="28"/>
              <w:szCs w:val="28"/>
            </w:rPr>
            <w:fldChar w:fldCharType="begin"/>
          </w:r>
          <w:r>
            <w:rPr>
              <w:sz w:val="28"/>
              <w:szCs w:val="28"/>
            </w:rPr>
            <w:instrText xml:space="preserve"> PAGEREF _Toc132902857 \h </w:instrText>
          </w:r>
          <w:r>
            <w:rPr>
              <w:sz w:val="28"/>
              <w:szCs w:val="28"/>
            </w:rPr>
            <w:fldChar w:fldCharType="separate"/>
          </w:r>
          <w:r>
            <w:rPr>
              <w:sz w:val="28"/>
              <w:szCs w:val="28"/>
            </w:rPr>
            <w:t>31</w:t>
          </w:r>
          <w:r>
            <w:rPr>
              <w:sz w:val="28"/>
              <w:szCs w:val="28"/>
            </w:rPr>
            <w:fldChar w:fldCharType="end"/>
          </w:r>
          <w:r>
            <w:rPr>
              <w:sz w:val="28"/>
              <w:szCs w:val="28"/>
            </w:rPr>
            <w:fldChar w:fldCharType="end"/>
          </w:r>
        </w:p>
        <w:p w14:paraId="72A0AE6F">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"_Toc132902858" </w:instrText>
          </w:r>
          <w:r>
            <w:rPr>
              <w:sz w:val="28"/>
              <w:szCs w:val="28"/>
            </w:rPr>
            <w:fldChar w:fldCharType="separate"/>
          </w:r>
          <w:r>
            <w:rPr>
              <w:rStyle w:val="33"/>
              <w:sz w:val="28"/>
              <w:szCs w:val="28"/>
            </w:rPr>
            <w:t>7.4 废旧物品回收及处置</w:t>
          </w:r>
          <w:r>
            <w:rPr>
              <w:sz w:val="28"/>
              <w:szCs w:val="28"/>
            </w:rPr>
            <w:tab/>
          </w:r>
          <w:r>
            <w:rPr>
              <w:sz w:val="28"/>
              <w:szCs w:val="28"/>
            </w:rPr>
            <w:fldChar w:fldCharType="begin"/>
          </w:r>
          <w:r>
            <w:rPr>
              <w:sz w:val="28"/>
              <w:szCs w:val="28"/>
            </w:rPr>
            <w:instrText xml:space="preserve"> PAGEREF _Toc132902858 \h </w:instrText>
          </w:r>
          <w:r>
            <w:rPr>
              <w:sz w:val="28"/>
              <w:szCs w:val="28"/>
            </w:rPr>
            <w:fldChar w:fldCharType="separate"/>
          </w:r>
          <w:r>
            <w:rPr>
              <w:sz w:val="28"/>
              <w:szCs w:val="28"/>
            </w:rPr>
            <w:t>31</w:t>
          </w:r>
          <w:r>
            <w:rPr>
              <w:sz w:val="28"/>
              <w:szCs w:val="28"/>
            </w:rPr>
            <w:fldChar w:fldCharType="end"/>
          </w:r>
          <w:r>
            <w:rPr>
              <w:sz w:val="28"/>
              <w:szCs w:val="28"/>
            </w:rPr>
            <w:fldChar w:fldCharType="end"/>
          </w:r>
        </w:p>
        <w:p w14:paraId="1950C75F">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"_Toc132902859" </w:instrText>
          </w:r>
          <w:r>
            <w:rPr>
              <w:sz w:val="28"/>
              <w:szCs w:val="28"/>
            </w:rPr>
            <w:fldChar w:fldCharType="separate"/>
          </w:r>
          <w:r>
            <w:rPr>
              <w:rStyle w:val="33"/>
              <w:sz w:val="28"/>
              <w:szCs w:val="28"/>
            </w:rPr>
            <w:t>8</w:t>
          </w:r>
          <w:r>
            <w:rPr>
              <w:sz w:val="28"/>
              <w:szCs w:val="28"/>
            </w:rPr>
            <w:tab/>
          </w:r>
          <w:r>
            <w:rPr>
              <w:rStyle w:val="33"/>
              <w:sz w:val="28"/>
              <w:szCs w:val="28"/>
            </w:rPr>
            <w:t>节能减排</w:t>
          </w:r>
          <w:r>
            <w:rPr>
              <w:sz w:val="28"/>
              <w:szCs w:val="28"/>
            </w:rPr>
            <w:tab/>
          </w:r>
          <w:r>
            <w:rPr>
              <w:sz w:val="28"/>
              <w:szCs w:val="28"/>
            </w:rPr>
            <w:fldChar w:fldCharType="begin"/>
          </w:r>
          <w:r>
            <w:rPr>
              <w:sz w:val="28"/>
              <w:szCs w:val="28"/>
            </w:rPr>
            <w:instrText xml:space="preserve"> PAGEREF _Toc132902859 \h </w:instrText>
          </w:r>
          <w:r>
            <w:rPr>
              <w:sz w:val="28"/>
              <w:szCs w:val="28"/>
            </w:rPr>
            <w:fldChar w:fldCharType="separate"/>
          </w:r>
          <w:r>
            <w:rPr>
              <w:sz w:val="28"/>
              <w:szCs w:val="28"/>
            </w:rPr>
            <w:t>32</w:t>
          </w:r>
          <w:r>
            <w:rPr>
              <w:sz w:val="28"/>
              <w:szCs w:val="28"/>
            </w:rPr>
            <w:fldChar w:fldCharType="end"/>
          </w:r>
          <w:r>
            <w:rPr>
              <w:sz w:val="28"/>
              <w:szCs w:val="28"/>
            </w:rPr>
            <w:fldChar w:fldCharType="end"/>
          </w:r>
        </w:p>
        <w:p w14:paraId="4AFD427B">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"_Toc132902860" </w:instrText>
          </w:r>
          <w:r>
            <w:rPr>
              <w:sz w:val="28"/>
              <w:szCs w:val="28"/>
            </w:rPr>
            <w:fldChar w:fldCharType="separate"/>
          </w:r>
          <w:r>
            <w:rPr>
              <w:rStyle w:val="33"/>
              <w:sz w:val="28"/>
              <w:szCs w:val="28"/>
            </w:rPr>
            <w:t>8.1 移动通信基站节能遵循的基本原则</w:t>
          </w:r>
          <w:r>
            <w:rPr>
              <w:sz w:val="28"/>
              <w:szCs w:val="28"/>
            </w:rPr>
            <w:tab/>
          </w:r>
          <w:r>
            <w:rPr>
              <w:sz w:val="28"/>
              <w:szCs w:val="28"/>
            </w:rPr>
            <w:fldChar w:fldCharType="begin"/>
          </w:r>
          <w:r>
            <w:rPr>
              <w:sz w:val="28"/>
              <w:szCs w:val="28"/>
            </w:rPr>
            <w:instrText xml:space="preserve"> PAGEREF _Toc132902860 \h </w:instrText>
          </w:r>
          <w:r>
            <w:rPr>
              <w:sz w:val="28"/>
              <w:szCs w:val="28"/>
            </w:rPr>
            <w:fldChar w:fldCharType="separate"/>
          </w:r>
          <w:r>
            <w:rPr>
              <w:sz w:val="28"/>
              <w:szCs w:val="28"/>
            </w:rPr>
            <w:t>32</w:t>
          </w:r>
          <w:r>
            <w:rPr>
              <w:sz w:val="28"/>
              <w:szCs w:val="28"/>
            </w:rPr>
            <w:fldChar w:fldCharType="end"/>
          </w:r>
          <w:r>
            <w:rPr>
              <w:sz w:val="28"/>
              <w:szCs w:val="28"/>
            </w:rPr>
            <w:fldChar w:fldCharType="end"/>
          </w:r>
        </w:p>
        <w:p w14:paraId="70EC40A6">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"_Toc132902861" </w:instrText>
          </w:r>
          <w:r>
            <w:rPr>
              <w:sz w:val="28"/>
              <w:szCs w:val="28"/>
            </w:rPr>
            <w:fldChar w:fldCharType="separate"/>
          </w:r>
          <w:r>
            <w:rPr>
              <w:rStyle w:val="33"/>
              <w:sz w:val="28"/>
              <w:szCs w:val="28"/>
            </w:rPr>
            <w:t>8.2 新建基站的节能减排主要实施方案</w:t>
          </w:r>
          <w:r>
            <w:rPr>
              <w:sz w:val="28"/>
              <w:szCs w:val="28"/>
            </w:rPr>
            <w:tab/>
          </w:r>
          <w:r>
            <w:rPr>
              <w:sz w:val="28"/>
              <w:szCs w:val="28"/>
            </w:rPr>
            <w:fldChar w:fldCharType="begin"/>
          </w:r>
          <w:r>
            <w:rPr>
              <w:sz w:val="28"/>
              <w:szCs w:val="28"/>
            </w:rPr>
            <w:instrText xml:space="preserve"> PAGEREF _Toc132902861 \h </w:instrText>
          </w:r>
          <w:r>
            <w:rPr>
              <w:sz w:val="28"/>
              <w:szCs w:val="28"/>
            </w:rPr>
            <w:fldChar w:fldCharType="separate"/>
          </w:r>
          <w:r>
            <w:rPr>
              <w:sz w:val="28"/>
              <w:szCs w:val="28"/>
            </w:rPr>
            <w:t>32</w:t>
          </w:r>
          <w:r>
            <w:rPr>
              <w:sz w:val="28"/>
              <w:szCs w:val="28"/>
            </w:rPr>
            <w:fldChar w:fldCharType="end"/>
          </w:r>
          <w:r>
            <w:rPr>
              <w:sz w:val="28"/>
              <w:szCs w:val="28"/>
            </w:rPr>
            <w:fldChar w:fldCharType="end"/>
          </w:r>
        </w:p>
        <w:p w14:paraId="32790396">
          <w:pPr>
            <w:pStyle w:val="27"/>
            <w:tabs>
              <w:tab w:val="left" w:pos="600"/>
              <w:tab w:val="right" w:leader="dot" w:pos="8495"/>
            </w:tabs>
            <w:spacing w:line="360" w:lineRule="auto"/>
            <w:rPr>
              <w:sz w:val="28"/>
              <w:szCs w:val="28"/>
            </w:rPr>
          </w:pPr>
          <w:r>
            <w:rPr>
              <w:sz w:val="28"/>
              <w:szCs w:val="28"/>
            </w:rPr>
            <w:fldChar w:fldCharType="begin"/>
          </w:r>
          <w:r>
            <w:rPr>
              <w:sz w:val="28"/>
              <w:szCs w:val="28"/>
            </w:rPr>
            <w:instrText xml:space="preserve"> HYPERLINK \l "_Toc132902862" </w:instrText>
          </w:r>
          <w:r>
            <w:rPr>
              <w:sz w:val="28"/>
              <w:szCs w:val="28"/>
            </w:rPr>
            <w:fldChar w:fldCharType="separate"/>
          </w:r>
          <w:r>
            <w:rPr>
              <w:rStyle w:val="33"/>
              <w:sz w:val="28"/>
              <w:szCs w:val="28"/>
            </w:rPr>
            <w:t>9</w:t>
          </w:r>
          <w:r>
            <w:rPr>
              <w:sz w:val="28"/>
              <w:szCs w:val="28"/>
            </w:rPr>
            <w:tab/>
          </w:r>
          <w:r>
            <w:rPr>
              <w:rStyle w:val="33"/>
              <w:sz w:val="28"/>
              <w:szCs w:val="28"/>
            </w:rPr>
            <w:t>通信建设工程标准强制性条文</w:t>
          </w:r>
          <w:r>
            <w:rPr>
              <w:sz w:val="28"/>
              <w:szCs w:val="28"/>
            </w:rPr>
            <w:tab/>
          </w:r>
          <w:r>
            <w:rPr>
              <w:sz w:val="28"/>
              <w:szCs w:val="28"/>
            </w:rPr>
            <w:fldChar w:fldCharType="begin"/>
          </w:r>
          <w:r>
            <w:rPr>
              <w:sz w:val="28"/>
              <w:szCs w:val="28"/>
            </w:rPr>
            <w:instrText xml:space="preserve"> PAGEREF _Toc132902862 \h </w:instrText>
          </w:r>
          <w:r>
            <w:rPr>
              <w:sz w:val="28"/>
              <w:szCs w:val="28"/>
            </w:rPr>
            <w:fldChar w:fldCharType="separate"/>
          </w:r>
          <w:r>
            <w:rPr>
              <w:sz w:val="28"/>
              <w:szCs w:val="28"/>
            </w:rPr>
            <w:t>33</w:t>
          </w:r>
          <w:r>
            <w:rPr>
              <w:sz w:val="28"/>
              <w:szCs w:val="28"/>
            </w:rPr>
            <w:fldChar w:fldCharType="end"/>
          </w:r>
          <w:r>
            <w:rPr>
              <w:sz w:val="28"/>
              <w:szCs w:val="28"/>
            </w:rPr>
            <w:fldChar w:fldCharType="end"/>
          </w:r>
        </w:p>
        <w:p w14:paraId="678B5EE4">
          <w:pPr>
            <w:pStyle w:val="27"/>
            <w:tabs>
              <w:tab w:val="left" w:pos="780"/>
              <w:tab w:val="right" w:leader="dot" w:pos="8495"/>
            </w:tabs>
            <w:spacing w:line="360" w:lineRule="auto"/>
            <w:rPr>
              <w:sz w:val="28"/>
              <w:szCs w:val="28"/>
            </w:rPr>
          </w:pPr>
          <w:r>
            <w:rPr>
              <w:sz w:val="28"/>
              <w:szCs w:val="28"/>
            </w:rPr>
            <w:fldChar w:fldCharType="begin"/>
          </w:r>
          <w:r>
            <w:rPr>
              <w:sz w:val="28"/>
              <w:szCs w:val="28"/>
            </w:rPr>
            <w:instrText xml:space="preserve"> HYPERLINK \l "_Toc132902863" </w:instrText>
          </w:r>
          <w:r>
            <w:rPr>
              <w:sz w:val="28"/>
              <w:szCs w:val="28"/>
            </w:rPr>
            <w:fldChar w:fldCharType="separate"/>
          </w:r>
          <w:r>
            <w:rPr>
              <w:rStyle w:val="33"/>
              <w:sz w:val="28"/>
              <w:szCs w:val="28"/>
            </w:rPr>
            <w:t>10</w:t>
          </w:r>
          <w:r>
            <w:rPr>
              <w:sz w:val="28"/>
              <w:szCs w:val="28"/>
            </w:rPr>
            <w:tab/>
          </w:r>
          <w:r>
            <w:rPr>
              <w:rStyle w:val="33"/>
              <w:sz w:val="28"/>
              <w:szCs w:val="28"/>
            </w:rPr>
            <w:t>安全风险防范</w:t>
          </w:r>
          <w:r>
            <w:rPr>
              <w:sz w:val="28"/>
              <w:szCs w:val="28"/>
            </w:rPr>
            <w:tab/>
          </w:r>
          <w:r>
            <w:rPr>
              <w:sz w:val="28"/>
              <w:szCs w:val="28"/>
            </w:rPr>
            <w:fldChar w:fldCharType="begin"/>
          </w:r>
          <w:r>
            <w:rPr>
              <w:sz w:val="28"/>
              <w:szCs w:val="28"/>
            </w:rPr>
            <w:instrText xml:space="preserve"> PAGEREF _Toc132902863 \h </w:instrText>
          </w:r>
          <w:r>
            <w:rPr>
              <w:sz w:val="28"/>
              <w:szCs w:val="28"/>
            </w:rPr>
            <w:fldChar w:fldCharType="separate"/>
          </w:r>
          <w:r>
            <w:rPr>
              <w:sz w:val="28"/>
              <w:szCs w:val="28"/>
            </w:rPr>
            <w:t>39</w:t>
          </w:r>
          <w:r>
            <w:rPr>
              <w:sz w:val="28"/>
              <w:szCs w:val="28"/>
            </w:rPr>
            <w:fldChar w:fldCharType="end"/>
          </w:r>
          <w:r>
            <w:rPr>
              <w:sz w:val="28"/>
              <w:szCs w:val="28"/>
            </w:rPr>
            <w:fldChar w:fldCharType="end"/>
          </w:r>
        </w:p>
        <w:p w14:paraId="68C44304">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"_Toc132902864" </w:instrText>
          </w:r>
          <w:r>
            <w:rPr>
              <w:sz w:val="28"/>
              <w:szCs w:val="28"/>
            </w:rPr>
            <w:fldChar w:fldCharType="separate"/>
          </w:r>
          <w:r>
            <w:rPr>
              <w:rStyle w:val="33"/>
              <w:sz w:val="28"/>
              <w:szCs w:val="28"/>
            </w:rPr>
            <w:t>10.1 塔桅施工安全风险防范</w:t>
          </w:r>
          <w:r>
            <w:rPr>
              <w:sz w:val="28"/>
              <w:szCs w:val="28"/>
            </w:rPr>
            <w:tab/>
          </w:r>
          <w:r>
            <w:rPr>
              <w:sz w:val="28"/>
              <w:szCs w:val="28"/>
            </w:rPr>
            <w:fldChar w:fldCharType="begin"/>
          </w:r>
          <w:r>
            <w:rPr>
              <w:sz w:val="28"/>
              <w:szCs w:val="28"/>
            </w:rPr>
            <w:instrText xml:space="preserve"> PAGEREF _Toc132902864 \h </w:instrText>
          </w:r>
          <w:r>
            <w:rPr>
              <w:sz w:val="28"/>
              <w:szCs w:val="28"/>
            </w:rPr>
            <w:fldChar w:fldCharType="separate"/>
          </w:r>
          <w:r>
            <w:rPr>
              <w:sz w:val="28"/>
              <w:szCs w:val="28"/>
            </w:rPr>
            <w:t>39</w:t>
          </w:r>
          <w:r>
            <w:rPr>
              <w:sz w:val="28"/>
              <w:szCs w:val="28"/>
            </w:rPr>
            <w:fldChar w:fldCharType="end"/>
          </w:r>
          <w:r>
            <w:rPr>
              <w:sz w:val="28"/>
              <w:szCs w:val="28"/>
            </w:rPr>
            <w:fldChar w:fldCharType="end"/>
          </w:r>
        </w:p>
        <w:p w14:paraId="4C4BE9C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"_Toc132902865" </w:instrText>
          </w:r>
          <w:r>
            <w:rPr>
              <w:sz w:val="28"/>
              <w:szCs w:val="28"/>
            </w:rPr>
            <w:fldChar w:fldCharType="separate"/>
          </w:r>
          <w:r>
            <w:rPr>
              <w:rStyle w:val="33"/>
              <w:sz w:val="28"/>
              <w:szCs w:val="28"/>
            </w:rPr>
            <w:t>10.2 基础施工安全风险防范</w:t>
          </w:r>
          <w:r>
            <w:rPr>
              <w:sz w:val="28"/>
              <w:szCs w:val="28"/>
            </w:rPr>
            <w:tab/>
          </w:r>
          <w:r>
            <w:rPr>
              <w:sz w:val="28"/>
              <w:szCs w:val="28"/>
            </w:rPr>
            <w:fldChar w:fldCharType="begin"/>
          </w:r>
          <w:r>
            <w:rPr>
              <w:sz w:val="28"/>
              <w:szCs w:val="28"/>
            </w:rPr>
            <w:instrText xml:space="preserve"> PAGEREF _Toc132902865 \h </w:instrText>
          </w:r>
          <w:r>
            <w:rPr>
              <w:sz w:val="28"/>
              <w:szCs w:val="28"/>
            </w:rPr>
            <w:fldChar w:fldCharType="separate"/>
          </w:r>
          <w:r>
            <w:rPr>
              <w:sz w:val="28"/>
              <w:szCs w:val="28"/>
            </w:rPr>
            <w:t>43</w:t>
          </w:r>
          <w:r>
            <w:rPr>
              <w:sz w:val="28"/>
              <w:szCs w:val="28"/>
            </w:rPr>
            <w:fldChar w:fldCharType="end"/>
          </w:r>
          <w:r>
            <w:rPr>
              <w:sz w:val="28"/>
              <w:szCs w:val="28"/>
            </w:rPr>
            <w:fldChar w:fldCharType="end"/>
          </w:r>
        </w:p>
        <w:p w14:paraId="1753BA9B">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"_Toc132902866" </w:instrText>
          </w:r>
          <w:r>
            <w:rPr>
              <w:sz w:val="28"/>
              <w:szCs w:val="28"/>
            </w:rPr>
            <w:fldChar w:fldCharType="separate"/>
          </w:r>
          <w:r>
            <w:rPr>
              <w:rStyle w:val="33"/>
              <w:sz w:val="28"/>
              <w:szCs w:val="28"/>
            </w:rPr>
            <w:t>10.3 动力配套设备安装安全风险防范</w:t>
          </w:r>
          <w:r>
            <w:rPr>
              <w:sz w:val="28"/>
              <w:szCs w:val="28"/>
            </w:rPr>
            <w:tab/>
          </w:r>
          <w:r>
            <w:rPr>
              <w:sz w:val="28"/>
              <w:szCs w:val="28"/>
            </w:rPr>
            <w:fldChar w:fldCharType="begin"/>
          </w:r>
          <w:r>
            <w:rPr>
              <w:sz w:val="28"/>
              <w:szCs w:val="28"/>
            </w:rPr>
            <w:instrText xml:space="preserve"> PAGEREF _Toc132902866 \h </w:instrText>
          </w:r>
          <w:r>
            <w:rPr>
              <w:sz w:val="28"/>
              <w:szCs w:val="28"/>
            </w:rPr>
            <w:fldChar w:fldCharType="separate"/>
          </w:r>
          <w:r>
            <w:rPr>
              <w:sz w:val="28"/>
              <w:szCs w:val="28"/>
            </w:rPr>
            <w:t>45</w:t>
          </w:r>
          <w:r>
            <w:rPr>
              <w:sz w:val="28"/>
              <w:szCs w:val="28"/>
            </w:rPr>
            <w:fldChar w:fldCharType="end"/>
          </w:r>
          <w:r>
            <w:rPr>
              <w:sz w:val="28"/>
              <w:szCs w:val="28"/>
            </w:rPr>
            <w:fldChar w:fldCharType="end"/>
          </w:r>
        </w:p>
        <w:p w14:paraId="022A7AD8">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"_Toc132902867" </w:instrText>
          </w:r>
          <w:r>
            <w:rPr>
              <w:sz w:val="28"/>
              <w:szCs w:val="28"/>
            </w:rPr>
            <w:fldChar w:fldCharType="separate"/>
          </w:r>
          <w:r>
            <w:rPr>
              <w:rStyle w:val="33"/>
              <w:sz w:val="28"/>
              <w:szCs w:val="28"/>
            </w:rPr>
            <w:t>10.4 其他相关安全风险防范</w:t>
          </w:r>
          <w:r>
            <w:rPr>
              <w:sz w:val="28"/>
              <w:szCs w:val="28"/>
            </w:rPr>
            <w:tab/>
          </w:r>
          <w:r>
            <w:rPr>
              <w:sz w:val="28"/>
              <w:szCs w:val="28"/>
            </w:rPr>
            <w:fldChar w:fldCharType="begin"/>
          </w:r>
          <w:r>
            <w:rPr>
              <w:sz w:val="28"/>
              <w:szCs w:val="28"/>
            </w:rPr>
            <w:instrText xml:space="preserve"> PAGEREF _Toc132902867 \h </w:instrText>
          </w:r>
          <w:r>
            <w:rPr>
              <w:sz w:val="28"/>
              <w:szCs w:val="28"/>
            </w:rPr>
            <w:fldChar w:fldCharType="separate"/>
          </w:r>
          <w:r>
            <w:rPr>
              <w:sz w:val="28"/>
              <w:szCs w:val="28"/>
            </w:rPr>
            <w:t>47</w:t>
          </w:r>
          <w:r>
            <w:rPr>
              <w:sz w:val="28"/>
              <w:szCs w:val="28"/>
            </w:rPr>
            <w:fldChar w:fldCharType="end"/>
          </w:r>
          <w:r>
            <w:rPr>
              <w:sz w:val="28"/>
              <w:szCs w:val="28"/>
            </w:rPr>
            <w:fldChar w:fldCharType="end"/>
          </w:r>
        </w:p>
        <w:p w14:paraId="32B75C3A">
          <w:pPr>
            <w:pStyle w:val="27"/>
            <w:tabs>
              <w:tab w:val="left" w:pos="780"/>
              <w:tab w:val="right" w:leader="dot" w:pos="8495"/>
            </w:tabs>
            <w:spacing w:line="360" w:lineRule="auto"/>
            <w:rPr>
              <w:sz w:val="28"/>
              <w:szCs w:val="28"/>
            </w:rPr>
          </w:pPr>
          <w:r>
            <w:rPr>
              <w:sz w:val="28"/>
              <w:szCs w:val="28"/>
            </w:rPr>
            <w:fldChar w:fldCharType="begin"/>
          </w:r>
          <w:r>
            <w:rPr>
              <w:sz w:val="28"/>
              <w:szCs w:val="28"/>
            </w:rPr>
            <w:instrText xml:space="preserve"> HYPERLINK \l "_Toc132902868" </w:instrText>
          </w:r>
          <w:r>
            <w:rPr>
              <w:sz w:val="28"/>
              <w:szCs w:val="28"/>
            </w:rPr>
            <w:fldChar w:fldCharType="separate"/>
          </w:r>
          <w:r>
            <w:rPr>
              <w:rStyle w:val="33"/>
              <w:sz w:val="28"/>
              <w:szCs w:val="28"/>
            </w:rPr>
            <w:t>11</w:t>
          </w:r>
          <w:r>
            <w:rPr>
              <w:sz w:val="28"/>
              <w:szCs w:val="28"/>
            </w:rPr>
            <w:tab/>
          </w:r>
          <w:r>
            <w:rPr>
              <w:rStyle w:val="33"/>
              <w:sz w:val="28"/>
              <w:szCs w:val="28"/>
            </w:rPr>
            <w:t>消防及安全生产要求</w:t>
          </w:r>
          <w:r>
            <w:rPr>
              <w:sz w:val="28"/>
              <w:szCs w:val="28"/>
            </w:rPr>
            <w:tab/>
          </w:r>
          <w:r>
            <w:rPr>
              <w:sz w:val="28"/>
              <w:szCs w:val="28"/>
            </w:rPr>
            <w:fldChar w:fldCharType="begin"/>
          </w:r>
          <w:r>
            <w:rPr>
              <w:sz w:val="28"/>
              <w:szCs w:val="28"/>
            </w:rPr>
            <w:instrText xml:space="preserve"> PAGEREF _Toc132902868 \h </w:instrText>
          </w:r>
          <w:r>
            <w:rPr>
              <w:sz w:val="28"/>
              <w:szCs w:val="28"/>
            </w:rPr>
            <w:fldChar w:fldCharType="separate"/>
          </w:r>
          <w:r>
            <w:rPr>
              <w:sz w:val="28"/>
              <w:szCs w:val="28"/>
            </w:rPr>
            <w:t>48</w:t>
          </w:r>
          <w:r>
            <w:rPr>
              <w:sz w:val="28"/>
              <w:szCs w:val="28"/>
            </w:rPr>
            <w:fldChar w:fldCharType="end"/>
          </w:r>
          <w:r>
            <w:rPr>
              <w:sz w:val="28"/>
              <w:szCs w:val="28"/>
            </w:rPr>
            <w:fldChar w:fldCharType="end"/>
          </w:r>
        </w:p>
        <w:p w14:paraId="3F59F9E9">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"_Toc132902869" </w:instrText>
          </w:r>
          <w:r>
            <w:rPr>
              <w:sz w:val="28"/>
              <w:szCs w:val="28"/>
            </w:rPr>
            <w:fldChar w:fldCharType="separate"/>
          </w:r>
          <w:r>
            <w:rPr>
              <w:rStyle w:val="33"/>
              <w:sz w:val="28"/>
              <w:szCs w:val="28"/>
            </w:rPr>
            <w:t>11.1 消防安全要求</w:t>
          </w:r>
          <w:r>
            <w:rPr>
              <w:sz w:val="28"/>
              <w:szCs w:val="28"/>
            </w:rPr>
            <w:tab/>
          </w:r>
          <w:r>
            <w:rPr>
              <w:sz w:val="28"/>
              <w:szCs w:val="28"/>
            </w:rPr>
            <w:fldChar w:fldCharType="begin"/>
          </w:r>
          <w:r>
            <w:rPr>
              <w:sz w:val="28"/>
              <w:szCs w:val="28"/>
            </w:rPr>
            <w:instrText xml:space="preserve"> PAGEREF _Toc132902869 \h </w:instrText>
          </w:r>
          <w:r>
            <w:rPr>
              <w:sz w:val="28"/>
              <w:szCs w:val="28"/>
            </w:rPr>
            <w:fldChar w:fldCharType="separate"/>
          </w:r>
          <w:r>
            <w:rPr>
              <w:sz w:val="28"/>
              <w:szCs w:val="28"/>
            </w:rPr>
            <w:t>48</w:t>
          </w:r>
          <w:r>
            <w:rPr>
              <w:sz w:val="28"/>
              <w:szCs w:val="28"/>
            </w:rPr>
            <w:fldChar w:fldCharType="end"/>
          </w:r>
          <w:r>
            <w:rPr>
              <w:sz w:val="28"/>
              <w:szCs w:val="28"/>
            </w:rPr>
            <w:fldChar w:fldCharType="end"/>
          </w:r>
        </w:p>
        <w:p w14:paraId="79D52C25">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"_Toc132902870" </w:instrText>
          </w:r>
          <w:r>
            <w:rPr>
              <w:sz w:val="28"/>
              <w:szCs w:val="28"/>
            </w:rPr>
            <w:fldChar w:fldCharType="separate"/>
          </w:r>
          <w:r>
            <w:rPr>
              <w:rStyle w:val="33"/>
              <w:sz w:val="28"/>
              <w:szCs w:val="28"/>
            </w:rPr>
            <w:t>11.2 安全生产相关要求</w:t>
          </w:r>
          <w:r>
            <w:rPr>
              <w:sz w:val="28"/>
              <w:szCs w:val="28"/>
            </w:rPr>
            <w:tab/>
          </w:r>
          <w:r>
            <w:rPr>
              <w:sz w:val="28"/>
              <w:szCs w:val="28"/>
            </w:rPr>
            <w:fldChar w:fldCharType="begin"/>
          </w:r>
          <w:r>
            <w:rPr>
              <w:sz w:val="28"/>
              <w:szCs w:val="28"/>
            </w:rPr>
            <w:instrText xml:space="preserve"> PAGEREF _Toc132902870 \h </w:instrText>
          </w:r>
          <w:r>
            <w:rPr>
              <w:sz w:val="28"/>
              <w:szCs w:val="28"/>
            </w:rPr>
            <w:fldChar w:fldCharType="separate"/>
          </w:r>
          <w:r>
            <w:rPr>
              <w:sz w:val="28"/>
              <w:szCs w:val="28"/>
            </w:rPr>
            <w:t>50</w:t>
          </w:r>
          <w:r>
            <w:rPr>
              <w:sz w:val="28"/>
              <w:szCs w:val="28"/>
            </w:rPr>
            <w:fldChar w:fldCharType="end"/>
          </w:r>
          <w:r>
            <w:rPr>
              <w:sz w:val="28"/>
              <w:szCs w:val="28"/>
            </w:rPr>
            <w:fldChar w:fldCharType="end"/>
          </w:r>
        </w:p>
        <w:p w14:paraId="020B72BE">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"_Toc132902871" </w:instrText>
          </w:r>
          <w:r>
            <w:rPr>
              <w:sz w:val="28"/>
              <w:szCs w:val="28"/>
            </w:rPr>
            <w:fldChar w:fldCharType="separate"/>
          </w:r>
          <w:r>
            <w:rPr>
              <w:rStyle w:val="33"/>
              <w:sz w:val="28"/>
              <w:szCs w:val="28"/>
            </w:rPr>
            <w:t>11.3 现场查勘安全要求</w:t>
          </w:r>
          <w:r>
            <w:rPr>
              <w:sz w:val="28"/>
              <w:szCs w:val="28"/>
            </w:rPr>
            <w:tab/>
          </w:r>
          <w:r>
            <w:rPr>
              <w:sz w:val="28"/>
              <w:szCs w:val="28"/>
            </w:rPr>
            <w:fldChar w:fldCharType="begin"/>
          </w:r>
          <w:r>
            <w:rPr>
              <w:sz w:val="28"/>
              <w:szCs w:val="28"/>
            </w:rPr>
            <w:instrText xml:space="preserve"> PAGEREF _Toc132902871 \h </w:instrText>
          </w:r>
          <w:r>
            <w:rPr>
              <w:sz w:val="28"/>
              <w:szCs w:val="28"/>
            </w:rPr>
            <w:fldChar w:fldCharType="separate"/>
          </w:r>
          <w:r>
            <w:rPr>
              <w:sz w:val="28"/>
              <w:szCs w:val="28"/>
            </w:rPr>
            <w:t>53</w:t>
          </w:r>
          <w:r>
            <w:rPr>
              <w:sz w:val="28"/>
              <w:szCs w:val="28"/>
            </w:rPr>
            <w:fldChar w:fldCharType="end"/>
          </w:r>
          <w:r>
            <w:rPr>
              <w:sz w:val="28"/>
              <w:szCs w:val="28"/>
            </w:rPr>
            <w:fldChar w:fldCharType="end"/>
          </w:r>
        </w:p>
        <w:p w14:paraId="0C3D9AB3">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"_Toc132902872" </w:instrText>
          </w:r>
          <w:r>
            <w:rPr>
              <w:sz w:val="28"/>
              <w:szCs w:val="28"/>
            </w:rPr>
            <w:fldChar w:fldCharType="separate"/>
          </w:r>
          <w:r>
            <w:rPr>
              <w:rStyle w:val="33"/>
              <w:sz w:val="28"/>
              <w:szCs w:val="28"/>
            </w:rPr>
            <w:t>11.4 工程安全管理组织要求</w:t>
          </w:r>
          <w:r>
            <w:rPr>
              <w:sz w:val="28"/>
              <w:szCs w:val="28"/>
            </w:rPr>
            <w:tab/>
          </w:r>
          <w:r>
            <w:rPr>
              <w:sz w:val="28"/>
              <w:szCs w:val="28"/>
            </w:rPr>
            <w:fldChar w:fldCharType="begin"/>
          </w:r>
          <w:r>
            <w:rPr>
              <w:sz w:val="28"/>
              <w:szCs w:val="28"/>
            </w:rPr>
            <w:instrText xml:space="preserve"> PAGEREF _Toc132902872 \h </w:instrText>
          </w:r>
          <w:r>
            <w:rPr>
              <w:sz w:val="28"/>
              <w:szCs w:val="28"/>
            </w:rPr>
            <w:fldChar w:fldCharType="separate"/>
          </w:r>
          <w:r>
            <w:rPr>
              <w:sz w:val="28"/>
              <w:szCs w:val="28"/>
            </w:rPr>
            <w:t>54</w:t>
          </w:r>
          <w:r>
            <w:rPr>
              <w:sz w:val="28"/>
              <w:szCs w:val="28"/>
            </w:rPr>
            <w:fldChar w:fldCharType="end"/>
          </w:r>
          <w:r>
            <w:rPr>
              <w:sz w:val="28"/>
              <w:szCs w:val="28"/>
            </w:rPr>
            <w:fldChar w:fldCharType="end"/>
          </w:r>
        </w:p>
        <w:p w14:paraId="326476EF">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"_Toc132902873" </w:instrText>
          </w:r>
          <w:r>
            <w:rPr>
              <w:sz w:val="28"/>
              <w:szCs w:val="28"/>
            </w:rPr>
            <w:fldChar w:fldCharType="separate"/>
          </w:r>
          <w:r>
            <w:rPr>
              <w:rStyle w:val="33"/>
              <w:sz w:val="28"/>
              <w:szCs w:val="28"/>
            </w:rPr>
            <w:t>11.5 通信设备工程安全生产要求</w:t>
          </w:r>
          <w:r>
            <w:rPr>
              <w:sz w:val="28"/>
              <w:szCs w:val="28"/>
            </w:rPr>
            <w:tab/>
          </w:r>
          <w:r>
            <w:rPr>
              <w:sz w:val="28"/>
              <w:szCs w:val="28"/>
            </w:rPr>
            <w:fldChar w:fldCharType="begin"/>
          </w:r>
          <w:r>
            <w:rPr>
              <w:sz w:val="28"/>
              <w:szCs w:val="28"/>
            </w:rPr>
            <w:instrText xml:space="preserve"> PAGEREF _Toc132902873 \h </w:instrText>
          </w:r>
          <w:r>
            <w:rPr>
              <w:sz w:val="28"/>
              <w:szCs w:val="28"/>
            </w:rPr>
            <w:fldChar w:fldCharType="separate"/>
          </w:r>
          <w:r>
            <w:rPr>
              <w:sz w:val="28"/>
              <w:szCs w:val="28"/>
            </w:rPr>
            <w:t>56</w:t>
          </w:r>
          <w:r>
            <w:rPr>
              <w:sz w:val="28"/>
              <w:szCs w:val="28"/>
            </w:rPr>
            <w:fldChar w:fldCharType="end"/>
          </w:r>
          <w:r>
            <w:rPr>
              <w:sz w:val="28"/>
              <w:szCs w:val="28"/>
            </w:rPr>
            <w:fldChar w:fldCharType="end"/>
          </w:r>
        </w:p>
        <w:p w14:paraId="5333783E">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"_Toc132902874" </w:instrText>
          </w:r>
          <w:r>
            <w:rPr>
              <w:sz w:val="28"/>
              <w:szCs w:val="28"/>
            </w:rPr>
            <w:fldChar w:fldCharType="separate"/>
          </w:r>
          <w:r>
            <w:rPr>
              <w:rStyle w:val="33"/>
              <w:sz w:val="28"/>
              <w:szCs w:val="28"/>
            </w:rPr>
            <w:t>11.6 施工现场及驻地安全</w:t>
          </w:r>
          <w:r>
            <w:rPr>
              <w:sz w:val="28"/>
              <w:szCs w:val="28"/>
            </w:rPr>
            <w:tab/>
          </w:r>
          <w:r>
            <w:rPr>
              <w:sz w:val="28"/>
              <w:szCs w:val="28"/>
            </w:rPr>
            <w:fldChar w:fldCharType="begin"/>
          </w:r>
          <w:r>
            <w:rPr>
              <w:sz w:val="28"/>
              <w:szCs w:val="28"/>
            </w:rPr>
            <w:instrText xml:space="preserve"> PAGEREF _Toc132902874 \h </w:instrText>
          </w:r>
          <w:r>
            <w:rPr>
              <w:sz w:val="28"/>
              <w:szCs w:val="28"/>
            </w:rPr>
            <w:fldChar w:fldCharType="separate"/>
          </w:r>
          <w:r>
            <w:rPr>
              <w:sz w:val="28"/>
              <w:szCs w:val="28"/>
            </w:rPr>
            <w:t>58</w:t>
          </w:r>
          <w:r>
            <w:rPr>
              <w:sz w:val="28"/>
              <w:szCs w:val="28"/>
            </w:rPr>
            <w:fldChar w:fldCharType="end"/>
          </w:r>
          <w:r>
            <w:rPr>
              <w:sz w:val="28"/>
              <w:szCs w:val="28"/>
            </w:rPr>
            <w:fldChar w:fldCharType="end"/>
          </w:r>
        </w:p>
        <w:p w14:paraId="7898D3C6">
          <w:pPr>
            <w:pStyle w:val="17"/>
            <w:tabs>
              <w:tab w:val="right" w:leader="dot" w:pos="8495"/>
            </w:tabs>
            <w:spacing w:line="360" w:lineRule="auto"/>
            <w:rPr>
              <w:sz w:val="28"/>
              <w:szCs w:val="28"/>
            </w:rPr>
          </w:pPr>
          <w:r>
            <w:rPr>
              <w:sz w:val="28"/>
              <w:szCs w:val="28"/>
            </w:rPr>
            <w:fldChar w:fldCharType="begin"/>
          </w:r>
          <w:r>
            <w:rPr>
              <w:sz w:val="28"/>
              <w:szCs w:val="28"/>
            </w:rPr>
            <w:instrText xml:space="preserve"> HYPERLINK \l "_Toc132902875" </w:instrText>
          </w:r>
          <w:r>
            <w:rPr>
              <w:sz w:val="28"/>
              <w:szCs w:val="28"/>
            </w:rPr>
            <w:fldChar w:fldCharType="separate"/>
          </w:r>
          <w:r>
            <w:rPr>
              <w:rStyle w:val="33"/>
              <w:sz w:val="28"/>
              <w:szCs w:val="28"/>
            </w:rPr>
            <w:t>11.7 森林草原防火安全生产要求</w:t>
          </w:r>
          <w:r>
            <w:rPr>
              <w:sz w:val="28"/>
              <w:szCs w:val="28"/>
            </w:rPr>
            <w:tab/>
          </w:r>
          <w:r>
            <w:rPr>
              <w:sz w:val="28"/>
              <w:szCs w:val="28"/>
            </w:rPr>
            <w:fldChar w:fldCharType="begin"/>
          </w:r>
          <w:r>
            <w:rPr>
              <w:sz w:val="28"/>
              <w:szCs w:val="28"/>
            </w:rPr>
            <w:instrText xml:space="preserve"> PAGEREF _Toc132902875 \h </w:instrText>
          </w:r>
          <w:r>
            <w:rPr>
              <w:sz w:val="28"/>
              <w:szCs w:val="28"/>
            </w:rPr>
            <w:fldChar w:fldCharType="separate"/>
          </w:r>
          <w:r>
            <w:rPr>
              <w:sz w:val="28"/>
              <w:szCs w:val="28"/>
            </w:rPr>
            <w:t>61</w:t>
          </w:r>
          <w:r>
            <w:rPr>
              <w:sz w:val="28"/>
              <w:szCs w:val="28"/>
            </w:rPr>
            <w:fldChar w:fldCharType="end"/>
          </w:r>
          <w:r>
            <w:rPr>
              <w:sz w:val="28"/>
              <w:szCs w:val="28"/>
            </w:rPr>
            <w:fldChar w:fldCharType="end"/>
          </w:r>
        </w:p>
        <w:p w14:paraId="1A015502">
          <w:pPr>
            <w:pStyle w:val="17"/>
            <w:tabs>
              <w:tab w:val="right" w:leader="dot" w:pos="8495"/>
            </w:tabs>
            <w:spacing w:line="360" w:lineRule="auto"/>
            <w:rPr>
              <w:sz w:val="24"/>
            </w:rPr>
          </w:pPr>
          <w:r>
            <w:rPr>
              <w:sz w:val="28"/>
              <w:szCs w:val="28"/>
            </w:rPr>
            <w:fldChar w:fldCharType="begin"/>
          </w:r>
          <w:r>
            <w:rPr>
              <w:sz w:val="28"/>
              <w:szCs w:val="28"/>
            </w:rPr>
            <w:instrText xml:space="preserve"> HYPERLINK \l "_Toc132902876" </w:instrText>
          </w:r>
          <w:r>
            <w:rPr>
              <w:sz w:val="28"/>
              <w:szCs w:val="28"/>
            </w:rPr>
            <w:fldChar w:fldCharType="separate"/>
          </w:r>
          <w:r>
            <w:rPr>
              <w:rStyle w:val="33"/>
              <w:sz w:val="28"/>
              <w:szCs w:val="28"/>
            </w:rPr>
            <w:t>11.8 施工操作规范要求</w:t>
          </w:r>
          <w:r>
            <w:rPr>
              <w:sz w:val="28"/>
              <w:szCs w:val="28"/>
            </w:rPr>
            <w:tab/>
          </w:r>
          <w:r>
            <w:rPr>
              <w:sz w:val="28"/>
              <w:szCs w:val="28"/>
            </w:rPr>
            <w:fldChar w:fldCharType="begin"/>
          </w:r>
          <w:r>
            <w:rPr>
              <w:sz w:val="28"/>
              <w:szCs w:val="28"/>
            </w:rPr>
            <w:instrText xml:space="preserve"> PAGEREF _Toc132902876 \h </w:instrText>
          </w:r>
          <w:r>
            <w:rPr>
              <w:sz w:val="28"/>
              <w:szCs w:val="28"/>
            </w:rPr>
            <w:fldChar w:fldCharType="separate"/>
          </w:r>
          <w:r>
            <w:rPr>
              <w:sz w:val="28"/>
              <w:szCs w:val="28"/>
            </w:rPr>
            <w:t>63</w:t>
          </w:r>
          <w:r>
            <w:rPr>
              <w:sz w:val="28"/>
              <w:szCs w:val="28"/>
            </w:rPr>
            <w:fldChar w:fldCharType="end"/>
          </w:r>
          <w:r>
            <w:rPr>
              <w:sz w:val="28"/>
              <w:szCs w:val="28"/>
            </w:rPr>
            <w:fldChar w:fldCharType="end"/>
          </w:r>
        </w:p>
        <w:p w14:paraId="4026EDCA">
          <w:pPr>
            <w:pStyle w:val="17"/>
            <w:tabs>
              <w:tab w:val="right" w:leader="dot" w:pos="8495"/>
            </w:tabs>
            <w:spacing w:line="360" w:lineRule="auto"/>
            <w:rPr>
              <w:sz w:val="24"/>
            </w:rPr>
          </w:pPr>
          <w:r>
            <w:fldChar w:fldCharType="begin"/>
          </w:r>
          <w:r>
            <w:instrText xml:space="preserve"> HYPERLINK \l "_Toc132902877" </w:instrText>
          </w:r>
          <w:r>
            <w:fldChar w:fldCharType="separate"/>
          </w:r>
          <w:r>
            <w:rPr>
              <w:rStyle w:val="33"/>
              <w:sz w:val="24"/>
            </w:rPr>
            <w:t>11.9 施工用电安全要求</w:t>
          </w:r>
          <w:r>
            <w:rPr>
              <w:sz w:val="24"/>
            </w:rPr>
            <w:tab/>
          </w:r>
          <w:r>
            <w:rPr>
              <w:sz w:val="24"/>
            </w:rPr>
            <w:fldChar w:fldCharType="begin"/>
          </w:r>
          <w:r>
            <w:rPr>
              <w:sz w:val="24"/>
            </w:rPr>
            <w:instrText xml:space="preserve"> PAGEREF _Toc132902877 \h </w:instrText>
          </w:r>
          <w:r>
            <w:rPr>
              <w:sz w:val="24"/>
            </w:rPr>
            <w:fldChar w:fldCharType="separate"/>
          </w:r>
          <w:r>
            <w:rPr>
              <w:sz w:val="24"/>
            </w:rPr>
            <w:t>65</w:t>
          </w:r>
          <w:r>
            <w:rPr>
              <w:sz w:val="24"/>
            </w:rPr>
            <w:fldChar w:fldCharType="end"/>
          </w:r>
          <w:r>
            <w:rPr>
              <w:sz w:val="24"/>
            </w:rPr>
            <w:fldChar w:fldCharType="end"/>
          </w:r>
        </w:p>
        <w:p w14:paraId="307D43D6">
          <w:pPr>
            <w:pStyle w:val="17"/>
            <w:tabs>
              <w:tab w:val="right" w:leader="dot" w:pos="8495"/>
            </w:tabs>
            <w:spacing w:line="360" w:lineRule="auto"/>
            <w:rPr>
              <w:sz w:val="24"/>
            </w:rPr>
          </w:pPr>
          <w:r>
            <w:fldChar w:fldCharType="begin"/>
          </w:r>
          <w:r>
            <w:instrText xml:space="preserve"> HYPERLINK \l "_Toc132902878" </w:instrText>
          </w:r>
          <w:r>
            <w:fldChar w:fldCharType="separate"/>
          </w:r>
          <w:r>
            <w:rPr>
              <w:rStyle w:val="33"/>
              <w:sz w:val="24"/>
            </w:rPr>
            <w:t>11.10 施工监理安全要求</w:t>
          </w:r>
          <w:r>
            <w:rPr>
              <w:sz w:val="24"/>
            </w:rPr>
            <w:tab/>
          </w:r>
          <w:r>
            <w:rPr>
              <w:sz w:val="24"/>
            </w:rPr>
            <w:fldChar w:fldCharType="begin"/>
          </w:r>
          <w:r>
            <w:rPr>
              <w:sz w:val="24"/>
            </w:rPr>
            <w:instrText xml:space="preserve"> PAGEREF _Toc132902878 \h </w:instrText>
          </w:r>
          <w:r>
            <w:rPr>
              <w:sz w:val="24"/>
            </w:rPr>
            <w:fldChar w:fldCharType="separate"/>
          </w:r>
          <w:r>
            <w:rPr>
              <w:sz w:val="24"/>
            </w:rPr>
            <w:t>67</w:t>
          </w:r>
          <w:r>
            <w:rPr>
              <w:sz w:val="24"/>
            </w:rPr>
            <w:fldChar w:fldCharType="end"/>
          </w:r>
          <w:r>
            <w:rPr>
              <w:sz w:val="24"/>
            </w:rPr>
            <w:fldChar w:fldCharType="end"/>
          </w:r>
        </w:p>
        <w:p w14:paraId="50A04055">
          <w:pPr>
            <w:pStyle w:val="17"/>
            <w:tabs>
              <w:tab w:val="right" w:leader="dot" w:pos="8495"/>
            </w:tabs>
            <w:spacing w:line="360" w:lineRule="auto"/>
            <w:rPr>
              <w:sz w:val="24"/>
            </w:rPr>
          </w:pPr>
          <w:r>
            <w:fldChar w:fldCharType="begin"/>
          </w:r>
          <w:r>
            <w:instrText xml:space="preserve"> HYPERLINK \l "_Toc132902879" </w:instrText>
          </w:r>
          <w:r>
            <w:fldChar w:fldCharType="separate"/>
          </w:r>
          <w:r>
            <w:rPr>
              <w:rStyle w:val="33"/>
              <w:sz w:val="24"/>
            </w:rPr>
            <w:t>11.11 施工现场应急救援</w:t>
          </w:r>
          <w:r>
            <w:rPr>
              <w:sz w:val="24"/>
            </w:rPr>
            <w:tab/>
          </w:r>
          <w:r>
            <w:rPr>
              <w:sz w:val="24"/>
            </w:rPr>
            <w:fldChar w:fldCharType="begin"/>
          </w:r>
          <w:r>
            <w:rPr>
              <w:sz w:val="24"/>
            </w:rPr>
            <w:instrText xml:space="preserve"> PAGEREF _Toc132902879 \h </w:instrText>
          </w:r>
          <w:r>
            <w:rPr>
              <w:sz w:val="24"/>
            </w:rPr>
            <w:fldChar w:fldCharType="separate"/>
          </w:r>
          <w:r>
            <w:rPr>
              <w:sz w:val="24"/>
            </w:rPr>
            <w:t>70</w:t>
          </w:r>
          <w:r>
            <w:rPr>
              <w:sz w:val="24"/>
            </w:rPr>
            <w:fldChar w:fldCharType="end"/>
          </w:r>
          <w:r>
            <w:rPr>
              <w:sz w:val="24"/>
            </w:rPr>
            <w:fldChar w:fldCharType="end"/>
          </w:r>
        </w:p>
        <w:p w14:paraId="2ED0E3AF">
          <w:pPr>
            <w:pStyle w:val="17"/>
            <w:tabs>
              <w:tab w:val="right" w:leader="dot" w:pos="8495"/>
            </w:tabs>
            <w:spacing w:line="360" w:lineRule="auto"/>
            <w:rPr>
              <w:sz w:val="24"/>
            </w:rPr>
          </w:pPr>
          <w:r>
            <w:fldChar w:fldCharType="begin"/>
          </w:r>
          <w:r>
            <w:instrText xml:space="preserve"> HYPERLINK \l "_Toc132902880" </w:instrText>
          </w:r>
          <w:r>
            <w:fldChar w:fldCharType="separate"/>
          </w:r>
          <w:r>
            <w:rPr>
              <w:rStyle w:val="33"/>
              <w:sz w:val="24"/>
            </w:rPr>
            <w:t>11.12 抗震加固</w:t>
          </w:r>
          <w:r>
            <w:rPr>
              <w:sz w:val="24"/>
            </w:rPr>
            <w:tab/>
          </w:r>
          <w:r>
            <w:rPr>
              <w:sz w:val="24"/>
            </w:rPr>
            <w:fldChar w:fldCharType="begin"/>
          </w:r>
          <w:r>
            <w:rPr>
              <w:sz w:val="24"/>
            </w:rPr>
            <w:instrText xml:space="preserve"> PAGEREF _Toc132902880 \h </w:instrText>
          </w:r>
          <w:r>
            <w:rPr>
              <w:sz w:val="24"/>
            </w:rPr>
            <w:fldChar w:fldCharType="separate"/>
          </w:r>
          <w:r>
            <w:rPr>
              <w:sz w:val="24"/>
            </w:rPr>
            <w:t>71</w:t>
          </w:r>
          <w:r>
            <w:rPr>
              <w:sz w:val="24"/>
            </w:rPr>
            <w:fldChar w:fldCharType="end"/>
          </w:r>
          <w:r>
            <w:rPr>
              <w:sz w:val="24"/>
            </w:rPr>
            <w:fldChar w:fldCharType="end"/>
          </w:r>
        </w:p>
        <w:p w14:paraId="1EBB6C25">
          <w:pPr>
            <w:pStyle w:val="17"/>
            <w:tabs>
              <w:tab w:val="right" w:leader="dot" w:pos="8495"/>
            </w:tabs>
            <w:spacing w:line="360" w:lineRule="auto"/>
            <w:rPr>
              <w:sz w:val="24"/>
            </w:rPr>
          </w:pPr>
          <w:r>
            <w:fldChar w:fldCharType="begin"/>
          </w:r>
          <w:r>
            <w:instrText xml:space="preserve"> HYPERLINK \l "_Toc132902881" </w:instrText>
          </w:r>
          <w:r>
            <w:fldChar w:fldCharType="separate"/>
          </w:r>
          <w:r>
            <w:rPr>
              <w:rStyle w:val="33"/>
              <w:sz w:val="24"/>
            </w:rPr>
            <w:t>11.13 防疫期间施工现场安全生产要求</w:t>
          </w:r>
          <w:r>
            <w:rPr>
              <w:sz w:val="24"/>
            </w:rPr>
            <w:tab/>
          </w:r>
          <w:r>
            <w:rPr>
              <w:sz w:val="24"/>
            </w:rPr>
            <w:fldChar w:fldCharType="begin"/>
          </w:r>
          <w:r>
            <w:rPr>
              <w:sz w:val="24"/>
            </w:rPr>
            <w:instrText xml:space="preserve"> PAGEREF _Toc132902881 \h </w:instrText>
          </w:r>
          <w:r>
            <w:rPr>
              <w:sz w:val="24"/>
            </w:rPr>
            <w:fldChar w:fldCharType="separate"/>
          </w:r>
          <w:r>
            <w:rPr>
              <w:sz w:val="24"/>
            </w:rPr>
            <w:t>74</w:t>
          </w:r>
          <w:r>
            <w:rPr>
              <w:sz w:val="24"/>
            </w:rPr>
            <w:fldChar w:fldCharType="end"/>
          </w:r>
          <w:r>
            <w:rPr>
              <w:sz w:val="24"/>
            </w:rPr>
            <w:fldChar w:fldCharType="end"/>
          </w:r>
        </w:p>
        <w:p w14:paraId="17308A6E">
          <w:pPr>
            <w:pStyle w:val="17"/>
            <w:tabs>
              <w:tab w:val="right" w:leader="dot" w:pos="8495"/>
            </w:tabs>
            <w:spacing w:line="360" w:lineRule="auto"/>
            <w:rPr>
              <w:sz w:val="24"/>
            </w:rPr>
          </w:pPr>
          <w:r>
            <w:fldChar w:fldCharType="begin"/>
          </w:r>
          <w:r>
            <w:instrText xml:space="preserve"> HYPERLINK \l "_Toc132902882" </w:instrText>
          </w:r>
          <w:r>
            <w:fldChar w:fldCharType="separate"/>
          </w:r>
          <w:r>
            <w:rPr>
              <w:rStyle w:val="33"/>
              <w:sz w:val="24"/>
            </w:rPr>
            <w:t>11.14 汛期施工安全要求</w:t>
          </w:r>
          <w:r>
            <w:rPr>
              <w:sz w:val="24"/>
            </w:rPr>
            <w:tab/>
          </w:r>
          <w:r>
            <w:rPr>
              <w:sz w:val="24"/>
            </w:rPr>
            <w:fldChar w:fldCharType="begin"/>
          </w:r>
          <w:r>
            <w:rPr>
              <w:sz w:val="24"/>
            </w:rPr>
            <w:instrText xml:space="preserve"> PAGEREF _Toc132902882 \h </w:instrText>
          </w:r>
          <w:r>
            <w:rPr>
              <w:sz w:val="24"/>
            </w:rPr>
            <w:fldChar w:fldCharType="separate"/>
          </w:r>
          <w:r>
            <w:rPr>
              <w:sz w:val="24"/>
            </w:rPr>
            <w:t>75</w:t>
          </w:r>
          <w:r>
            <w:rPr>
              <w:sz w:val="24"/>
            </w:rPr>
            <w:fldChar w:fldCharType="end"/>
          </w:r>
          <w:r>
            <w:rPr>
              <w:sz w:val="24"/>
            </w:rPr>
            <w:fldChar w:fldCharType="end"/>
          </w:r>
        </w:p>
        <w:p w14:paraId="3C3B6046">
          <w:pPr>
            <w:pStyle w:val="27"/>
            <w:tabs>
              <w:tab w:val="left" w:pos="780"/>
              <w:tab w:val="right" w:leader="dot" w:pos="8495"/>
            </w:tabs>
            <w:spacing w:line="360" w:lineRule="auto"/>
            <w:rPr>
              <w:sz w:val="24"/>
            </w:rPr>
          </w:pPr>
          <w:r>
            <w:fldChar w:fldCharType="begin"/>
          </w:r>
          <w:r>
            <w:instrText xml:space="preserve"> HYPERLINK \l "_Toc132902883" </w:instrText>
          </w:r>
          <w:r>
            <w:fldChar w:fldCharType="separate"/>
          </w:r>
          <w:r>
            <w:rPr>
              <w:rStyle w:val="33"/>
              <w:sz w:val="24"/>
            </w:rPr>
            <w:t>12</w:t>
          </w:r>
          <w:r>
            <w:rPr>
              <w:sz w:val="24"/>
            </w:rPr>
            <w:tab/>
          </w:r>
          <w:r>
            <w:rPr>
              <w:rStyle w:val="33"/>
              <w:sz w:val="24"/>
            </w:rPr>
            <w:t>网络与信息安全及“三同步要求”</w:t>
          </w:r>
          <w:r>
            <w:rPr>
              <w:sz w:val="24"/>
            </w:rPr>
            <w:tab/>
          </w:r>
          <w:r>
            <w:rPr>
              <w:sz w:val="24"/>
            </w:rPr>
            <w:fldChar w:fldCharType="begin"/>
          </w:r>
          <w:r>
            <w:rPr>
              <w:sz w:val="24"/>
            </w:rPr>
            <w:instrText xml:space="preserve"> PAGEREF _Toc132902883 \h </w:instrText>
          </w:r>
          <w:r>
            <w:rPr>
              <w:sz w:val="24"/>
            </w:rPr>
            <w:fldChar w:fldCharType="separate"/>
          </w:r>
          <w:r>
            <w:rPr>
              <w:sz w:val="24"/>
            </w:rPr>
            <w:t>76</w:t>
          </w:r>
          <w:r>
            <w:rPr>
              <w:sz w:val="24"/>
            </w:rPr>
            <w:fldChar w:fldCharType="end"/>
          </w:r>
          <w:r>
            <w:rPr>
              <w:sz w:val="24"/>
            </w:rPr>
            <w:fldChar w:fldCharType="end"/>
          </w:r>
        </w:p>
        <w:p w14:paraId="4CE92DC1">
          <w:pPr>
            <w:pStyle w:val="17"/>
            <w:tabs>
              <w:tab w:val="right" w:leader="dot" w:pos="8495"/>
            </w:tabs>
            <w:spacing w:line="360" w:lineRule="auto"/>
            <w:rPr>
              <w:sz w:val="24"/>
            </w:rPr>
          </w:pPr>
          <w:r>
            <w:fldChar w:fldCharType="begin"/>
          </w:r>
          <w:r>
            <w:instrText xml:space="preserve"> HYPERLINK \l "_Toc132902884" </w:instrText>
          </w:r>
          <w:r>
            <w:fldChar w:fldCharType="separate"/>
          </w:r>
          <w:r>
            <w:rPr>
              <w:rStyle w:val="33"/>
              <w:sz w:val="24"/>
            </w:rPr>
            <w:t>12.1 网络与信息安全要求</w:t>
          </w:r>
          <w:r>
            <w:rPr>
              <w:sz w:val="24"/>
            </w:rPr>
            <w:tab/>
          </w:r>
          <w:r>
            <w:rPr>
              <w:sz w:val="24"/>
            </w:rPr>
            <w:fldChar w:fldCharType="begin"/>
          </w:r>
          <w:r>
            <w:rPr>
              <w:sz w:val="24"/>
            </w:rPr>
            <w:instrText xml:space="preserve"> PAGEREF _Toc132902884 \h </w:instrText>
          </w:r>
          <w:r>
            <w:rPr>
              <w:sz w:val="24"/>
            </w:rPr>
            <w:fldChar w:fldCharType="separate"/>
          </w:r>
          <w:r>
            <w:rPr>
              <w:sz w:val="24"/>
            </w:rPr>
            <w:t>76</w:t>
          </w:r>
          <w:r>
            <w:rPr>
              <w:sz w:val="24"/>
            </w:rPr>
            <w:fldChar w:fldCharType="end"/>
          </w:r>
          <w:r>
            <w:rPr>
              <w:sz w:val="24"/>
            </w:rPr>
            <w:fldChar w:fldCharType="end"/>
          </w:r>
        </w:p>
        <w:p w14:paraId="288D142A">
          <w:pPr>
            <w:pStyle w:val="17"/>
            <w:tabs>
              <w:tab w:val="right" w:leader="dot" w:pos="8495"/>
            </w:tabs>
            <w:spacing w:line="360" w:lineRule="auto"/>
            <w:rPr>
              <w:sz w:val="24"/>
            </w:rPr>
          </w:pPr>
          <w:r>
            <w:fldChar w:fldCharType="begin"/>
          </w:r>
          <w:r>
            <w:instrText xml:space="preserve"> HYPERLINK \l "_Toc132902885" </w:instrText>
          </w:r>
          <w:r>
            <w:fldChar w:fldCharType="separate"/>
          </w:r>
          <w:r>
            <w:rPr>
              <w:rStyle w:val="33"/>
              <w:sz w:val="24"/>
            </w:rPr>
            <w:t>12.2 网络安全防护技术方案</w:t>
          </w:r>
          <w:r>
            <w:rPr>
              <w:sz w:val="24"/>
            </w:rPr>
            <w:tab/>
          </w:r>
          <w:r>
            <w:rPr>
              <w:sz w:val="24"/>
            </w:rPr>
            <w:fldChar w:fldCharType="begin"/>
          </w:r>
          <w:r>
            <w:rPr>
              <w:sz w:val="24"/>
            </w:rPr>
            <w:instrText xml:space="preserve"> PAGEREF _Toc132902885 \h </w:instrText>
          </w:r>
          <w:r>
            <w:rPr>
              <w:sz w:val="24"/>
            </w:rPr>
            <w:fldChar w:fldCharType="separate"/>
          </w:r>
          <w:r>
            <w:rPr>
              <w:sz w:val="24"/>
            </w:rPr>
            <w:t>79</w:t>
          </w:r>
          <w:r>
            <w:rPr>
              <w:sz w:val="24"/>
            </w:rPr>
            <w:fldChar w:fldCharType="end"/>
          </w:r>
          <w:r>
            <w:rPr>
              <w:sz w:val="24"/>
            </w:rPr>
            <w:fldChar w:fldCharType="end"/>
          </w:r>
        </w:p>
        <w:p w14:paraId="474B5AEF">
          <w:pPr>
            <w:pStyle w:val="17"/>
            <w:tabs>
              <w:tab w:val="right" w:leader="dot" w:pos="8495"/>
            </w:tabs>
            <w:spacing w:line="360" w:lineRule="auto"/>
            <w:rPr>
              <w:sz w:val="24"/>
            </w:rPr>
          </w:pPr>
          <w:r>
            <w:fldChar w:fldCharType="begin"/>
          </w:r>
          <w:r>
            <w:instrText xml:space="preserve"> HYPERLINK \l "_Toc132902886" </w:instrText>
          </w:r>
          <w:r>
            <w:fldChar w:fldCharType="separate"/>
          </w:r>
          <w:r>
            <w:rPr>
              <w:rStyle w:val="33"/>
              <w:b/>
              <w:bCs/>
              <w:sz w:val="24"/>
            </w:rPr>
            <w:t>12.3 “三同步”要求</w:t>
          </w:r>
          <w:r>
            <w:rPr>
              <w:sz w:val="24"/>
            </w:rPr>
            <w:tab/>
          </w:r>
          <w:r>
            <w:rPr>
              <w:sz w:val="24"/>
            </w:rPr>
            <w:fldChar w:fldCharType="begin"/>
          </w:r>
          <w:r>
            <w:rPr>
              <w:sz w:val="24"/>
            </w:rPr>
            <w:instrText xml:space="preserve"> PAGEREF _Toc132902886 \h </w:instrText>
          </w:r>
          <w:r>
            <w:rPr>
              <w:sz w:val="24"/>
            </w:rPr>
            <w:fldChar w:fldCharType="separate"/>
          </w:r>
          <w:r>
            <w:rPr>
              <w:sz w:val="24"/>
            </w:rPr>
            <w:t>79</w:t>
          </w:r>
          <w:r>
            <w:rPr>
              <w:sz w:val="24"/>
            </w:rPr>
            <w:fldChar w:fldCharType="end"/>
          </w:r>
          <w:r>
            <w:rPr>
              <w:sz w:val="24"/>
            </w:rPr>
            <w:fldChar w:fldCharType="end"/>
          </w:r>
        </w:p>
        <w:p w14:paraId="30EC6E33">
          <w:pPr>
            <w:pStyle w:val="17"/>
            <w:tabs>
              <w:tab w:val="right" w:leader="dot" w:pos="8495"/>
            </w:tabs>
            <w:spacing w:line="360" w:lineRule="auto"/>
            <w:rPr>
              <w:sz w:val="24"/>
            </w:rPr>
          </w:pPr>
          <w:r>
            <w:fldChar w:fldCharType="begin"/>
          </w:r>
          <w:r>
            <w:instrText xml:space="preserve"> HYPERLINK \l "_Toc132902887" </w:instrText>
          </w:r>
          <w:r>
            <w:fldChar w:fldCharType="separate"/>
          </w:r>
          <w:r>
            <w:rPr>
              <w:rStyle w:val="33"/>
              <w:b/>
              <w:bCs/>
              <w:sz w:val="24"/>
            </w:rPr>
            <w:t>12.4 移动通信网及信息安全风险评估</w:t>
          </w:r>
          <w:r>
            <w:rPr>
              <w:sz w:val="24"/>
            </w:rPr>
            <w:tab/>
          </w:r>
          <w:r>
            <w:rPr>
              <w:sz w:val="24"/>
            </w:rPr>
            <w:fldChar w:fldCharType="begin"/>
          </w:r>
          <w:r>
            <w:rPr>
              <w:sz w:val="24"/>
            </w:rPr>
            <w:instrText xml:space="preserve"> PAGEREF _Toc132902887 \h </w:instrText>
          </w:r>
          <w:r>
            <w:rPr>
              <w:sz w:val="24"/>
            </w:rPr>
            <w:fldChar w:fldCharType="separate"/>
          </w:r>
          <w:r>
            <w:rPr>
              <w:sz w:val="24"/>
            </w:rPr>
            <w:t>80</w:t>
          </w:r>
          <w:r>
            <w:rPr>
              <w:sz w:val="24"/>
            </w:rPr>
            <w:fldChar w:fldCharType="end"/>
          </w:r>
          <w:r>
            <w:rPr>
              <w:sz w:val="24"/>
            </w:rPr>
            <w:fldChar w:fldCharType="end"/>
          </w:r>
        </w:p>
        <w:p w14:paraId="794C592A">
          <w:pPr>
            <w:pStyle w:val="17"/>
            <w:tabs>
              <w:tab w:val="right" w:leader="dot" w:pos="8495"/>
            </w:tabs>
            <w:spacing w:line="360" w:lineRule="auto"/>
            <w:rPr>
              <w:sz w:val="24"/>
            </w:rPr>
          </w:pPr>
          <w:r>
            <w:fldChar w:fldCharType="begin"/>
          </w:r>
          <w:r>
            <w:instrText xml:space="preserve"> HYPERLINK \l "_Toc132902888" </w:instrText>
          </w:r>
          <w:r>
            <w:fldChar w:fldCharType="separate"/>
          </w:r>
          <w:r>
            <w:rPr>
              <w:rStyle w:val="33"/>
              <w:sz w:val="24"/>
            </w:rPr>
            <w:t>12.5 移动通信网及信息安全解决方案</w:t>
          </w:r>
          <w:r>
            <w:rPr>
              <w:sz w:val="24"/>
            </w:rPr>
            <w:tab/>
          </w:r>
          <w:r>
            <w:rPr>
              <w:sz w:val="24"/>
            </w:rPr>
            <w:fldChar w:fldCharType="begin"/>
          </w:r>
          <w:r>
            <w:rPr>
              <w:sz w:val="24"/>
            </w:rPr>
            <w:instrText xml:space="preserve"> PAGEREF _Toc132902888 \h </w:instrText>
          </w:r>
          <w:r>
            <w:rPr>
              <w:sz w:val="24"/>
            </w:rPr>
            <w:fldChar w:fldCharType="separate"/>
          </w:r>
          <w:r>
            <w:rPr>
              <w:sz w:val="24"/>
            </w:rPr>
            <w:t>81</w:t>
          </w:r>
          <w:r>
            <w:rPr>
              <w:sz w:val="24"/>
            </w:rPr>
            <w:fldChar w:fldCharType="end"/>
          </w:r>
          <w:r>
            <w:rPr>
              <w:sz w:val="24"/>
            </w:rPr>
            <w:fldChar w:fldCharType="end"/>
          </w:r>
        </w:p>
        <w:p w14:paraId="01059AC5">
          <w:pPr>
            <w:pStyle w:val="17"/>
            <w:tabs>
              <w:tab w:val="right" w:leader="dot" w:pos="8495"/>
            </w:tabs>
            <w:spacing w:line="360" w:lineRule="auto"/>
            <w:rPr>
              <w:sz w:val="24"/>
            </w:rPr>
          </w:pPr>
          <w:r>
            <w:fldChar w:fldCharType="begin"/>
          </w:r>
          <w:r>
            <w:instrText xml:space="preserve"> HYPERLINK \l "_Toc132902889" </w:instrText>
          </w:r>
          <w:r>
            <w:fldChar w:fldCharType="separate"/>
          </w:r>
          <w:r>
            <w:rPr>
              <w:rStyle w:val="33"/>
              <w:sz w:val="24"/>
            </w:rPr>
            <w:t>12.6 人员安全管理</w:t>
          </w:r>
          <w:r>
            <w:rPr>
              <w:sz w:val="24"/>
            </w:rPr>
            <w:tab/>
          </w:r>
          <w:r>
            <w:rPr>
              <w:sz w:val="24"/>
            </w:rPr>
            <w:fldChar w:fldCharType="begin"/>
          </w:r>
          <w:r>
            <w:rPr>
              <w:sz w:val="24"/>
            </w:rPr>
            <w:instrText xml:space="preserve"> PAGEREF _Toc132902889 \h </w:instrText>
          </w:r>
          <w:r>
            <w:rPr>
              <w:sz w:val="24"/>
            </w:rPr>
            <w:fldChar w:fldCharType="separate"/>
          </w:r>
          <w:r>
            <w:rPr>
              <w:sz w:val="24"/>
            </w:rPr>
            <w:t>85</w:t>
          </w:r>
          <w:r>
            <w:rPr>
              <w:sz w:val="24"/>
            </w:rPr>
            <w:fldChar w:fldCharType="end"/>
          </w:r>
          <w:r>
            <w:rPr>
              <w:sz w:val="24"/>
            </w:rPr>
            <w:fldChar w:fldCharType="end"/>
          </w:r>
        </w:p>
        <w:p w14:paraId="4F0F2A71">
          <w:pPr>
            <w:pStyle w:val="17"/>
            <w:tabs>
              <w:tab w:val="right" w:leader="dot" w:pos="8495"/>
            </w:tabs>
            <w:spacing w:line="360" w:lineRule="auto"/>
            <w:rPr>
              <w:sz w:val="24"/>
            </w:rPr>
          </w:pPr>
          <w:r>
            <w:fldChar w:fldCharType="begin"/>
          </w:r>
          <w:r>
            <w:instrText xml:space="preserve"> HYPERLINK \l "_Toc132902890" </w:instrText>
          </w:r>
          <w:r>
            <w:fldChar w:fldCharType="separate"/>
          </w:r>
          <w:r>
            <w:rPr>
              <w:rStyle w:val="33"/>
              <w:sz w:val="24"/>
            </w:rPr>
            <w:t>12.7 安全施工管理</w:t>
          </w:r>
          <w:r>
            <w:rPr>
              <w:sz w:val="24"/>
            </w:rPr>
            <w:tab/>
          </w:r>
          <w:r>
            <w:rPr>
              <w:sz w:val="24"/>
            </w:rPr>
            <w:fldChar w:fldCharType="begin"/>
          </w:r>
          <w:r>
            <w:rPr>
              <w:sz w:val="24"/>
            </w:rPr>
            <w:instrText xml:space="preserve"> PAGEREF _Toc132902890 \h </w:instrText>
          </w:r>
          <w:r>
            <w:rPr>
              <w:sz w:val="24"/>
            </w:rPr>
            <w:fldChar w:fldCharType="separate"/>
          </w:r>
          <w:r>
            <w:rPr>
              <w:sz w:val="24"/>
            </w:rPr>
            <w:t>86</w:t>
          </w:r>
          <w:r>
            <w:rPr>
              <w:sz w:val="24"/>
            </w:rPr>
            <w:fldChar w:fldCharType="end"/>
          </w:r>
          <w:r>
            <w:rPr>
              <w:sz w:val="24"/>
            </w:rPr>
            <w:fldChar w:fldCharType="end"/>
          </w:r>
        </w:p>
        <w:p w14:paraId="13DC17B5">
          <w:pPr>
            <w:pStyle w:val="17"/>
            <w:tabs>
              <w:tab w:val="right" w:leader="dot" w:pos="8495"/>
            </w:tabs>
            <w:spacing w:line="360" w:lineRule="auto"/>
            <w:rPr>
              <w:sz w:val="24"/>
            </w:rPr>
          </w:pPr>
          <w:r>
            <w:fldChar w:fldCharType="begin"/>
          </w:r>
          <w:r>
            <w:instrText xml:space="preserve"> HYPERLINK \l "_Toc132902891" </w:instrText>
          </w:r>
          <w:r>
            <w:fldChar w:fldCharType="separate"/>
          </w:r>
          <w:r>
            <w:rPr>
              <w:rStyle w:val="33"/>
              <w:sz w:val="24"/>
            </w:rPr>
            <w:t>12.8 安全运维管理</w:t>
          </w:r>
          <w:r>
            <w:rPr>
              <w:sz w:val="24"/>
            </w:rPr>
            <w:tab/>
          </w:r>
          <w:r>
            <w:rPr>
              <w:sz w:val="24"/>
            </w:rPr>
            <w:fldChar w:fldCharType="begin"/>
          </w:r>
          <w:r>
            <w:rPr>
              <w:sz w:val="24"/>
            </w:rPr>
            <w:instrText xml:space="preserve"> PAGEREF _Toc132902891 \h </w:instrText>
          </w:r>
          <w:r>
            <w:rPr>
              <w:sz w:val="24"/>
            </w:rPr>
            <w:fldChar w:fldCharType="separate"/>
          </w:r>
          <w:r>
            <w:rPr>
              <w:sz w:val="24"/>
            </w:rPr>
            <w:t>86</w:t>
          </w:r>
          <w:r>
            <w:rPr>
              <w:sz w:val="24"/>
            </w:rPr>
            <w:fldChar w:fldCharType="end"/>
          </w:r>
          <w:r>
            <w:rPr>
              <w:sz w:val="24"/>
            </w:rPr>
            <w:fldChar w:fldCharType="end"/>
          </w:r>
        </w:p>
        <w:p w14:paraId="7D8633D9">
          <w:pPr>
            <w:pStyle w:val="27"/>
            <w:tabs>
              <w:tab w:val="left" w:pos="780"/>
              <w:tab w:val="right" w:leader="dot" w:pos="8495"/>
            </w:tabs>
            <w:spacing w:line="360" w:lineRule="auto"/>
            <w:rPr>
              <w:sz w:val="24"/>
            </w:rPr>
          </w:pPr>
          <w:r>
            <w:fldChar w:fldCharType="begin"/>
          </w:r>
          <w:r>
            <w:instrText xml:space="preserve"> HYPERLINK \l "_Toc132902892" </w:instrText>
          </w:r>
          <w:r>
            <w:fldChar w:fldCharType="separate"/>
          </w:r>
          <w:r>
            <w:rPr>
              <w:rStyle w:val="33"/>
              <w:sz w:val="24"/>
            </w:rPr>
            <w:t>13</w:t>
          </w:r>
          <w:r>
            <w:rPr>
              <w:sz w:val="24"/>
            </w:rPr>
            <w:tab/>
          </w:r>
          <w:r>
            <w:rPr>
              <w:rStyle w:val="33"/>
              <w:sz w:val="24"/>
            </w:rPr>
            <w:t>安全生产费的计列</w:t>
          </w:r>
          <w:r>
            <w:rPr>
              <w:sz w:val="24"/>
            </w:rPr>
            <w:tab/>
          </w:r>
          <w:r>
            <w:rPr>
              <w:sz w:val="24"/>
            </w:rPr>
            <w:fldChar w:fldCharType="begin"/>
          </w:r>
          <w:r>
            <w:rPr>
              <w:sz w:val="24"/>
            </w:rPr>
            <w:instrText xml:space="preserve"> PAGEREF _Toc132902892 \h </w:instrText>
          </w:r>
          <w:r>
            <w:rPr>
              <w:sz w:val="24"/>
            </w:rPr>
            <w:fldChar w:fldCharType="separate"/>
          </w:r>
          <w:r>
            <w:rPr>
              <w:sz w:val="24"/>
            </w:rPr>
            <w:t>88</w:t>
          </w:r>
          <w:r>
            <w:rPr>
              <w:sz w:val="24"/>
            </w:rPr>
            <w:fldChar w:fldCharType="end"/>
          </w:r>
          <w:r>
            <w:rPr>
              <w:sz w:val="24"/>
            </w:rPr>
            <w:fldChar w:fldCharType="end"/>
          </w:r>
        </w:p>
        <w:p w14:paraId="207FF569">
          <w:pPr>
            <w:pStyle w:val="27"/>
            <w:tabs>
              <w:tab w:val="left" w:pos="780"/>
              <w:tab w:val="right" w:leader="dot" w:pos="8495"/>
            </w:tabs>
            <w:spacing w:line="360" w:lineRule="auto"/>
            <w:rPr>
              <w:sz w:val="24"/>
            </w:rPr>
          </w:pPr>
          <w:r>
            <w:fldChar w:fldCharType="begin"/>
          </w:r>
          <w:r>
            <w:instrText xml:space="preserve"> HYPERLINK \l "_Toc132902893" </w:instrText>
          </w:r>
          <w:r>
            <w:fldChar w:fldCharType="separate"/>
          </w:r>
          <w:r>
            <w:rPr>
              <w:rStyle w:val="33"/>
              <w:sz w:val="24"/>
            </w:rPr>
            <w:t>14</w:t>
          </w:r>
          <w:r>
            <w:rPr>
              <w:sz w:val="24"/>
            </w:rPr>
            <w:tab/>
          </w:r>
          <w:r>
            <w:rPr>
              <w:rStyle w:val="33"/>
              <w:sz w:val="24"/>
            </w:rPr>
            <w:t>其它需说明的问题</w:t>
          </w:r>
          <w:r>
            <w:rPr>
              <w:sz w:val="24"/>
            </w:rPr>
            <w:tab/>
          </w:r>
          <w:r>
            <w:rPr>
              <w:sz w:val="24"/>
            </w:rPr>
            <w:fldChar w:fldCharType="begin"/>
          </w:r>
          <w:r>
            <w:rPr>
              <w:sz w:val="24"/>
            </w:rPr>
            <w:instrText xml:space="preserve"> PAGEREF _Toc132902893 \h </w:instrText>
          </w:r>
          <w:r>
            <w:rPr>
              <w:sz w:val="24"/>
            </w:rPr>
            <w:fldChar w:fldCharType="separate"/>
          </w:r>
          <w:r>
            <w:rPr>
              <w:sz w:val="24"/>
            </w:rPr>
            <w:t>88</w:t>
          </w:r>
          <w:r>
            <w:rPr>
              <w:sz w:val="24"/>
            </w:rPr>
            <w:fldChar w:fldCharType="end"/>
          </w:r>
          <w:r>
            <w:rPr>
              <w:sz w:val="24"/>
            </w:rPr>
            <w:fldChar w:fldCharType="end"/>
          </w:r>
        </w:p>
        <w:p w14:paraId="67F66E12">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"_Toc132902894" </w:instrText>
          </w:r>
          <w:r>
            <w:fldChar w:fldCharType="separate"/>
          </w:r>
          <w:r>
            <w:rPr>
              <w:rStyle w:val="33"/>
              <w:rFonts w:ascii="Times New Roman" w:hAnsi="Times New Roman" w:eastAsia="宋体" w:cs="Times New Roman"/>
              <w:sz w:val="24"/>
              <w:szCs w:val="24"/>
            </w:rPr>
            <w:t>二、预算</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_Toc132902894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90</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14:paraId="73E999D4">
          <w:pPr>
            <w:pStyle w:val="27"/>
            <w:tabs>
              <w:tab w:val="left" w:pos="840"/>
              <w:tab w:val="right" w:leader="dot" w:pos="8495"/>
            </w:tabs>
            <w:spacing w:line="360" w:lineRule="auto"/>
            <w:rPr>
              <w:sz w:val="24"/>
            </w:rPr>
          </w:pPr>
          <w:r>
            <w:fldChar w:fldCharType="begin"/>
          </w:r>
          <w:r>
            <w:instrText xml:space="preserve"> HYPERLINK \l "_Toc132902895" </w:instrText>
          </w:r>
          <w:r>
            <w:fldChar w:fldCharType="separate"/>
          </w:r>
          <w:r>
            <w:rPr>
              <w:rStyle w:val="33"/>
              <w:sz w:val="24"/>
            </w:rPr>
            <w:t>1</w:t>
          </w:r>
          <w:r>
            <w:rPr>
              <w:sz w:val="24"/>
            </w:rPr>
            <w:tab/>
          </w:r>
          <w:r>
            <w:rPr>
              <w:rStyle w:val="33"/>
              <w:sz w:val="24"/>
            </w:rPr>
            <w:t>编制依据</w:t>
          </w:r>
          <w:r>
            <w:rPr>
              <w:sz w:val="24"/>
            </w:rPr>
            <w:tab/>
          </w:r>
          <w:r>
            <w:rPr>
              <w:sz w:val="24"/>
            </w:rPr>
            <w:fldChar w:fldCharType="begin"/>
          </w:r>
          <w:r>
            <w:rPr>
              <w:sz w:val="24"/>
            </w:rPr>
            <w:instrText xml:space="preserve"> PAGEREF _Toc132902895 \h </w:instrText>
          </w:r>
          <w:r>
            <w:rPr>
              <w:sz w:val="24"/>
            </w:rPr>
            <w:fldChar w:fldCharType="separate"/>
          </w:r>
          <w:r>
            <w:rPr>
              <w:sz w:val="24"/>
            </w:rPr>
            <w:t>90</w:t>
          </w:r>
          <w:r>
            <w:rPr>
              <w:sz w:val="24"/>
            </w:rPr>
            <w:fldChar w:fldCharType="end"/>
          </w:r>
          <w:r>
            <w:rPr>
              <w:sz w:val="24"/>
            </w:rPr>
            <w:fldChar w:fldCharType="end"/>
          </w:r>
        </w:p>
        <w:p w14:paraId="63BF4C6E">
          <w:pPr>
            <w:pStyle w:val="27"/>
            <w:tabs>
              <w:tab w:val="left" w:pos="840"/>
              <w:tab w:val="right" w:leader="dot" w:pos="8495"/>
            </w:tabs>
            <w:spacing w:line="360" w:lineRule="auto"/>
            <w:rPr>
              <w:sz w:val="24"/>
            </w:rPr>
          </w:pPr>
          <w:r>
            <w:fldChar w:fldCharType="begin"/>
          </w:r>
          <w:r>
            <w:instrText xml:space="preserve"> HYPERLINK \l "_Toc132902896" </w:instrText>
          </w:r>
          <w:r>
            <w:fldChar w:fldCharType="separate"/>
          </w:r>
          <w:r>
            <w:rPr>
              <w:rStyle w:val="33"/>
              <w:sz w:val="24"/>
            </w:rPr>
            <w:t>2</w:t>
          </w:r>
          <w:r>
            <w:rPr>
              <w:sz w:val="24"/>
            </w:rPr>
            <w:tab/>
          </w:r>
          <w:r>
            <w:rPr>
              <w:rStyle w:val="33"/>
              <w:sz w:val="24"/>
            </w:rPr>
            <w:t>编制说明</w:t>
          </w:r>
          <w:r>
            <w:rPr>
              <w:sz w:val="24"/>
            </w:rPr>
            <w:tab/>
          </w:r>
          <w:r>
            <w:rPr>
              <w:sz w:val="24"/>
            </w:rPr>
            <w:fldChar w:fldCharType="begin"/>
          </w:r>
          <w:r>
            <w:rPr>
              <w:sz w:val="24"/>
            </w:rPr>
            <w:instrText xml:space="preserve"> PAGEREF _Toc132902896 \h </w:instrText>
          </w:r>
          <w:r>
            <w:rPr>
              <w:sz w:val="24"/>
            </w:rPr>
            <w:fldChar w:fldCharType="separate"/>
          </w:r>
          <w:r>
            <w:rPr>
              <w:sz w:val="24"/>
            </w:rPr>
            <w:t>90</w:t>
          </w:r>
          <w:r>
            <w:rPr>
              <w:sz w:val="24"/>
            </w:rPr>
            <w:fldChar w:fldCharType="end"/>
          </w:r>
          <w:r>
            <w:rPr>
              <w:sz w:val="24"/>
            </w:rPr>
            <w:fldChar w:fldCharType="end"/>
          </w:r>
        </w:p>
        <w:p w14:paraId="3CE3FFE3">
          <w:pPr>
            <w:pStyle w:val="17"/>
            <w:tabs>
              <w:tab w:val="right" w:leader="dot" w:pos="8495"/>
            </w:tabs>
            <w:spacing w:line="360" w:lineRule="auto"/>
            <w:rPr>
              <w:sz w:val="24"/>
            </w:rPr>
          </w:pPr>
          <w:r>
            <w:fldChar w:fldCharType="begin"/>
          </w:r>
          <w:r>
            <w:instrText xml:space="preserve"> HYPERLINK \l "_Toc132902897" </w:instrText>
          </w:r>
          <w:r>
            <w:fldChar w:fldCharType="separate"/>
          </w:r>
          <w:r>
            <w:rPr>
              <w:rStyle w:val="33"/>
              <w:sz w:val="24"/>
            </w:rPr>
            <w:t>2.1表一汇总表</w:t>
          </w:r>
          <w:r>
            <w:rPr>
              <w:sz w:val="24"/>
            </w:rPr>
            <w:tab/>
          </w:r>
          <w:r>
            <w:rPr>
              <w:sz w:val="24"/>
            </w:rPr>
            <w:fldChar w:fldCharType="begin"/>
          </w:r>
          <w:r>
            <w:rPr>
              <w:sz w:val="24"/>
            </w:rPr>
            <w:instrText xml:space="preserve"> PAGEREF _Toc132902897 \h </w:instrText>
          </w:r>
          <w:r>
            <w:rPr>
              <w:sz w:val="24"/>
            </w:rPr>
            <w:fldChar w:fldCharType="separate"/>
          </w:r>
          <w:r>
            <w:rPr>
              <w:sz w:val="24"/>
            </w:rPr>
            <w:t>90</w:t>
          </w:r>
          <w:r>
            <w:rPr>
              <w:sz w:val="24"/>
            </w:rPr>
            <w:fldChar w:fldCharType="end"/>
          </w:r>
          <w:r>
            <w:rPr>
              <w:sz w:val="24"/>
            </w:rPr>
            <w:fldChar w:fldCharType="end"/>
          </w:r>
        </w:p>
        <w:p w14:paraId="11DC7ED6">
          <w:pPr>
            <w:pStyle w:val="17"/>
            <w:tabs>
              <w:tab w:val="right" w:leader="dot" w:pos="8495"/>
            </w:tabs>
            <w:spacing w:line="360" w:lineRule="auto"/>
            <w:rPr>
              <w:sz w:val="24"/>
            </w:rPr>
          </w:pPr>
          <w:r>
            <w:fldChar w:fldCharType="begin"/>
          </w:r>
          <w:r>
            <w:instrText xml:space="preserve"> HYPERLINK \l "_Toc132902898" </w:instrText>
          </w:r>
          <w:r>
            <w:fldChar w:fldCharType="separate"/>
          </w:r>
          <w:r>
            <w:rPr>
              <w:rStyle w:val="33"/>
              <w:sz w:val="24"/>
            </w:rPr>
            <w:t>2.2表五其他费用子表</w:t>
          </w:r>
          <w:r>
            <w:rPr>
              <w:sz w:val="24"/>
            </w:rPr>
            <w:tab/>
          </w:r>
          <w:r>
            <w:rPr>
              <w:sz w:val="24"/>
            </w:rPr>
            <w:fldChar w:fldCharType="begin"/>
          </w:r>
          <w:r>
            <w:rPr>
              <w:sz w:val="24"/>
            </w:rPr>
            <w:instrText xml:space="preserve"> PAGEREF _Toc132902898 \h </w:instrText>
          </w:r>
          <w:r>
            <w:rPr>
              <w:sz w:val="24"/>
            </w:rPr>
            <w:fldChar w:fldCharType="separate"/>
          </w:r>
          <w:r>
            <w:rPr>
              <w:sz w:val="24"/>
            </w:rPr>
            <w:t>90</w:t>
          </w:r>
          <w:r>
            <w:rPr>
              <w:sz w:val="24"/>
            </w:rPr>
            <w:fldChar w:fldCharType="end"/>
          </w:r>
          <w:r>
            <w:rPr>
              <w:sz w:val="24"/>
            </w:rPr>
            <w:fldChar w:fldCharType="end"/>
          </w:r>
        </w:p>
        <w:p w14:paraId="52FA8346">
          <w:pPr>
            <w:pStyle w:val="17"/>
            <w:tabs>
              <w:tab w:val="right" w:leader="dot" w:pos="8495"/>
            </w:tabs>
            <w:spacing w:line="360" w:lineRule="auto"/>
            <w:rPr>
              <w:sz w:val="24"/>
            </w:rPr>
          </w:pPr>
          <w:r>
            <w:fldChar w:fldCharType="begin"/>
          </w:r>
          <w:r>
            <w:instrText xml:space="preserve"> HYPERLINK \l "_Toc132902899" </w:instrText>
          </w:r>
          <w:r>
            <w:fldChar w:fldCharType="separate"/>
          </w:r>
          <w:r>
            <w:rPr>
              <w:rStyle w:val="33"/>
              <w:sz w:val="24"/>
            </w:rPr>
            <w:t>2.3甲供设备材料清单子表</w:t>
          </w:r>
          <w:r>
            <w:rPr>
              <w:sz w:val="24"/>
            </w:rPr>
            <w:tab/>
          </w:r>
          <w:r>
            <w:rPr>
              <w:sz w:val="24"/>
            </w:rPr>
            <w:fldChar w:fldCharType="begin"/>
          </w:r>
          <w:r>
            <w:rPr>
              <w:sz w:val="24"/>
            </w:rPr>
            <w:instrText xml:space="preserve"> PAGEREF _Toc132902899 \h </w:instrText>
          </w:r>
          <w:r>
            <w:rPr>
              <w:sz w:val="24"/>
            </w:rPr>
            <w:fldChar w:fldCharType="separate"/>
          </w:r>
          <w:r>
            <w:rPr>
              <w:sz w:val="24"/>
            </w:rPr>
            <w:t>91</w:t>
          </w:r>
          <w:r>
            <w:rPr>
              <w:sz w:val="24"/>
            </w:rPr>
            <w:fldChar w:fldCharType="end"/>
          </w:r>
          <w:r>
            <w:rPr>
              <w:sz w:val="24"/>
            </w:rPr>
            <w:fldChar w:fldCharType="end"/>
          </w:r>
        </w:p>
        <w:p w14:paraId="6F8B02B9">
          <w:pPr>
            <w:pStyle w:val="17"/>
            <w:tabs>
              <w:tab w:val="right" w:leader="dot" w:pos="8495"/>
            </w:tabs>
            <w:spacing w:line="360" w:lineRule="auto"/>
            <w:rPr>
              <w:sz w:val="24"/>
            </w:rPr>
          </w:pPr>
          <w:r>
            <w:fldChar w:fldCharType="begin"/>
          </w:r>
          <w:r>
            <w:instrText xml:space="preserve"> HYPERLINK \l "_Toc132902900" </w:instrText>
          </w:r>
          <w:r>
            <w:fldChar w:fldCharType="separate"/>
          </w:r>
          <w:r>
            <w:rPr>
              <w:rStyle w:val="33"/>
              <w:sz w:val="24"/>
            </w:rPr>
            <w:t>2.4服务模块清单子表</w:t>
          </w:r>
          <w:r>
            <w:rPr>
              <w:sz w:val="24"/>
            </w:rPr>
            <w:tab/>
          </w:r>
          <w:r>
            <w:rPr>
              <w:sz w:val="24"/>
            </w:rPr>
            <w:fldChar w:fldCharType="begin"/>
          </w:r>
          <w:r>
            <w:rPr>
              <w:sz w:val="24"/>
            </w:rPr>
            <w:instrText xml:space="preserve"> PAGEREF _Toc132902900 \h </w:instrText>
          </w:r>
          <w:r>
            <w:rPr>
              <w:sz w:val="24"/>
            </w:rPr>
            <w:fldChar w:fldCharType="separate"/>
          </w:r>
          <w:r>
            <w:rPr>
              <w:sz w:val="24"/>
            </w:rPr>
            <w:t>92</w:t>
          </w:r>
          <w:r>
            <w:rPr>
              <w:sz w:val="24"/>
            </w:rPr>
            <w:fldChar w:fldCharType="end"/>
          </w:r>
          <w:r>
            <w:rPr>
              <w:sz w:val="24"/>
            </w:rPr>
            <w:fldChar w:fldCharType="end"/>
          </w:r>
        </w:p>
        <w:p w14:paraId="42F45B6F">
          <w:pPr>
            <w:pStyle w:val="27"/>
            <w:tabs>
              <w:tab w:val="left" w:pos="840"/>
              <w:tab w:val="right" w:leader="dot" w:pos="8495"/>
            </w:tabs>
            <w:spacing w:line="360" w:lineRule="auto"/>
            <w:rPr>
              <w:sz w:val="24"/>
            </w:rPr>
          </w:pPr>
          <w:r>
            <w:fldChar w:fldCharType="begin"/>
          </w:r>
          <w:r>
            <w:instrText xml:space="preserve"> HYPERLINK \l "_Toc132902901" </w:instrText>
          </w:r>
          <w:r>
            <w:fldChar w:fldCharType="separate"/>
          </w:r>
          <w:r>
            <w:rPr>
              <w:rStyle w:val="33"/>
              <w:sz w:val="24"/>
            </w:rPr>
            <w:t>3</w:t>
          </w:r>
          <w:r>
            <w:rPr>
              <w:sz w:val="24"/>
            </w:rPr>
            <w:tab/>
          </w:r>
          <w:r>
            <w:rPr>
              <w:rStyle w:val="33"/>
              <w:sz w:val="24"/>
            </w:rPr>
            <w:t>投资预算</w:t>
          </w:r>
          <w:r>
            <w:rPr>
              <w:sz w:val="24"/>
            </w:rPr>
            <w:tab/>
          </w:r>
          <w:r>
            <w:rPr>
              <w:sz w:val="24"/>
            </w:rPr>
            <w:fldChar w:fldCharType="begin"/>
          </w:r>
          <w:r>
            <w:rPr>
              <w:sz w:val="24"/>
            </w:rPr>
            <w:instrText xml:space="preserve"> PAGEREF _Toc132902901 \h </w:instrText>
          </w:r>
          <w:r>
            <w:rPr>
              <w:sz w:val="24"/>
            </w:rPr>
            <w:fldChar w:fldCharType="separate"/>
          </w:r>
          <w:r>
            <w:rPr>
              <w:sz w:val="24"/>
            </w:rPr>
            <w:t>92</w:t>
          </w:r>
          <w:r>
            <w:rPr>
              <w:sz w:val="24"/>
            </w:rPr>
            <w:fldChar w:fldCharType="end"/>
          </w:r>
          <w:r>
            <w:rPr>
              <w:sz w:val="24"/>
            </w:rPr>
            <w:fldChar w:fldCharType="end"/>
          </w:r>
        </w:p>
        <w:p w14:paraId="33647E47">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"_Toc132902902" </w:instrText>
          </w:r>
          <w:r>
            <w:fldChar w:fldCharType="separate"/>
          </w:r>
          <w:r>
            <w:rPr>
              <w:rStyle w:val="33"/>
              <w:rFonts w:ascii="Times New Roman" w:hAnsi="Times New Roman" w:eastAsia="宋体" w:cs="Times New Roman"/>
              <w:sz w:val="24"/>
              <w:szCs w:val="24"/>
            </w:rPr>
            <w:t>三、附表</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_Toc132902902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93</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14:paraId="314D322D">
          <w:pPr>
            <w:pStyle w:val="23"/>
            <w:tabs>
              <w:tab w:val="right" w:leader="dot" w:pos="8495"/>
            </w:tabs>
            <w:spacing w:line="360" w:lineRule="auto"/>
            <w:rPr>
              <w:rFonts w:ascii="Times New Roman" w:hAnsi="Times New Roman" w:eastAsia="宋体" w:cs="Times New Roman"/>
              <w:b w:val="0"/>
              <w:bCs w:val="0"/>
              <w:kern w:val="2"/>
              <w:sz w:val="24"/>
              <w:szCs w:val="24"/>
            </w:rPr>
          </w:pPr>
          <w:r>
            <w:fldChar w:fldCharType="begin"/>
          </w:r>
          <w:r>
            <w:instrText xml:space="preserve"> HYPERLINK \l "_Toc132902903" </w:instrText>
          </w:r>
          <w:r>
            <w:fldChar w:fldCharType="separate"/>
          </w:r>
          <w:r>
            <w:rPr>
              <w:rStyle w:val="33"/>
              <w:rFonts w:ascii="Times New Roman" w:hAnsi="Times New Roman" w:eastAsia="宋体" w:cs="Times New Roman"/>
              <w:sz w:val="24"/>
              <w:szCs w:val="24"/>
            </w:rPr>
            <w:t>四、图纸</w:t>
          </w:r>
          <w:r>
            <w:rPr>
              <w:rFonts w:ascii="Times New Roman" w:hAnsi="Times New Roman" w:eastAsia="宋体" w:cs="Times New Roman"/>
              <w:sz w:val="24"/>
              <w:szCs w:val="24"/>
            </w:rPr>
            <w:tab/>
          </w:r>
          <w:r>
            <w:rPr>
              <w:rFonts w:ascii="Times New Roman" w:hAnsi="Times New Roman" w:eastAsia="宋体" w:cs="Times New Roman"/>
              <w:sz w:val="24"/>
              <w:szCs w:val="24"/>
            </w:rPr>
            <w:fldChar w:fldCharType="begin"/>
          </w:r>
          <w:r>
            <w:rPr>
              <w:rFonts w:ascii="Times New Roman" w:hAnsi="Times New Roman" w:eastAsia="宋体" w:cs="Times New Roman"/>
              <w:sz w:val="24"/>
              <w:szCs w:val="24"/>
            </w:rPr>
            <w:instrText xml:space="preserve"> PAGEREF _Toc132902903 \h </w:instrText>
          </w:r>
          <w:r>
            <w:rPr>
              <w:rFonts w:ascii="Times New Roman" w:hAnsi="Times New Roman" w:eastAsia="宋体" w:cs="Times New Roman"/>
              <w:sz w:val="24"/>
              <w:szCs w:val="24"/>
            </w:rPr>
            <w:fldChar w:fldCharType="separate"/>
          </w:r>
          <w:r>
            <w:rPr>
              <w:rFonts w:ascii="Times New Roman" w:hAnsi="Times New Roman" w:eastAsia="宋体" w:cs="Times New Roman"/>
              <w:sz w:val="24"/>
              <w:szCs w:val="24"/>
            </w:rPr>
            <w:t>94</w:t>
          </w:r>
          <w:r>
            <w:rPr>
              <w:rFonts w:ascii="Times New Roman" w:hAnsi="Times New Roman" w:eastAsia="宋体" w:cs="Times New Roman"/>
              <w:sz w:val="24"/>
              <w:szCs w:val="24"/>
            </w:rPr>
            <w:fldChar w:fldCharType="end"/>
          </w:r>
          <w:r>
            <w:rPr>
              <w:rFonts w:ascii="Times New Roman" w:hAnsi="Times New Roman" w:eastAsia="宋体" w:cs="Times New Roman"/>
              <w:sz w:val="24"/>
              <w:szCs w:val="24"/>
            </w:rPr>
            <w:fldChar w:fldCharType="end"/>
          </w:r>
        </w:p>
        <w:p w14:paraId="798AADA7">
          <w:pPr>
            <w:pStyle w:val="23"/>
            <w:tabs>
              <w:tab w:val="right" w:leader="dot" w:pos="8495"/>
            </w:tabs>
            <w:spacing w:before="0" w:after="0" w:line="360" w:lineRule="auto"/>
            <w:outlineLvl w:val="9"/>
            <w:rPr>
              <w:rFonts w:hint="eastAsia"/>
              <w:color w:val="000000" w:themeColor="text1"/>
              <w14:textFill>
                <w14:solidFill>
                  <w14:schemeClr w14:val="tx1"/>
                </w14:solidFill>
              </w14:textFill>
            </w:rPr>
          </w:pPr>
          <w:r>
            <w:rPr>
              <w:rFonts w:ascii="Times New Roman" w:hAnsi="Times New Roman" w:eastAsia="宋体" w:cs="Times New Roman"/>
              <w:b w:val="0"/>
              <w:bCs w:val="0"/>
              <w:color w:val="000000" w:themeColor="text1"/>
              <w:sz w:val="24"/>
              <w:szCs w:val="24"/>
              <w:lang w:val="zh-CN"/>
              <w14:textFill>
                <w14:solidFill>
                  <w14:schemeClr w14:val="tx1"/>
                </w14:solidFill>
              </w14:textFill>
            </w:rPr>
            <w:fldChar w:fldCharType="end"/>
          </w:r>
        </w:p>
      </w:sdtContent>
    </w:sdt>
    <w:p w14:paraId="5834E08B">
      <w:pPr>
        <w:pStyle w:val="27"/>
        <w:numPr>
          <w:ilvl w:val="1"/>
          <w:numId w:val="2"/>
        </w:numPr>
        <w:tabs>
          <w:tab w:val="left" w:pos="420"/>
          <w:tab w:val="left" w:pos="840"/>
          <w:tab w:val="right" w:leader="dot" w:pos="8495"/>
        </w:tabs>
        <w:spacing w:line="360" w:lineRule="auto"/>
        <w:ind w:left="420" w:leftChars="0"/>
        <w:rPr>
          <w:color w:val="000000" w:themeColor="text1"/>
          <w:sz w:val="28"/>
          <w:szCs w:val="28"/>
          <w:highlight w:val="yellow"/>
          <w14:textFill>
            <w14:solidFill>
              <w14:schemeClr w14:val="tx1"/>
            </w14:solidFill>
          </w14:textFill>
        </w:rPr>
      </w:pPr>
      <w:bookmarkStart w:id="0" w:name="_Toc429313748"/>
      <w:bookmarkStart w:id="1" w:name="_Toc54086153"/>
      <w:bookmarkStart w:id="2" w:name="_Toc54083554"/>
      <w:bookmarkStart w:id="3" w:name="_Toc472914733"/>
      <w:bookmarkStart w:id="4" w:name="_Toc54086681"/>
      <w:bookmarkStart w:id="5" w:name="_Toc54086630"/>
      <w:bookmarkStart w:id="6" w:name="_Toc9938227"/>
      <w:bookmarkStart w:id="7" w:name="_Toc417651972"/>
      <w:r>
        <w:rPr>
          <w:rFonts w:hint="eastAsia"/>
          <w:color w:val="000000" w:themeColor="text1"/>
          <w:sz w:val="28"/>
          <w:szCs w:val="28"/>
          <w:highlight w:val="yellow"/>
          <w14:textFill>
            <w14:solidFill>
              <w14:schemeClr w14:val="tx1"/>
            </w14:solidFill>
          </w14:textFill>
        </w:rPr>
        <w:t>米仓山隧道2-汉中至巴中方向隧道机柜平面布置及天面示意图(动力配套图)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TT0006-001(3/3)</w:t>
      </w:r>
    </w:p>
    <w:p w14:paraId="7F971E84">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TT0006-002(1/4)</w:t>
      </w:r>
    </w:p>
    <w:p w14:paraId="637AAEFA">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 xml:space="preserve">红军路安全风险预警提示 </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TT0006-002(2/4)</w:t>
      </w:r>
    </w:p>
    <w:p w14:paraId="7497A4ED">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红军路机柜平面布置及天面示意图(动力配套图)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TT0006-002(3/4)</w:t>
      </w:r>
    </w:p>
    <w:p w14:paraId="789F1ED1">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红军路室外电源柜机柜面板示意图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TT0006-002(4/4)</w:t>
      </w:r>
    </w:p>
    <w:p w14:paraId="0B6E288C">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恩阳区凤凰庙村村委旁现场布置图</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TT0006-003(1/4)</w:t>
      </w:r>
    </w:p>
    <w:p w14:paraId="1C1636A3">
      <w:pPr>
        <w:pStyle w:val="27"/>
        <w:numPr>
          <w:ilvl w:val="1"/>
          <w:numId w:val="2"/>
        </w:numPr>
        <w:tabs>
          <w:tab w:val="left" w:pos="420"/>
          <w:tab w:val="left" w:pos="840"/>
          <w:tab w:val="right" w:leader="dot" w:pos="8495"/>
        </w:tabs>
        <w:spacing w:line="360" w:lineRule="auto"/>
        <w:ind w:left="207" w:leftChars="0" w:hanging="207" w:hangingChars="74"/>
        <w:rPr>
          <w:color w:val="000000" w:themeColor="text1"/>
          <w:sz w:val="28"/>
          <w:szCs w:val="28"/>
          <w:highlight w:val="yellow"/>
          <w14:textFill>
            <w14:solidFill>
              <w14:schemeClr w14:val="tx1"/>
            </w14:solidFill>
          </w14:textFill>
        </w:rPr>
      </w:pPr>
      <w:r>
        <w:rPr>
          <w:rFonts w:hint="eastAsia"/>
          <w:color w:val="000000" w:themeColor="text1"/>
          <w:sz w:val="28"/>
          <w:szCs w:val="28"/>
          <w:highlight w:val="yellow"/>
          <w14:textFill>
            <w14:solidFill>
              <w14:schemeClr w14:val="tx1"/>
            </w14:solidFill>
          </w14:textFill>
        </w:rPr>
        <w:t>恩阳区凤凰庙村村委旁安全风险预警提示</w:t>
      </w:r>
      <w:r>
        <w:rPr>
          <w:rFonts w:hint="eastAsia"/>
          <w:color w:val="000000" w:themeColor="text1"/>
          <w:sz w:val="28"/>
          <w:szCs w:val="28"/>
          <w:highlight w:val="yellow"/>
          <w14:textFill>
            <w14:solidFill>
              <w14:schemeClr w14:val="tx1"/>
            </w14:solidFill>
          </w14:textFill>
        </w:rPr>
        <w:tab/>
      </w:r>
      <w:r>
        <w:rPr>
          <w:rFonts w:hint="eastAsia"/>
          <w:color w:val="000000" w:themeColor="text1"/>
          <w:sz w:val="28"/>
          <w:szCs w:val="28"/>
          <w:highlight w:val="yellow"/>
          <w14:textFill>
            <w14:solidFill>
              <w14:schemeClr w14:val="tx1"/>
            </w14:solidFill>
          </w14:textFill>
        </w:rPr>
        <w:t>TT0006-003(2/4)</w:t>
      </w:r>
    </w:p>
    <w:p w14:paraId="1B3AD266">
      <w:pPr>
        <w:spacing w:line="360" w:lineRule="auto"/>
        <w:outlineLvl w:val="0"/>
        <w:rPr>
          <w:color w:val="000000" w:themeColor="text1"/>
          <w:sz w:val="28"/>
          <w:szCs w:val="28"/>
          <w14:textFill>
            <w14:solidFill>
              <w14:schemeClr w14:val="tx1"/>
            </w14:solidFill>
          </w14:textFill>
        </w:rPr>
      </w:pPr>
    </w:p>
    <w:p w14:paraId="3AA65BF6">
      <w:pPr>
        <w:rPr>
          <w:rFonts w:hint="eastAsia" w:ascii="黑体" w:hAnsi="黑体" w:eastAsia="黑体"/>
          <w:sz w:val="28"/>
          <w:szCs w:val="28"/>
        </w:rPr>
      </w:pPr>
    </w:p>
    <w:p w14:paraId="1B22BC18">
      <w:pPr>
        <w:tabs>
          <w:tab w:val="left" w:pos="4767"/>
        </w:tabs>
        <w:rPr>
          <w:rFonts w:hint="eastAsia" w:ascii="黑体" w:hAnsi="黑体" w:eastAsia="黑体"/>
          <w:sz w:val="28"/>
          <w:szCs w:val="28"/>
        </w:rPr>
      </w:pPr>
      <w:r>
        <w:rPr>
          <w:rFonts w:ascii="黑体" w:hAnsi="黑体" w:eastAsia="黑体"/>
          <w:sz w:val="28"/>
          <w:szCs w:val="28"/>
        </w:rPr>
        <w:tab/>
      </w:r>
    </w:p>
    <w:p w14:paraId="659C16A8">
      <w:pPr>
        <w:tabs>
          <w:tab w:val="left" w:pos="4767"/>
        </w:tabs>
        <w:rPr>
          <w:rFonts w:hint="eastAsia" w:ascii="黑体" w:hAnsi="黑体" w:eastAsia="黑体"/>
          <w:sz w:val="28"/>
          <w:szCs w:val="28"/>
        </w:rPr>
        <w:sectPr>
          <w:footerReference r:id="rId9" w:type="default"/>
          <w:pgSz w:w="11907" w:h="16840"/>
          <w:pgMar w:top="1588" w:right="1701" w:bottom="1361" w:left="1701" w:header="1021" w:footer="1134" w:gutter="0"/>
          <w:pgNumType w:start="1"/>
          <w:cols w:space="425" w:num="1"/>
          <w:docGrid w:linePitch="380" w:charSpace="0"/>
        </w:sectPr>
      </w:pPr>
      <w:r>
        <w:rPr>
          <w:rFonts w:ascii="黑体" w:hAnsi="黑体" w:eastAsia="黑体"/>
          <w:sz w:val="28"/>
          <w:szCs w:val="28"/>
        </w:rPr>
        <w:tab/>
      </w:r>
    </w:p>
    <w:p w14:paraId="13E07640">
      <w:pPr>
        <w:spacing w:line="360" w:lineRule="auto"/>
        <w:outlineLvl w:val="0"/>
        <w:rPr>
          <w:rFonts w:hint="eastAsia" w:ascii="黑体" w:hAnsi="黑体" w:eastAsia="黑体"/>
          <w:bCs/>
          <w:color w:val="000000" w:themeColor="text1"/>
          <w:sz w:val="28"/>
          <w:szCs w:val="28"/>
          <w14:textFill>
            <w14:solidFill>
              <w14:schemeClr w14:val="tx1"/>
            </w14:solidFill>
          </w14:textFill>
        </w:rPr>
      </w:pPr>
      <w:bookmarkStart w:id="8" w:name="_Toc22324008"/>
      <w:bookmarkStart w:id="9" w:name="_Toc132902821"/>
      <w:bookmarkStart w:id="10" w:name="_Toc19087176"/>
      <w:r>
        <w:rPr>
          <w:rFonts w:ascii="黑体" w:hAnsi="黑体" w:eastAsia="黑体"/>
          <w:bCs/>
          <w:color w:val="000000" w:themeColor="text1"/>
          <w:sz w:val="28"/>
          <w:szCs w:val="28"/>
          <w14:textFill>
            <w14:solidFill>
              <w14:schemeClr w14:val="tx1"/>
            </w14:solidFill>
          </w14:textFill>
        </w:rPr>
        <w:t>一、设计说明</w:t>
      </w:r>
      <w:bookmarkEnd w:id="8"/>
      <w:bookmarkEnd w:id="9"/>
      <w:bookmarkEnd w:id="10"/>
    </w:p>
    <w:p w14:paraId="25253744">
      <w:pPr>
        <w:pStyle w:val="45"/>
        <w:rPr>
          <w:rFonts w:hint="eastAsia" w:ascii="黑体" w:hAnsi="黑体" w:cs="Times New Roman"/>
          <w:color w:val="000000" w:themeColor="text1"/>
          <w:sz w:val="28"/>
          <w:szCs w:val="28"/>
          <w14:textFill>
            <w14:solidFill>
              <w14:schemeClr w14:val="tx1"/>
            </w14:solidFill>
          </w14:textFill>
        </w:rPr>
      </w:pPr>
      <w:bookmarkStart w:id="11" w:name="_Toc132902822"/>
      <w:bookmarkStart w:id="12" w:name="_Toc19087177"/>
      <w:bookmarkStart w:id="13" w:name="_Toc22324009"/>
      <w:r>
        <w:rPr>
          <w:rFonts w:ascii="黑体" w:hAnsi="黑体" w:cs="Times New Roman"/>
          <w:color w:val="000000" w:themeColor="text1"/>
          <w:sz w:val="28"/>
          <w:szCs w:val="28"/>
          <w14:textFill>
            <w14:solidFill>
              <w14:schemeClr w14:val="tx1"/>
            </w14:solidFill>
          </w14:textFill>
        </w:rPr>
        <w:t xml:space="preserve">1 </w:t>
      </w:r>
      <w:r>
        <w:rPr>
          <w:rFonts w:hint="eastAsia" w:ascii="黑体" w:hAnsi="黑体" w:cs="Times New Roman"/>
          <w:color w:val="000000" w:themeColor="text1"/>
          <w:sz w:val="28"/>
          <w:szCs w:val="28"/>
          <w14:textFill>
            <w14:solidFill>
              <w14:schemeClr w14:val="tx1"/>
            </w14:solidFill>
          </w14:textFill>
        </w:rPr>
        <w:t>项目</w:t>
      </w:r>
      <w:r>
        <w:rPr>
          <w:rFonts w:ascii="黑体" w:hAnsi="黑体" w:cs="Times New Roman"/>
          <w:color w:val="000000" w:themeColor="text1"/>
          <w:sz w:val="28"/>
          <w:szCs w:val="28"/>
          <w14:textFill>
            <w14:solidFill>
              <w14:schemeClr w14:val="tx1"/>
            </w14:solidFill>
          </w14:textFill>
        </w:rPr>
        <w:t>概述</w:t>
      </w:r>
      <w:bookmarkEnd w:id="0"/>
      <w:bookmarkEnd w:id="1"/>
      <w:bookmarkEnd w:id="2"/>
      <w:bookmarkEnd w:id="3"/>
      <w:bookmarkEnd w:id="4"/>
      <w:bookmarkEnd w:id="5"/>
      <w:bookmarkEnd w:id="6"/>
      <w:bookmarkEnd w:id="7"/>
      <w:bookmarkEnd w:id="11"/>
      <w:bookmarkEnd w:id="12"/>
      <w:bookmarkEnd w:id="13"/>
    </w:p>
    <w:p w14:paraId="1FC5E028">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本期工程是铁塔公司基站电源配套设计项目，项目名称为20XX年XX铁塔XX季度基站工程动力配套部分一阶段设计。</w:t>
      </w:r>
    </w:p>
    <w:p w14:paraId="053517B5">
      <w:pPr>
        <w:spacing w:line="360" w:lineRule="auto"/>
        <w:ind w:firstLine="480"/>
        <w:rPr>
          <w:rFonts w:hint="eastAsia" w:ascii="宋体" w:hAnsi="宋体" w:cs="宋体"/>
          <w:color w:val="000000" w:themeColor="text1"/>
          <w:sz w:val="24"/>
          <w:highlight w:val="yellow"/>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本期项目共收到运营商建设需求XX站，确认建设需求XX站，完成设计批复XX站。</w:t>
      </w:r>
    </w:p>
    <w:p w14:paraId="60DB1E91">
      <w:pPr>
        <w:spacing w:line="360" w:lineRule="auto"/>
        <w:ind w:firstLine="480"/>
        <w:rPr>
          <w:rFonts w:hint="eastAsia" w:ascii="宋体" w:hAnsi="宋体" w:cs="宋体"/>
          <w:color w:val="000000" w:themeColor="text1"/>
          <w:sz w:val="24"/>
          <w14:textFill>
            <w14:solidFill>
              <w14:schemeClr w14:val="tx1"/>
            </w14:solidFill>
          </w14:textFill>
        </w:rPr>
      </w:pPr>
      <w:r>
        <w:rPr>
          <w:rFonts w:hint="eastAsia" w:ascii="宋体" w:hAnsi="宋体" w:cs="宋体"/>
          <w:color w:val="000000" w:themeColor="text1"/>
          <w:sz w:val="24"/>
          <w:highlight w:val="yellow"/>
          <w14:textFill>
            <w14:solidFill>
              <w14:schemeClr w14:val="tx1"/>
            </w14:solidFill>
          </w14:textFill>
        </w:rPr>
        <w:t>本项目含税总投资</w:t>
      </w:r>
      <w:r>
        <w:rPr>
          <w:rFonts w:ascii="宋体" w:hAnsi="宋体" w:cs="宋体"/>
          <w:color w:val="000000" w:themeColor="text1"/>
          <w:sz w:val="24"/>
          <w:highlight w:val="yellow"/>
          <w14:textFill>
            <w14:solidFill>
              <w14:schemeClr w14:val="tx1"/>
            </w14:solidFill>
          </w14:textFill>
        </w:rPr>
        <w:t>XX</w:t>
      </w:r>
      <w:r>
        <w:rPr>
          <w:rFonts w:hint="eastAsia" w:ascii="宋体" w:hAnsi="宋体" w:cs="宋体"/>
          <w:color w:val="000000" w:themeColor="text1"/>
          <w:sz w:val="24"/>
          <w:highlight w:val="yellow"/>
          <w14:textFill>
            <w14:solidFill>
              <w14:schemeClr w14:val="tx1"/>
            </w14:solidFill>
          </w14:textFill>
        </w:rPr>
        <w:t>万元。</w:t>
      </w:r>
    </w:p>
    <w:p w14:paraId="51309A22">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 w:name="_Toc54086154"/>
      <w:bookmarkStart w:id="15" w:name="_Toc429313749"/>
      <w:bookmarkStart w:id="16" w:name="_Toc54086631"/>
      <w:bookmarkStart w:id="17" w:name="_Toc9938228"/>
      <w:bookmarkStart w:id="18" w:name="_Toc19087178"/>
      <w:bookmarkStart w:id="19" w:name="_Toc18077800"/>
      <w:bookmarkStart w:id="20" w:name="_Toc54086682"/>
      <w:bookmarkStart w:id="21" w:name="_Toc472914734"/>
      <w:bookmarkStart w:id="22" w:name="_Toc21099"/>
      <w:bookmarkStart w:id="23" w:name="_Toc54083555"/>
      <w:bookmarkStart w:id="24" w:name="_Toc132902823"/>
      <w:bookmarkStart w:id="25" w:name="_Toc417651973"/>
      <w:bookmarkStart w:id="26" w:name="_Toc22324010"/>
      <w:bookmarkStart w:id="27" w:name="_Toc24914"/>
      <w:bookmarkStart w:id="28" w:name="_Toc27409"/>
      <w:bookmarkStart w:id="29" w:name="_Toc429313750"/>
      <w:bookmarkStart w:id="30" w:name="_Toc11659631"/>
      <w:bookmarkStart w:id="31" w:name="_Toc472914761"/>
      <w:bookmarkStart w:id="32" w:name="_Toc12085044"/>
      <w:bookmarkStart w:id="33" w:name="_Toc12085110"/>
      <w:bookmarkStart w:id="34" w:name="_Toc12085226"/>
      <w:bookmarkStart w:id="35" w:name="_Toc12085043"/>
      <w:bookmarkStart w:id="36" w:name="_Toc12085267"/>
      <w:bookmarkStart w:id="37" w:name="_Toc11659630"/>
      <w:bookmarkStart w:id="38" w:name="_Toc12085144"/>
      <w:bookmarkStart w:id="39" w:name="_Toc13564200"/>
      <w:bookmarkStart w:id="40" w:name="_Toc13285497"/>
      <w:bookmarkStart w:id="41" w:name="_Toc456772925"/>
      <w:r>
        <w:rPr>
          <w:rFonts w:ascii="黑体" w:hAnsi="黑体" w:eastAsia="黑体" w:cs="Times New Roman"/>
          <w:color w:val="000000" w:themeColor="text1"/>
          <w:sz w:val="28"/>
          <w:szCs w:val="28"/>
          <w14:textFill>
            <w14:solidFill>
              <w14:schemeClr w14:val="tx1"/>
            </w14:solidFill>
          </w14:textFill>
        </w:rPr>
        <w:t>设计依据</w:t>
      </w:r>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14:paraId="5095F50C">
      <w:pPr>
        <w:pStyle w:val="43"/>
        <w:numPr>
          <w:ilvl w:val="1"/>
          <w:numId w:val="3"/>
        </w:numPr>
        <w:tabs>
          <w:tab w:val="clear" w:pos="988"/>
        </w:tabs>
        <w:ind w:left="0" w:firstLine="480"/>
        <w:rPr>
          <w:rFonts w:cs="Times New Roman"/>
          <w:bCs/>
          <w:color w:val="000000" w:themeColor="text1"/>
          <w14:textFill>
            <w14:solidFill>
              <w14:schemeClr w14:val="tx1"/>
            </w14:solidFill>
          </w14:textFill>
        </w:rPr>
      </w:pPr>
      <w:bookmarkStart w:id="42" w:name="_Toc54086632"/>
      <w:bookmarkStart w:id="43" w:name="_Toc54083556"/>
      <w:bookmarkStart w:id="44" w:name="_Toc472914735"/>
      <w:bookmarkStart w:id="45" w:name="_Toc54086683"/>
      <w:bookmarkStart w:id="46" w:name="_Toc54086155"/>
      <w:bookmarkStart w:id="47" w:name="_Toc9938229"/>
      <w:r>
        <w:rPr>
          <w:rFonts w:cs="Times New Roman"/>
          <w:bCs/>
          <w:color w:val="000000" w:themeColor="text1"/>
          <w14:textFill>
            <w14:solidFill>
              <w14:schemeClr w14:val="tx1"/>
            </w14:solidFill>
          </w14:textFill>
        </w:rPr>
        <w:t>《通信工程设计文件编制规定》（YD/T 5211-2014）；</w:t>
      </w:r>
    </w:p>
    <w:p w14:paraId="23E6C060">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《建设工程安全生产管理条例》（国务院393号令）；</w:t>
      </w:r>
    </w:p>
    <w:p w14:paraId="666EF5BE">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《中华人民共和国工程建设标准强制性条文》</w:t>
      </w:r>
      <w:r>
        <w:rPr>
          <w:rFonts w:hint="eastAsia" w:cs="Times New Roman"/>
          <w:bCs/>
          <w:color w:val="000000" w:themeColor="text1"/>
          <w14:textFill>
            <w14:solidFill>
              <w14:schemeClr w14:val="tx1"/>
            </w14:solidFill>
          </w14:textFill>
        </w:rPr>
        <w:t>信息工程部分</w:t>
      </w:r>
      <w:r>
        <w:rPr>
          <w:rFonts w:cs="Times New Roman"/>
          <w:bCs/>
          <w:color w:val="000000" w:themeColor="text1"/>
          <w14:textFill>
            <w14:solidFill>
              <w14:schemeClr w14:val="tx1"/>
            </w14:solidFill>
          </w14:textFill>
        </w:rPr>
        <w:t>；</w:t>
      </w:r>
    </w:p>
    <w:p w14:paraId="49D6762E">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《中华人民共和国安全生产法（最新修正版）》</w:t>
      </w:r>
      <w:r>
        <w:rPr>
          <w:rFonts w:hint="eastAsia" w:cs="Times New Roman"/>
          <w:bCs/>
          <w:color w:val="000000" w:themeColor="text1"/>
          <w14:textFill>
            <w14:solidFill>
              <w14:schemeClr w14:val="tx1"/>
            </w14:solidFill>
          </w14:textFill>
        </w:rPr>
        <w:t>；</w:t>
      </w:r>
    </w:p>
    <w:p w14:paraId="43809BBA">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w:t>
      </w:r>
      <w:r>
        <w:rPr>
          <w:rFonts w:hint="eastAsia"/>
          <w:bCs/>
          <w:color w:val="000000"/>
        </w:rPr>
        <w:t>通信建设工程安全生产操作规范</w:t>
      </w:r>
      <w:r>
        <w:rPr>
          <w:rFonts w:hint="eastAsia" w:cs="Times New Roman"/>
          <w:bCs/>
          <w:color w:val="000000" w:themeColor="text1"/>
          <w14:textFill>
            <w14:solidFill>
              <w14:schemeClr w14:val="tx1"/>
            </w14:solidFill>
          </w14:textFill>
        </w:rPr>
        <w:t>》（YD 5201－2014）；</w:t>
      </w:r>
    </w:p>
    <w:p w14:paraId="37E3005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《通信建设工程安全生产管理规定》工信部通信[2015]406号；</w:t>
      </w:r>
    </w:p>
    <w:p w14:paraId="1A9003C9">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《通信局站共建共享技术规范》（GB/T 51125-2015）</w:t>
      </w:r>
      <w:r>
        <w:rPr>
          <w:rFonts w:hint="eastAsia" w:cs="Times New Roman"/>
          <w:bCs/>
          <w:color w:val="000000" w:themeColor="text1"/>
          <w14:textFill>
            <w14:solidFill>
              <w14:schemeClr w14:val="tx1"/>
            </w14:solidFill>
          </w14:textFill>
        </w:rPr>
        <w:t>；</w:t>
      </w:r>
    </w:p>
    <w:p w14:paraId="21EE0020">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《通信电源设备安装</w:t>
      </w:r>
      <w:r>
        <w:rPr>
          <w:rFonts w:hint="eastAsia" w:cs="Times New Roman"/>
          <w:bCs/>
          <w:color w:val="000000" w:themeColor="text1"/>
          <w14:textFill>
            <w14:solidFill>
              <w14:schemeClr w14:val="tx1"/>
            </w14:solidFill>
          </w14:textFill>
        </w:rPr>
        <w:t>工程</w:t>
      </w:r>
      <w:r>
        <w:rPr>
          <w:rFonts w:cs="Times New Roman"/>
          <w:bCs/>
          <w:color w:val="000000" w:themeColor="text1"/>
          <w14:textFill>
            <w14:solidFill>
              <w14:schemeClr w14:val="tx1"/>
            </w14:solidFill>
          </w14:textFill>
        </w:rPr>
        <w:t>设计规范》（GB 51194-2016）；</w:t>
      </w:r>
    </w:p>
    <w:p w14:paraId="428797C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《通信电源设备安装工程验收规范》（GB 51199-2016）；</w:t>
      </w:r>
    </w:p>
    <w:p w14:paraId="66D58F9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《通信局（站）电源系统总技术要求》（YD/T 1051-2018）；</w:t>
      </w:r>
    </w:p>
    <w:p w14:paraId="29F1A05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《通信局（站）防雷与接地工程设计规范》（GB50689-2011）；</w:t>
      </w:r>
    </w:p>
    <w:p w14:paraId="35A019D2">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《通信局(站)防雷与接地工程验收规范》 （GB5</w:t>
      </w:r>
      <w:r>
        <w:t>1120</w:t>
      </w:r>
      <w:r>
        <w:rPr>
          <w:rFonts w:hint="eastAsia"/>
        </w:rPr>
        <w:t>-201</w:t>
      </w:r>
      <w:r>
        <w:t>5</w:t>
      </w:r>
      <w:r>
        <w:rPr>
          <w:rFonts w:hint="eastAsia"/>
        </w:rPr>
        <w:t>）</w:t>
      </w:r>
      <w:r>
        <w:rPr>
          <w:rFonts w:cs="Times New Roman"/>
          <w:bCs/>
          <w:color w:val="000000" w:themeColor="text1"/>
          <w14:textFill>
            <w14:solidFill>
              <w14:schemeClr w14:val="tx1"/>
            </w14:solidFill>
          </w14:textFill>
        </w:rPr>
        <w:t>；</w:t>
      </w:r>
    </w:p>
    <w:p w14:paraId="5A0B5153">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《通信建筑工程设计规范》（</w:t>
      </w:r>
      <w:r>
        <w:rPr>
          <w:rFonts w:cs="Times New Roman"/>
          <w:bCs/>
          <w:color w:val="000000" w:themeColor="text1"/>
          <w14:textFill>
            <w14:solidFill>
              <w14:schemeClr w14:val="tx1"/>
            </w14:solidFill>
          </w14:textFill>
        </w:rPr>
        <w:t>YD 5003-2014</w:t>
      </w:r>
      <w:r>
        <w:rPr>
          <w:rFonts w:hint="eastAsia" w:cs="Times New Roman"/>
          <w:bCs/>
          <w:color w:val="000000" w:themeColor="text1"/>
          <w14:textFill>
            <w14:solidFill>
              <w14:schemeClr w14:val="tx1"/>
            </w14:solidFill>
          </w14:textFill>
        </w:rPr>
        <w:t>）；</w:t>
      </w:r>
    </w:p>
    <w:p w14:paraId="7F3BB44A">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《建筑设计防火规范(2018年版)》（GB 50016-2014）；</w:t>
      </w:r>
    </w:p>
    <w:p w14:paraId="3080849A">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《通信机房防火封堵安全技术要求》（YD/T 2199-2010）；</w:t>
      </w:r>
    </w:p>
    <w:p w14:paraId="4D6BDC64">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《通信建筑抗震设防分类标准》（YD</w:t>
      </w:r>
      <w:r>
        <w:rPr>
          <w:rFonts w:cs="Times New Roman"/>
          <w:bCs/>
          <w:color w:val="000000" w:themeColor="text1"/>
          <w14:textFill>
            <w14:solidFill>
              <w14:schemeClr w14:val="tx1"/>
            </w14:solidFill>
          </w14:textFill>
        </w:rPr>
        <w:t>/T</w:t>
      </w:r>
      <w:r>
        <w:rPr>
          <w:rFonts w:hint="eastAsia" w:cs="Times New Roman"/>
          <w:bCs/>
          <w:color w:val="000000" w:themeColor="text1"/>
          <w14:textFill>
            <w14:solidFill>
              <w14:schemeClr w14:val="tx1"/>
            </w14:solidFill>
          </w14:textFill>
        </w:rPr>
        <w:t xml:space="preserve"> 5054-201</w:t>
      </w:r>
      <w:r>
        <w:rPr>
          <w:rFonts w:cs="Times New Roman"/>
          <w:bCs/>
          <w:color w:val="000000" w:themeColor="text1"/>
          <w14:textFill>
            <w14:solidFill>
              <w14:schemeClr w14:val="tx1"/>
            </w14:solidFill>
          </w14:textFill>
        </w:rPr>
        <w:t>9</w:t>
      </w:r>
      <w:r>
        <w:rPr>
          <w:rFonts w:hint="eastAsia" w:cs="Times New Roman"/>
          <w:bCs/>
          <w:color w:val="000000" w:themeColor="text1"/>
          <w14:textFill>
            <w14:solidFill>
              <w14:schemeClr w14:val="tx1"/>
            </w14:solidFill>
          </w14:textFill>
        </w:rPr>
        <w:t>）；</w:t>
      </w:r>
    </w:p>
    <w:p w14:paraId="3DF2B70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《通信设备安装工程抗震设计标准》（</w:t>
      </w:r>
      <w:r>
        <w:t>GB/T 51369-2019</w:t>
      </w:r>
      <w:r>
        <w:rPr>
          <w:rFonts w:hint="eastAsia"/>
        </w:rPr>
        <w:t>）；</w:t>
      </w:r>
    </w:p>
    <w:p w14:paraId="2363709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《信息通信机房槽架安装设计规范》（YD/T 5026-2</w:t>
      </w:r>
      <w:r>
        <w:rPr>
          <w:rFonts w:cs="Times New Roman"/>
          <w:bCs/>
          <w:color w:val="000000" w:themeColor="text1"/>
          <w14:textFill>
            <w14:solidFill>
              <w14:schemeClr w14:val="tx1"/>
            </w14:solidFill>
          </w14:textFill>
        </w:rPr>
        <w:t>021</w:t>
      </w:r>
      <w:r>
        <w:rPr>
          <w:rFonts w:hint="eastAsia" w:cs="Times New Roman"/>
          <w:bCs/>
          <w:color w:val="000000" w:themeColor="text1"/>
          <w14:textFill>
            <w14:solidFill>
              <w14:schemeClr w14:val="tx1"/>
            </w14:solidFill>
          </w14:textFill>
        </w:rPr>
        <w:t>）；</w:t>
      </w:r>
    </w:p>
    <w:p w14:paraId="38E21DED">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《通信设备安装工程施工监理规范》（YD 5125-2014）；</w:t>
      </w:r>
    </w:p>
    <w:p w14:paraId="55A2F03A">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《通信建设工程施工安全监理暂行规定》（YD 5204-2014）；</w:t>
      </w:r>
    </w:p>
    <w:p w14:paraId="66E6C6D2">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rPr>
        <w:t>《通信局(站)节能设计规范》（YD/T</w:t>
      </w:r>
      <w:r>
        <w:t xml:space="preserve"> </w:t>
      </w:r>
      <w:r>
        <w:rPr>
          <w:rFonts w:hint="eastAsia"/>
        </w:rPr>
        <w:t>5184-20</w:t>
      </w:r>
      <w:r>
        <w:t>18</w:t>
      </w:r>
      <w:r>
        <w:rPr>
          <w:rFonts w:hint="eastAsia" w:cs="Times New Roman"/>
          <w:bCs/>
          <w:color w:val="000000" w:themeColor="text1"/>
          <w14:textFill>
            <w14:solidFill>
              <w14:schemeClr w14:val="tx1"/>
            </w14:solidFill>
          </w14:textFill>
        </w:rPr>
        <w:t>）；</w:t>
      </w:r>
    </w:p>
    <w:p w14:paraId="3E6659C1">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hint="eastAsia" w:cs="Times New Roman"/>
          <w:bCs/>
          <w:color w:val="000000" w:themeColor="text1"/>
          <w14:textFill>
            <w14:solidFill>
              <w14:schemeClr w14:val="tx1"/>
            </w14:solidFill>
          </w14:textFill>
        </w:rPr>
        <w:t>《通信建设工程节能与环境保护监理暂行规定》（YD 5205-2014）；</w:t>
      </w:r>
    </w:p>
    <w:p w14:paraId="778E176D">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w:t>
      </w:r>
      <w:r>
        <w:rPr>
          <w:rFonts w:hint="eastAsia" w:cs="Times New Roman"/>
          <w:bCs/>
          <w:color w:val="000000" w:themeColor="text1"/>
          <w14:textFill>
            <w14:solidFill>
              <w14:schemeClr w14:val="tx1"/>
            </w14:solidFill>
          </w14:textFill>
        </w:rPr>
        <w:t>通信工程建设环境保护技术标准</w:t>
      </w:r>
      <w:r>
        <w:rPr>
          <w:rFonts w:cs="Times New Roman"/>
          <w:bCs/>
          <w:color w:val="000000" w:themeColor="text1"/>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cs="Times New Roman"/>
          <w:bCs/>
          <w:color w:val="000000" w:themeColor="text1"/>
          <w14:textFill>
            <w14:solidFill>
              <w14:schemeClr w14:val="tx1"/>
            </w14:solidFill>
          </w14:textFill>
        </w:rPr>
        <w:t>GB/T 51391-2</w:t>
      </w:r>
      <w:r>
        <w:rPr>
          <w:rFonts w:hint="eastAsia" w:cs="Times New Roman"/>
          <w:bCs/>
          <w:color w:val="000000" w:themeColor="text1"/>
          <w14:textFill>
            <w14:solidFill>
              <w14:schemeClr w14:val="tx1"/>
            </w14:solidFill>
          </w14:textFill>
        </w:rPr>
        <w:fldChar w:fldCharType="end"/>
      </w:r>
      <w:r>
        <w:rPr>
          <w:rFonts w:cs="Times New Roman"/>
          <w:bCs/>
          <w:color w:val="000000" w:themeColor="text1"/>
          <w14:textFill>
            <w14:solidFill>
              <w14:schemeClr w14:val="tx1"/>
            </w14:solidFill>
          </w14:textFill>
        </w:rPr>
        <w:t>019）；</w:t>
      </w:r>
    </w:p>
    <w:bookmarkEnd w:id="42"/>
    <w:bookmarkEnd w:id="43"/>
    <w:bookmarkEnd w:id="44"/>
    <w:bookmarkEnd w:id="45"/>
    <w:bookmarkEnd w:id="46"/>
    <w:bookmarkEnd w:id="47"/>
    <w:p w14:paraId="2125BA65">
      <w:pPr>
        <w:pStyle w:val="43"/>
        <w:numPr>
          <w:ilvl w:val="1"/>
          <w:numId w:val="3"/>
        </w:numPr>
        <w:tabs>
          <w:tab w:val="clear" w:pos="988"/>
        </w:tabs>
        <w:ind w:left="0" w:firstLine="480"/>
        <w:rPr>
          <w:rFonts w:cs="Times New Roman"/>
          <w:bCs/>
          <w:color w:val="000000" w:themeColor="text1"/>
          <w14:textFill>
            <w14:solidFill>
              <w14:schemeClr w14:val="tx1"/>
            </w14:solidFill>
          </w14:textFill>
        </w:rPr>
      </w:pPr>
      <w:r>
        <w:rPr>
          <w:rFonts w:cs="Times New Roman"/>
          <w:bCs/>
          <w:color w:val="000000" w:themeColor="text1"/>
          <w14:textFill>
            <w14:solidFill>
              <w14:schemeClr w14:val="tx1"/>
            </w14:solidFill>
          </w14:textFill>
        </w:rPr>
        <w:t>《电磁环境控制限值》(GB 8702-2014)</w:t>
      </w:r>
      <w:r>
        <w:rPr>
          <w:rFonts w:hint="eastAsia" w:cs="Times New Roman"/>
          <w:bCs/>
          <w:color w:val="000000" w:themeColor="text1"/>
          <w14:textFill>
            <w14:solidFill>
              <w14:schemeClr w14:val="tx1"/>
            </w14:solidFill>
          </w14:textFill>
        </w:rPr>
        <w:t>；</w:t>
      </w:r>
    </w:p>
    <w:p w14:paraId="3F6C69AB">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中国铁塔、中国移动、中国联通、中国电信等运营商提供的相关行业、企业标准、规范；</w:t>
      </w:r>
    </w:p>
    <w:p w14:paraId="3D1E88B5">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中国铁塔有限公司关于模块化设计的若干规定；</w:t>
      </w:r>
    </w:p>
    <w:p w14:paraId="576F5B73">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中国铁塔股份有限公司云南省分公司20</w:t>
      </w:r>
      <w:r>
        <w:rPr>
          <w:rFonts w:cs="Times New Roman"/>
          <w:color w:val="000000" w:themeColor="text1"/>
          <w14:textFill>
            <w14:solidFill>
              <w14:schemeClr w14:val="tx1"/>
            </w14:solidFill>
          </w14:textFill>
        </w:rPr>
        <w:t>2</w:t>
      </w:r>
      <w:r>
        <w:rPr>
          <w:rFonts w:hint="eastAsia" w:cs="Times New Roman"/>
          <w:color w:val="000000" w:themeColor="text1"/>
          <w14:textFill>
            <w14:solidFill>
              <w14:schemeClr w14:val="tx1"/>
            </w14:solidFill>
          </w14:textFill>
        </w:rPr>
        <w:t>2年建设方案指导意见；</w:t>
      </w:r>
    </w:p>
    <w:p w14:paraId="6614207E">
      <w:pPr>
        <w:pStyle w:val="43"/>
        <w:numPr>
          <w:ilvl w:val="1"/>
          <w:numId w:val="3"/>
        </w:numPr>
        <w:tabs>
          <w:tab w:val="clear" w:pos="988"/>
        </w:tabs>
        <w:ind w:left="0" w:firstLine="480"/>
        <w:jc w:val="both"/>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《工业和信息化部、国务院国有资产监督管理委员会关于推进电信基础设施共建共享 支撑5G网络加快建设发展的实施意见》工信部联通信函【20</w:t>
      </w:r>
      <w:r>
        <w:rPr>
          <w:rFonts w:cs="Times New Roman"/>
          <w:color w:val="000000" w:themeColor="text1"/>
          <w14:textFill>
            <w14:solidFill>
              <w14:schemeClr w14:val="tx1"/>
            </w14:solidFill>
          </w14:textFill>
        </w:rPr>
        <w:t>20</w:t>
      </w:r>
      <w:r>
        <w:rPr>
          <w:rFonts w:hint="eastAsia" w:cs="Times New Roman"/>
          <w:color w:val="000000" w:themeColor="text1"/>
          <w14:textFill>
            <w14:solidFill>
              <w14:schemeClr w14:val="tx1"/>
            </w14:solidFill>
          </w14:textFill>
        </w:rPr>
        <w:t>】</w:t>
      </w:r>
      <w:r>
        <w:rPr>
          <w:rFonts w:cs="Times New Roman"/>
          <w:color w:val="000000" w:themeColor="text1"/>
          <w14:textFill>
            <w14:solidFill>
              <w14:schemeClr w14:val="tx1"/>
            </w14:solidFill>
          </w14:textFill>
        </w:rPr>
        <w:t>78</w:t>
      </w:r>
      <w:r>
        <w:rPr>
          <w:rFonts w:hint="eastAsia" w:cs="Times New Roman"/>
          <w:color w:val="000000" w:themeColor="text1"/>
          <w14:textFill>
            <w14:solidFill>
              <w14:schemeClr w14:val="tx1"/>
            </w14:solidFill>
          </w14:textFill>
        </w:rPr>
        <w:t>号；</w:t>
      </w:r>
    </w:p>
    <w:p w14:paraId="2D2F7A2F">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中华人民共和国国务院令第541号《森林防火条例》；</w:t>
      </w:r>
    </w:p>
    <w:p w14:paraId="116F32F2">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中华人民共和国国务院令第542号《草原防火条例》；</w:t>
      </w:r>
    </w:p>
    <w:p w14:paraId="72022788">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《中华人民共和国网络安全法》</w:t>
      </w:r>
    </w:p>
    <w:p w14:paraId="57B38065">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通信网络安全防护管理办法</w:t>
      </w:r>
      <w:r>
        <w:rPr>
          <w:rFonts w:hint="eastAsia" w:cs="Times New Roman"/>
          <w:color w:val="000000" w:themeColor="text1"/>
          <w14:textFill>
            <w14:solidFill>
              <w14:schemeClr w14:val="tx1"/>
            </w14:solidFill>
          </w14:textFill>
        </w:rPr>
        <w:t>》</w:t>
      </w:r>
    </w:p>
    <w:p w14:paraId="1C51836D">
      <w:pPr>
        <w:pStyle w:val="43"/>
        <w:numPr>
          <w:ilvl w:val="1"/>
          <w:numId w:val="3"/>
        </w:numPr>
        <w:tabs>
          <w:tab w:val="clear" w:pos="988"/>
        </w:tabs>
        <w:ind w:left="0" w:firstLine="480"/>
        <w:rPr>
          <w:rFonts w:cs="Times New Roman"/>
          <w:color w:val="000000" w:themeColor="text1"/>
          <w14:textFill>
            <w14:solidFill>
              <w14:schemeClr w14:val="tx1"/>
            </w14:solidFill>
          </w14:textFill>
        </w:rPr>
      </w:pPr>
      <w:r>
        <w:rPr>
          <w:rFonts w:hint="eastAsia" w:cs="Times New Roman"/>
          <w:color w:val="000000" w:themeColor="text1"/>
          <w14:textFill>
            <w14:solidFill>
              <w14:schemeClr w14:val="tx1"/>
            </w14:solidFill>
          </w14:textFill>
        </w:rPr>
        <w:t>《</w:t>
      </w:r>
      <w:r>
        <w:t>电信和互联网用户个人信息保护规定</w:t>
      </w:r>
      <w:r>
        <w:rPr>
          <w:rFonts w:hint="eastAsia" w:cs="Times New Roman"/>
          <w:color w:val="000000" w:themeColor="text1"/>
          <w14:textFill>
            <w14:solidFill>
              <w14:schemeClr w14:val="tx1"/>
            </w14:solidFill>
          </w14:textFill>
        </w:rPr>
        <w:t>》</w:t>
      </w:r>
    </w:p>
    <w:p w14:paraId="7E2BB32D">
      <w:pPr>
        <w:pStyle w:val="43"/>
        <w:numPr>
          <w:ilvl w:val="1"/>
          <w:numId w:val="3"/>
        </w:numPr>
        <w:tabs>
          <w:tab w:val="clear" w:pos="988"/>
        </w:tabs>
        <w:ind w:left="0" w:right="-141" w:rightChars="-67" w:firstLine="480"/>
        <w:textAlignment w:val="center"/>
        <w:rPr>
          <w:rFonts w:cs="Times New Roman"/>
          <w:color w:val="000000" w:themeColor="text1"/>
          <w14:textFill>
            <w14:solidFill>
              <w14:schemeClr w14:val="tx1"/>
            </w14:solidFill>
          </w14:textFill>
        </w:rPr>
      </w:pPr>
      <w:r>
        <w:rPr>
          <w:rFonts w:cs="Times New Roman"/>
          <w:color w:val="000000" w:themeColor="text1"/>
          <w14:textFill>
            <w14:solidFill>
              <w14:schemeClr w14:val="tx1"/>
            </w14:solidFill>
          </w14:textFill>
        </w:rPr>
        <w:t>中通服咨询设计研究院有限公司设计人员至现场查勘搜集的相关资料。</w:t>
      </w:r>
    </w:p>
    <w:p w14:paraId="6D85C998">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8" w:name="_Toc132902824"/>
      <w:r>
        <w:rPr>
          <w:rFonts w:hint="eastAsia" w:ascii="黑体" w:hAnsi="黑体" w:eastAsia="黑体" w:cs="Times New Roman"/>
          <w:color w:val="000000" w:themeColor="text1"/>
          <w:sz w:val="28"/>
          <w:szCs w:val="28"/>
          <w14:textFill>
            <w14:solidFill>
              <w14:schemeClr w14:val="tx1"/>
            </w14:solidFill>
          </w14:textFill>
        </w:rPr>
        <w:t>地区概况</w:t>
      </w:r>
      <w:bookmarkEnd w:id="48"/>
    </w:p>
    <w:p w14:paraId="4093BCFC">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地理情况</w:t>
      </w:r>
    </w:p>
    <w:p w14:paraId="7EC5F79E">
      <w:pPr>
        <w:spacing w:line="360" w:lineRule="auto"/>
        <w:ind w:firstLine="480" w:firstLineChars="200"/>
        <w:rPr>
          <w:rFonts w:hint="eastAsia" w:ascii="宋体" w:hAnsi="宋体"/>
          <w:color w:val="000000" w:themeColor="text1"/>
          <w:sz w:val="24"/>
          <w:highlight w:val="yellow"/>
          <w14:textFill>
            <w14:solidFill>
              <w14:schemeClr w14:val="tx1"/>
            </w14:solidFill>
          </w14:textFill>
        </w:rPr>
      </w:pPr>
      <w:r>
        <w:rPr>
          <w:rFonts w:hint="eastAsia" w:ascii="宋体" w:hAnsi="宋体"/>
          <w:color w:val="000000" w:themeColor="text1"/>
          <w:sz w:val="24"/>
          <w:highlight w:val="yellow"/>
          <w14:textFill>
            <w14:solidFill>
              <w14:schemeClr w14:val="tx1"/>
            </w14:solidFill>
          </w14:textFill>
        </w:rPr>
        <w:t>巴中市是四川省下辖地级市，秦巴山片区三大中心城市之一，位于四川盆地东北部，地处川陕两省交界的大巴山系米仓山南麓，中国秦岭-淮河南北分界线南，东邻达州，南接南充，西抵广元，北接陕西汉中。幅员面积为1.23万平方公里。属典型的盆周山区，地势北高南低，由北向南倾斜；属亚热带湿润季风气候，四季分明</w:t>
      </w:r>
    </w:p>
    <w:p w14:paraId="0BB97411">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行政区域及人口分布情况</w:t>
      </w:r>
    </w:p>
    <w:p w14:paraId="64A679D4">
      <w:pPr>
        <w:spacing w:line="360" w:lineRule="auto"/>
        <w:ind w:firstLine="480" w:firstLineChars="200"/>
        <w:rPr>
          <w:rFonts w:hint="eastAsia" w:ascii="宋体" w:hAnsi="宋体"/>
          <w:sz w:val="24"/>
          <w:highlight w:val="yellow"/>
        </w:rPr>
      </w:pPr>
      <w:r>
        <w:rPr>
          <w:rFonts w:hint="eastAsia" w:ascii="宋体" w:hAnsi="宋体"/>
          <w:color w:val="333333"/>
          <w:sz w:val="24"/>
          <w:highlight w:val="yellow"/>
          <w:shd w:val="clear" w:color="auto" w:fill="FFFFFF"/>
        </w:rPr>
        <w:t>巴中市辖南江、通江、平昌三县，巴州、恩阳两区，巴中、平昌两个省级经开区和一个文旅融合示范发展区，幅员面积1.23万平方公里；2021年末常住人口为267.6万人，其中城镇常住人口为125.57万人，占总人口比重（常住人口城镇化率）为46.92%。2021年末户籍人口为361.58万人。</w:t>
      </w:r>
    </w:p>
    <w:p w14:paraId="619CA90F">
      <w:pPr>
        <w:rPr>
          <w:highlight w:val="yellow"/>
        </w:rPr>
      </w:pPr>
    </w:p>
    <w:p w14:paraId="520E85A1">
      <w:pPr>
        <w:rPr>
          <w:highlight w:val="yellow"/>
        </w:rPr>
      </w:pPr>
    </w:p>
    <w:p w14:paraId="122961E2">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bookmarkStart w:id="49" w:name="_Toc223057178"/>
      <w:bookmarkStart w:id="50" w:name="_Ref127351870"/>
      <w:bookmarkStart w:id="51" w:name="_Ref127351861"/>
      <w:bookmarkStart w:id="52" w:name="_Ref38613137"/>
      <w:bookmarkStart w:id="53" w:name="_Toc178731830"/>
      <w:r>
        <w:rPr>
          <w:rFonts w:ascii="宋体" w:hAnsi="宋体" w:eastAsia="宋体" w:cs="Times New Roman"/>
          <w:b w:val="0"/>
          <w:bCs w:val="0"/>
          <w:sz w:val="24"/>
          <w:szCs w:val="24"/>
          <w:highlight w:val="yellow"/>
        </w:rPr>
        <w:t>交通情况</w:t>
      </w:r>
      <w:bookmarkEnd w:id="49"/>
      <w:bookmarkEnd w:id="50"/>
      <w:bookmarkEnd w:id="51"/>
      <w:bookmarkEnd w:id="52"/>
      <w:bookmarkEnd w:id="53"/>
    </w:p>
    <w:p w14:paraId="589CE042">
      <w:pPr>
        <w:spacing w:line="360" w:lineRule="auto"/>
        <w:ind w:firstLine="480" w:firstLineChars="200"/>
        <w:rPr>
          <w:rFonts w:hint="eastAsia" w:ascii="宋体" w:hAnsi="宋体"/>
          <w:color w:val="333333"/>
          <w:sz w:val="24"/>
          <w:highlight w:val="yellow"/>
          <w:shd w:val="clear" w:color="auto" w:fill="FFFFFF"/>
        </w:rPr>
      </w:pPr>
      <w:r>
        <w:rPr>
          <w:rFonts w:ascii="宋体" w:hAnsi="宋体"/>
          <w:sz w:val="24"/>
          <w:highlight w:val="yellow"/>
          <w:shd w:val="clear" w:color="auto" w:fill="FFFFFF"/>
        </w:rPr>
        <w:t>巴中市</w:t>
      </w:r>
      <w:r>
        <w:rPr>
          <w:rFonts w:ascii="宋体" w:hAnsi="宋体"/>
          <w:color w:val="333333"/>
          <w:sz w:val="24"/>
          <w:highlight w:val="yellow"/>
          <w:shd w:val="clear" w:color="auto" w:fill="FFFFFF"/>
        </w:rPr>
        <w:t>地处中国秦岭--淮河南北分界线以南，是成都、重庆、西安三大都市的几何中心，是联结“</w:t>
      </w:r>
      <w:r>
        <w:rPr>
          <w:rFonts w:ascii="宋体" w:hAnsi="宋体"/>
          <w:sz w:val="24"/>
          <w:highlight w:val="yellow"/>
          <w:shd w:val="clear" w:color="auto" w:fill="FFFFFF"/>
        </w:rPr>
        <w:t>一带一路</w:t>
      </w:r>
      <w:r>
        <w:rPr>
          <w:rFonts w:ascii="宋体" w:hAnsi="宋体"/>
          <w:color w:val="333333"/>
          <w:sz w:val="24"/>
          <w:highlight w:val="yellow"/>
          <w:shd w:val="clear" w:color="auto" w:fill="FFFFFF"/>
        </w:rPr>
        <w:t>”和成渝—关天经济区的重要节点，正加快构建以1个机场、4条铁路、10条高速公路为骨架的“六纵六横三环一航”综合交通体系，区域交通枢纽地位日益凸显。</w:t>
      </w:r>
    </w:p>
    <w:p w14:paraId="155436EB">
      <w:pPr>
        <w:spacing w:line="360" w:lineRule="auto"/>
        <w:rPr>
          <w:rFonts w:hint="eastAsia" w:ascii="宋体" w:hAnsi="宋体"/>
          <w:sz w:val="24"/>
          <w:szCs w:val="32"/>
          <w:highlight w:val="yellow"/>
        </w:rPr>
      </w:pPr>
      <w:bookmarkStart w:id="54" w:name="ref_[1]_2456040"/>
      <w:r>
        <w:rPr>
          <w:rFonts w:ascii="宋体" w:hAnsi="宋体"/>
          <w:color w:val="136EC2"/>
          <w:sz w:val="6"/>
          <w:szCs w:val="6"/>
          <w:highlight w:val="yellow"/>
          <w:shd w:val="clear" w:color="auto" w:fill="FFFFFF"/>
        </w:rPr>
        <w:t> </w:t>
      </w:r>
      <w:bookmarkEnd w:id="54"/>
      <w:r>
        <w:rPr>
          <w:rFonts w:ascii="宋体" w:hAnsi="宋体"/>
          <w:color w:val="333333"/>
          <w:sz w:val="24"/>
          <w:highlight w:val="yellow"/>
          <w:shd w:val="clear" w:color="auto" w:fill="FFFFFF"/>
        </w:rPr>
        <w:t xml:space="preserve"> 巴中市共8条</w:t>
      </w:r>
      <w:r>
        <w:rPr>
          <w:rFonts w:ascii="宋体" w:hAnsi="宋体"/>
          <w:sz w:val="24"/>
          <w:highlight w:val="yellow"/>
          <w:shd w:val="clear" w:color="auto" w:fill="FFFFFF"/>
        </w:rPr>
        <w:t>高速公路</w:t>
      </w:r>
      <w:r>
        <w:rPr>
          <w:rFonts w:ascii="宋体" w:hAnsi="宋体"/>
          <w:color w:val="333333"/>
          <w:sz w:val="24"/>
          <w:highlight w:val="yellow"/>
          <w:shd w:val="clear" w:color="auto" w:fill="FFFFFF"/>
        </w:rPr>
        <w:t>:巴广（广元）高速、</w:t>
      </w:r>
      <w:r>
        <w:rPr>
          <w:rFonts w:ascii="宋体" w:hAnsi="宋体"/>
          <w:sz w:val="24"/>
          <w:highlight w:val="yellow"/>
          <w:shd w:val="clear" w:color="auto" w:fill="FFFFFF"/>
        </w:rPr>
        <w:t>成巴高速</w:t>
      </w:r>
      <w:r>
        <w:rPr>
          <w:rFonts w:ascii="宋体" w:hAnsi="宋体"/>
          <w:color w:val="333333"/>
          <w:sz w:val="24"/>
          <w:highlight w:val="yellow"/>
          <w:shd w:val="clear" w:color="auto" w:fill="FFFFFF"/>
        </w:rPr>
        <w:t>、巴达高速、巴陕高速、巴广渝5条高速路已开通；</w:t>
      </w:r>
      <w:r>
        <w:rPr>
          <w:rFonts w:ascii="宋体" w:hAnsi="宋体"/>
          <w:sz w:val="24"/>
          <w:highlight w:val="yellow"/>
          <w:shd w:val="clear" w:color="auto" w:fill="FFFFFF"/>
        </w:rPr>
        <w:t>绵万高速</w:t>
      </w:r>
      <w:r>
        <w:rPr>
          <w:rFonts w:ascii="宋体" w:hAnsi="宋体"/>
          <w:color w:val="333333"/>
          <w:sz w:val="24"/>
          <w:highlight w:val="yellow"/>
          <w:shd w:val="clear" w:color="auto" w:fill="FFFFFF"/>
        </w:rPr>
        <w:t>绵阳至苍溪段（101公里）、苍溪至巴中段（92公里）于2019年6月30日开工，巴万高速2016年12月12日开工。一条过境高速，陕西省</w:t>
      </w:r>
      <w:r>
        <w:rPr>
          <w:rFonts w:ascii="宋体" w:hAnsi="宋体"/>
          <w:sz w:val="24"/>
          <w:highlight w:val="yellow"/>
          <w:shd w:val="clear" w:color="auto" w:fill="FFFFFF"/>
        </w:rPr>
        <w:t>镇巴县</w:t>
      </w:r>
      <w:r>
        <w:rPr>
          <w:rFonts w:ascii="宋体" w:hAnsi="宋体"/>
          <w:color w:val="333333"/>
          <w:sz w:val="24"/>
          <w:highlight w:val="yellow"/>
          <w:shd w:val="clear" w:color="auto" w:fill="FFFFFF"/>
        </w:rPr>
        <w:t>至</w:t>
      </w:r>
      <w:r>
        <w:rPr>
          <w:rFonts w:ascii="宋体" w:hAnsi="宋体"/>
          <w:sz w:val="24"/>
          <w:highlight w:val="yellow"/>
          <w:shd w:val="clear" w:color="auto" w:fill="FFFFFF"/>
        </w:rPr>
        <w:t>广安</w:t>
      </w:r>
      <w:r>
        <w:rPr>
          <w:rFonts w:ascii="宋体" w:hAnsi="宋体"/>
          <w:color w:val="333333"/>
          <w:sz w:val="24"/>
          <w:highlight w:val="yellow"/>
          <w:shd w:val="clear" w:color="auto" w:fill="FFFFFF"/>
        </w:rPr>
        <w:t>的高速公路纳入四川省高速公路网规划（2014-2030年）建设任务的一条正处规划之中的高速公路，该条高速公路全长约270公里，将有效连接巴中、达州、广安三个</w:t>
      </w:r>
      <w:r>
        <w:rPr>
          <w:rFonts w:ascii="宋体" w:hAnsi="宋体"/>
          <w:sz w:val="24"/>
          <w:highlight w:val="yellow"/>
          <w:shd w:val="clear" w:color="auto" w:fill="FFFFFF"/>
        </w:rPr>
        <w:t>川东北</w:t>
      </w:r>
      <w:r>
        <w:rPr>
          <w:rFonts w:ascii="宋体" w:hAnsi="宋体"/>
          <w:color w:val="333333"/>
          <w:sz w:val="24"/>
          <w:highlight w:val="yellow"/>
          <w:shd w:val="clear" w:color="auto" w:fill="FFFFFF"/>
        </w:rPr>
        <w:t>城市，</w:t>
      </w:r>
      <w:r>
        <w:rPr>
          <w:rFonts w:ascii="宋体" w:hAnsi="宋体"/>
          <w:sz w:val="24"/>
          <w:highlight w:val="yellow"/>
          <w:shd w:val="clear" w:color="auto" w:fill="FFFFFF"/>
        </w:rPr>
        <w:t>四川省交通运输厅</w:t>
      </w:r>
      <w:r>
        <w:rPr>
          <w:rFonts w:ascii="宋体" w:hAnsi="宋体"/>
          <w:color w:val="333333"/>
          <w:sz w:val="24"/>
          <w:highlight w:val="yellow"/>
          <w:shd w:val="clear" w:color="auto" w:fill="FFFFFF"/>
        </w:rPr>
        <w:t>已组织专家在</w:t>
      </w:r>
      <w:r>
        <w:rPr>
          <w:rFonts w:ascii="宋体" w:hAnsi="宋体"/>
          <w:sz w:val="24"/>
          <w:highlight w:val="yellow"/>
          <w:shd w:val="clear" w:color="auto" w:fill="FFFFFF"/>
        </w:rPr>
        <w:t>地形图</w:t>
      </w:r>
      <w:r>
        <w:rPr>
          <w:rFonts w:ascii="宋体" w:hAnsi="宋体"/>
          <w:color w:val="333333"/>
          <w:sz w:val="24"/>
          <w:highlight w:val="yellow"/>
          <w:shd w:val="clear" w:color="auto" w:fill="FFFFFF"/>
        </w:rPr>
        <w:t>上选线布点。</w:t>
      </w:r>
    </w:p>
    <w:p w14:paraId="5ACBA146">
      <w:pPr>
        <w:rPr>
          <w:highlight w:val="yellow"/>
        </w:rPr>
      </w:pPr>
    </w:p>
    <w:p w14:paraId="50F6D458">
      <w:pPr>
        <w:rPr>
          <w:highlight w:val="yellow"/>
        </w:rPr>
      </w:pPr>
      <w:r>
        <w:rPr>
          <w:highlight w:val="yellow"/>
        </w:rPr>
        <w:drawing>
          <wp:inline distT="0" distB="0" distL="0" distR="0">
            <wp:extent cx="4933950" cy="47561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934204" cy="4756394"/>
                    </a:xfrm>
                    <a:prstGeom prst="rect">
                      <a:avLst/>
                    </a:prstGeom>
                  </pic:spPr>
                </pic:pic>
              </a:graphicData>
            </a:graphic>
          </wp:inline>
        </w:drawing>
      </w:r>
    </w:p>
    <w:p w14:paraId="283D0C9C">
      <w:pPr>
        <w:spacing w:line="360" w:lineRule="auto"/>
        <w:jc w:val="center"/>
        <w:rPr>
          <w:rFonts w:hint="eastAsia" w:ascii="宋体" w:hAnsi="宋体"/>
          <w:highlight w:val="yellow"/>
        </w:rPr>
      </w:pPr>
      <w:r>
        <w:rPr>
          <w:rFonts w:hint="eastAsia" w:ascii="宋体" w:hAnsi="宋体"/>
          <w:highlight w:val="yellow"/>
        </w:rPr>
        <w:t>图</w:t>
      </w:r>
      <w:r>
        <w:rPr>
          <w:rFonts w:ascii="宋体" w:hAnsi="宋体"/>
          <w:highlight w:val="yellow"/>
        </w:rPr>
        <w:fldChar w:fldCharType="begin"/>
      </w:r>
      <w:r>
        <w:rPr>
          <w:rFonts w:ascii="宋体" w:hAnsi="宋体"/>
          <w:highlight w:val="yellow"/>
        </w:rPr>
        <w:instrText xml:space="preserve"> </w:instrText>
      </w:r>
      <w:r>
        <w:rPr>
          <w:rFonts w:hint="eastAsia" w:ascii="宋体" w:hAnsi="宋体"/>
          <w:highlight w:val="yellow"/>
        </w:rPr>
        <w:instrText xml:space="preserve">REF _Ref127351861 \r \h</w:instrText>
      </w:r>
      <w:r>
        <w:rPr>
          <w:rFonts w:ascii="宋体" w:hAnsi="宋体"/>
          <w:highlight w:val="yellow"/>
        </w:rPr>
        <w:instrText xml:space="preserve">  \* MERGEFORMAT </w:instrText>
      </w:r>
      <w:r>
        <w:rPr>
          <w:rFonts w:ascii="宋体" w:hAnsi="宋体"/>
          <w:highlight w:val="yellow"/>
        </w:rPr>
        <w:fldChar w:fldCharType="separate"/>
      </w:r>
      <w:r>
        <w:rPr>
          <w:rFonts w:ascii="宋体" w:hAnsi="宋体"/>
          <w:highlight w:val="yellow"/>
        </w:rPr>
        <w:t>1.2.3</w:t>
      </w:r>
      <w:r>
        <w:rPr>
          <w:rFonts w:ascii="宋体" w:hAnsi="宋体"/>
          <w:highlight w:val="yellow"/>
        </w:rPr>
        <w:fldChar w:fldCharType="end"/>
      </w:r>
      <w:r>
        <w:rPr>
          <w:rFonts w:hint="eastAsia" w:ascii="宋体" w:hAnsi="宋体"/>
          <w:highlight w:val="yellow"/>
        </w:rPr>
        <w:t>巴中市交通枢纽规划图</w:t>
      </w:r>
    </w:p>
    <w:p w14:paraId="491991F1">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highlight w:val="yellow"/>
        </w:rPr>
      </w:pPr>
      <w:r>
        <w:rPr>
          <w:rFonts w:hint="eastAsia" w:ascii="宋体" w:hAnsi="宋体" w:eastAsia="宋体" w:cs="Times New Roman"/>
          <w:b w:val="0"/>
          <w:bCs w:val="0"/>
          <w:sz w:val="24"/>
          <w:szCs w:val="24"/>
          <w:highlight w:val="yellow"/>
        </w:rPr>
        <w:t>地区</w:t>
      </w:r>
      <w:r>
        <w:rPr>
          <w:rFonts w:ascii="宋体" w:hAnsi="宋体" w:eastAsia="宋体" w:cs="Times New Roman"/>
          <w:b w:val="0"/>
          <w:bCs w:val="0"/>
          <w:sz w:val="24"/>
          <w:szCs w:val="24"/>
          <w:highlight w:val="yellow"/>
        </w:rPr>
        <w:t>经济发展状况</w:t>
      </w:r>
    </w:p>
    <w:p w14:paraId="75009926">
      <w:pPr>
        <w:spacing w:line="360" w:lineRule="auto"/>
        <w:ind w:firstLine="480" w:firstLineChars="200"/>
        <w:rPr>
          <w:rFonts w:hint="eastAsia" w:ascii="宋体" w:hAnsi="宋体"/>
          <w:sz w:val="24"/>
        </w:rPr>
      </w:pPr>
      <w:r>
        <w:rPr>
          <w:rFonts w:hint="eastAsia" w:ascii="宋体" w:hAnsi="宋体"/>
          <w:color w:val="333333"/>
          <w:sz w:val="24"/>
          <w:highlight w:val="yellow"/>
          <w:shd w:val="clear" w:color="auto" w:fill="FFFFFF"/>
        </w:rPr>
        <w:t>2021年，全市地区生产总值（GDP）742.51亿元，比上年增长3.3%。其中，第一产业增加值174.5亿元，增长7.4%；第二产业增加值207.27亿元，下降0.8%；第三产业增加值360.74亿元，增长3.7%。地方一般公共预算收入比上年增长5.0%；全社会固定资产投资比上年下降18.7%；社会消费品零售总额比上年增长0.6%。</w:t>
      </w:r>
    </w:p>
    <w:p w14:paraId="33003566">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5" w:name="_Toc132902825"/>
      <w:bookmarkStart w:id="56" w:name="_Toc19087179"/>
      <w:bookmarkStart w:id="57" w:name="_Toc22324011"/>
      <w:r>
        <w:rPr>
          <w:rFonts w:ascii="黑体" w:hAnsi="黑体" w:eastAsia="黑体" w:cs="Times New Roman"/>
          <w:color w:val="000000" w:themeColor="text1"/>
          <w:sz w:val="28"/>
          <w:szCs w:val="28"/>
          <w14:textFill>
            <w14:solidFill>
              <w14:schemeClr w14:val="tx1"/>
            </w14:solidFill>
          </w14:textFill>
        </w:rPr>
        <w:t>分工界面</w:t>
      </w:r>
      <w:bookmarkEnd w:id="29"/>
      <w:bookmarkEnd w:id="55"/>
      <w:bookmarkEnd w:id="56"/>
      <w:bookmarkEnd w:id="57"/>
    </w:p>
    <w:p w14:paraId="2A0D67C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设计服务主要内容包括：编制项目建议书或可研、现场勘察并提供基站可供选址方案、方案设计、初步设计（视工程管理需要）、施工图设计及施工过程中的技术支撑。</w:t>
      </w:r>
    </w:p>
    <w:p w14:paraId="5F53932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不含：外市电引入、室内装修改造设计、塔体检测等工作。上述工作由建设单位另行委托其他单位完成。</w:t>
      </w:r>
    </w:p>
    <w:p w14:paraId="24408EF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具体设计内容包括但不限于如下：</w:t>
      </w:r>
    </w:p>
    <w:p w14:paraId="5BBA619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（1）杆塔基础形式、塔体形式、土建机房结构形式、基础持力层深度、地基基础处理等。</w:t>
      </w:r>
    </w:p>
    <w:p w14:paraId="183FBED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（2）室内电源配套设备摆放位置、新建站馈线孔等标注具体位置。</w:t>
      </w:r>
    </w:p>
    <w:p w14:paraId="6089332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（3）对电源配套设备安装的要求给出详细说明，对机架设备的防震抗震、接地要求给出安装要求和说明。</w:t>
      </w:r>
    </w:p>
    <w:p w14:paraId="0A7BE1A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（4）交流供电情况。</w:t>
      </w:r>
    </w:p>
    <w:p w14:paraId="4D8C2A3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（5）要求列明电源系统的线径、规格及材料要求。</w:t>
      </w:r>
    </w:p>
    <w:p w14:paraId="153B7CE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根据招标方提供的设备的耗电情况，计算出所需蓄电池组的容量和配置数量并说明安装的方式、要求等；计算所需整流器的数量，说明计算方法；说明交流配电设备和低压配电设备的情况，如需扩容则需给出详细扩容方案；设备用电估算、整流器数量配置应以设备的实际耗电量核算。</w:t>
      </w:r>
    </w:p>
    <w:p w14:paraId="26349C3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（7）供电系统和整流设备的技术介绍。详细介绍所用设备的主要技术指标，包括输入输出电压、电流，告警，电池熔丝等等。</w:t>
      </w:r>
    </w:p>
    <w:p w14:paraId="4B59B71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（8）对设备安装的接地要求给出详细说明，并列出所需的相关材料。</w:t>
      </w:r>
    </w:p>
    <w:p w14:paraId="4BD176F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提供地线系统图，说明地线的接法；机房内交、直流系统图；机房电源配套设备平面布置图；走线架走向图；交、直流电缆走向图；所有图纸标示应规范、准确，方便指导施工单位施工。说明施工中特别需要注意的问题，如走线等。</w:t>
      </w:r>
    </w:p>
    <w:p w14:paraId="3DCD0558">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58" w:name="_Toc429313751"/>
      <w:bookmarkStart w:id="59" w:name="_Toc22324012"/>
      <w:bookmarkStart w:id="60" w:name="_Toc132902826"/>
      <w:bookmarkStart w:id="61" w:name="_Toc19087180"/>
      <w:r>
        <w:rPr>
          <w:rFonts w:ascii="黑体" w:hAnsi="黑体" w:eastAsia="黑体" w:cs="Times New Roman"/>
          <w:color w:val="000000" w:themeColor="text1"/>
          <w:sz w:val="28"/>
          <w:szCs w:val="28"/>
          <w14:textFill>
            <w14:solidFill>
              <w14:schemeClr w14:val="tx1"/>
            </w14:solidFill>
          </w14:textFill>
        </w:rPr>
        <w:t>设计文件组成</w:t>
      </w:r>
      <w:bookmarkEnd w:id="58"/>
      <w:bookmarkEnd w:id="59"/>
      <w:bookmarkEnd w:id="60"/>
      <w:bookmarkEnd w:id="61"/>
    </w:p>
    <w:p w14:paraId="7D52DC3A">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本期工程是</w:t>
      </w:r>
      <w:r>
        <w:rPr>
          <w:rFonts w:hint="eastAsia"/>
          <w:color w:val="000000" w:themeColor="text1"/>
          <w:sz w:val="24"/>
          <w:highlight w:val="yellow"/>
          <w14:textFill>
            <w14:solidFill>
              <w14:schemeClr w14:val="tx1"/>
            </w14:solidFill>
          </w14:textFill>
        </w:rPr>
        <w:t>20XX年X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季度基站工程动力配套部分</w:t>
      </w:r>
      <w:r>
        <w:rPr>
          <w:color w:val="000000" w:themeColor="text1"/>
          <w:sz w:val="24"/>
          <w:highlight w:val="yellow"/>
          <w14:textFill>
            <w14:solidFill>
              <w14:schemeClr w14:val="tx1"/>
            </w14:solidFill>
          </w14:textFill>
        </w:rPr>
        <w:t>一阶段设计。</w:t>
      </w:r>
    </w:p>
    <w:p w14:paraId="6ED7A66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2" w:name="_Toc132902827"/>
      <w:bookmarkStart w:id="63" w:name="_Toc19087181"/>
      <w:bookmarkStart w:id="64" w:name="_Toc22324013"/>
      <w:r>
        <w:rPr>
          <w:rFonts w:hint="eastAsia" w:ascii="黑体" w:hAnsi="黑体" w:eastAsia="黑体" w:cs="Times New Roman"/>
          <w:color w:val="000000" w:themeColor="text1"/>
          <w:sz w:val="28"/>
          <w:szCs w:val="28"/>
          <w14:textFill>
            <w14:solidFill>
              <w14:schemeClr w14:val="tx1"/>
            </w14:solidFill>
          </w14:textFill>
        </w:rPr>
        <w:t>工程合理使用年限</w:t>
      </w:r>
      <w:bookmarkEnd w:id="62"/>
      <w:bookmarkEnd w:id="63"/>
      <w:bookmarkEnd w:id="64"/>
    </w:p>
    <w:p w14:paraId="6218086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对现网设备在网使用年限数据的调研，通过分析影响工程使用年限的各项因素，结合集团相关指导意见对设备退网的规定，并考虑到通信技术发展与工程使用年限的相关性，特别是未来技术发展的变革对工程使用年限的影响等，在排除技术演进、建设单位决策等因素后，本工程铁塔基准使用年限为50年，其余配套设备在一般环境下合理使用年限建议为8-10 年、在特殊恶劣环境下合理使用年限建议为3-5年，本年限不作为设备折旧核算依据。另外，随着未来通信网络的演进和发展，工程使用年限后续还可能会发生变化。</w:t>
      </w:r>
    </w:p>
    <w:p w14:paraId="4F070D71">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65" w:name="_Toc132902828"/>
      <w:bookmarkStart w:id="66" w:name="_Toc22324014"/>
      <w:bookmarkStart w:id="67" w:name="_Toc19087182"/>
      <w:bookmarkStart w:id="68" w:name="_Toc429313752"/>
      <w:r>
        <w:rPr>
          <w:rFonts w:ascii="黑体" w:hAnsi="黑体" w:cs="Times New Roman"/>
          <w:color w:val="000000" w:themeColor="text1"/>
          <w:sz w:val="28"/>
          <w:szCs w:val="28"/>
          <w14:textFill>
            <w14:solidFill>
              <w14:schemeClr w14:val="tx1"/>
            </w14:solidFill>
          </w14:textFill>
        </w:rPr>
        <w:t>建设方案</w:t>
      </w:r>
      <w:bookmarkEnd w:id="65"/>
      <w:bookmarkEnd w:id="66"/>
      <w:bookmarkEnd w:id="67"/>
      <w:bookmarkEnd w:id="68"/>
    </w:p>
    <w:p w14:paraId="5C9B807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69" w:name="_Ref118982785"/>
      <w:bookmarkStart w:id="70" w:name="_Toc132902829"/>
      <w:r>
        <w:rPr>
          <w:rFonts w:hint="eastAsia" w:ascii="黑体" w:hAnsi="黑体" w:eastAsia="黑体" w:cs="Times New Roman"/>
          <w:color w:val="000000" w:themeColor="text1"/>
          <w:sz w:val="28"/>
          <w:szCs w:val="28"/>
          <w14:textFill>
            <w14:solidFill>
              <w14:schemeClr w14:val="tx1"/>
            </w14:solidFill>
          </w14:textFill>
        </w:rPr>
        <w:t>基站现状</w:t>
      </w:r>
      <w:bookmarkEnd w:id="69"/>
      <w:bookmarkEnd w:id="70"/>
    </w:p>
    <w:p w14:paraId="549C3BF5">
      <w:pPr>
        <w:spacing w:line="360" w:lineRule="auto"/>
        <w:ind w:firstLine="480" w:firstLineChars="200"/>
        <w:rPr>
          <w:color w:val="000000" w:themeColor="text1"/>
          <w:sz w:val="24"/>
          <w:highlight w:val="yellow"/>
          <w14:textFill>
            <w14:solidFill>
              <w14:schemeClr w14:val="tx1"/>
            </w14:solidFill>
          </w14:textFill>
        </w:rPr>
      </w:pPr>
      <w:r>
        <w:rPr>
          <w:rFonts w:hint="eastAsia"/>
          <w:color w:val="000000" w:themeColor="text1"/>
          <w:sz w:val="24"/>
          <w:highlight w:val="yellow"/>
          <w14:textFill>
            <w14:solidFill>
              <w14:schemeClr w14:val="tx1"/>
            </w14:solidFill>
          </w14:textFill>
        </w:rPr>
        <w:t>截止2</w:t>
      </w:r>
      <w:r>
        <w:rPr>
          <w:color w:val="000000" w:themeColor="text1"/>
          <w:sz w:val="24"/>
          <w:highlight w:val="yellow"/>
          <w14:textFill>
            <w14:solidFill>
              <w14:schemeClr w14:val="tx1"/>
            </w14:solidFill>
          </w14:textFill>
        </w:rPr>
        <w:t>022</w:t>
      </w:r>
      <w:r>
        <w:rPr>
          <w:rFonts w:hint="eastAsia"/>
          <w:color w:val="000000" w:themeColor="text1"/>
          <w:sz w:val="24"/>
          <w:highlight w:val="yellow"/>
          <w14:textFill>
            <w14:solidFill>
              <w14:schemeClr w14:val="tx1"/>
            </w14:solidFill>
          </w14:textFill>
        </w:rPr>
        <w:t>年X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月，X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铁塔分公司共管理基站X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个，其中三家共享基站X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个，两家共享基站X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个，一家独享基站X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个，</w:t>
      </w:r>
      <w:r>
        <w:rPr>
          <w:color w:val="000000" w:themeColor="text1"/>
          <w:sz w:val="24"/>
          <w:highlight w:val="yellow"/>
          <w14:textFill>
            <w14:solidFill>
              <w14:schemeClr w14:val="tx1"/>
            </w14:solidFill>
          </w14:textFill>
        </w:rPr>
        <w:t>具体</w:t>
      </w:r>
      <w:r>
        <w:rPr>
          <w:rFonts w:hint="eastAsia"/>
          <w:color w:val="000000" w:themeColor="text1"/>
          <w:sz w:val="24"/>
          <w:highlight w:val="yellow"/>
          <w14:textFill>
            <w14:solidFill>
              <w14:schemeClr w14:val="tx1"/>
            </w14:solidFill>
          </w14:textFill>
        </w:rPr>
        <w:t>分布情况如下表所示</w:t>
      </w:r>
      <w:r>
        <w:rPr>
          <w:color w:val="000000" w:themeColor="text1"/>
          <w:sz w:val="24"/>
          <w:highlight w:val="yellow"/>
          <w14:textFill>
            <w14:solidFill>
              <w14:schemeClr w14:val="tx1"/>
            </w14:solidFill>
          </w14:textFill>
        </w:rPr>
        <w:t>。</w:t>
      </w:r>
    </w:p>
    <w:p w14:paraId="08B500F8">
      <w:pPr>
        <w:spacing w:line="360" w:lineRule="auto"/>
        <w:jc w:val="left"/>
        <w:rPr>
          <w:color w:val="000000" w:themeColor="text1"/>
          <w:szCs w:val="21"/>
          <w:highlight w:val="yellow"/>
          <w14:textFill>
            <w14:solidFill>
              <w14:schemeClr w14:val="tx1"/>
            </w14:solidFill>
          </w14:textFill>
        </w:rPr>
      </w:pPr>
      <w:r>
        <w:rPr>
          <w:rFonts w:hint="eastAsia"/>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w:instrText>
      </w:r>
      <w:r>
        <w:rPr>
          <w:rFonts w:hint="eastAsia"/>
          <w:color w:val="000000" w:themeColor="text1"/>
          <w:szCs w:val="21"/>
          <w:highlight w:val="yellow"/>
          <w14:textFill>
            <w14:solidFill>
              <w14:schemeClr w14:val="tx1"/>
            </w14:solidFill>
          </w14:textFill>
        </w:rPr>
        <w:instrText xml:space="preserve">REF _Ref118982785 \r \h</w:instrText>
      </w:r>
      <w:r>
        <w:rPr>
          <w:color w:val="000000" w:themeColor="text1"/>
          <w:szCs w:val="21"/>
          <w:highlight w:val="yellow"/>
          <w14:textFill>
            <w14:solidFill>
              <w14:schemeClr w14:val="tx1"/>
            </w14:solidFill>
          </w14:textFill>
        </w:rPr>
        <w:instrText xml:space="preserve">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2.1</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 xml:space="preserve">1                   </w:t>
      </w:r>
      <w:r>
        <w:rPr>
          <w:rFonts w:hint="eastAsia"/>
          <w:color w:val="000000" w:themeColor="text1"/>
          <w:szCs w:val="21"/>
          <w:highlight w:val="yellow"/>
          <w:lang w:val="en-US" w:eastAsia="zh-CN"/>
          <w14:textFill>
            <w14:solidFill>
              <w14:schemeClr w14:val="tx1"/>
            </w14:solidFill>
          </w14:textFill>
        </w:rPr>
        <w:t xml:space="preserve">                               </w:t>
      </w:r>
      <w:r>
        <w:rPr>
          <w:rFonts w:hint="eastAsia"/>
          <w:color w:val="000000" w:themeColor="text1"/>
          <w:szCs w:val="21"/>
          <w:highlight w:val="yellow"/>
          <w14:textFill>
            <w14:solidFill>
              <w14:schemeClr w14:val="tx1"/>
            </w14:solidFill>
          </w14:textFill>
        </w:rPr>
        <w:t>现网基站分布情况表</w:t>
      </w:r>
    </w:p>
    <w:tbl>
      <w:tblPr>
        <w:tblStyle w:val="31"/>
        <w:tblW w:w="5000" w:type="pct"/>
        <w:tblInd w:w="0" w:type="dxa"/>
        <w:tblLayout w:type="autofit"/>
        <w:tblCellMar>
          <w:top w:w="0" w:type="dxa"/>
          <w:left w:w="108" w:type="dxa"/>
          <w:bottom w:w="0" w:type="dxa"/>
          <w:right w:w="108" w:type="dxa"/>
        </w:tblCellMar>
      </w:tblPr>
      <w:tblGrid>
        <w:gridCol w:w="1453"/>
        <w:gridCol w:w="1455"/>
        <w:gridCol w:w="1453"/>
        <w:gridCol w:w="1453"/>
        <w:gridCol w:w="1453"/>
        <w:gridCol w:w="1454"/>
      </w:tblGrid>
      <w:tr w14:paraId="55A7F3F8">
        <w:tblPrEx>
          <w:tblCellMar>
            <w:top w:w="0" w:type="dxa"/>
            <w:left w:w="108" w:type="dxa"/>
            <w:bottom w:w="0" w:type="dxa"/>
            <w:right w:w="108" w:type="dxa"/>
          </w:tblCellMar>
        </w:tblPrEx>
        <w:trPr>
          <w:trHeight w:val="560" w:hRule="atLeast"/>
          <w:tblHeader/>
        </w:trPr>
        <w:tc>
          <w:tcPr>
            <w:tcW w:w="833" w:type="pct"/>
            <w:tcBorders>
              <w:top w:val="single" w:color="auto" w:sz="4" w:space="0"/>
              <w:left w:val="single" w:color="auto" w:sz="4" w:space="0"/>
              <w:bottom w:val="single" w:color="auto" w:sz="4" w:space="0"/>
              <w:right w:val="single" w:color="auto" w:sz="4" w:space="0"/>
            </w:tcBorders>
            <w:shd w:val="clear" w:color="auto" w:fill="auto"/>
            <w:vAlign w:val="center"/>
          </w:tcPr>
          <w:p w14:paraId="22F2F134">
            <w:pPr>
              <w:widowControl/>
              <w:jc w:val="center"/>
              <w:rPr>
                <w:rFonts w:eastAsia="等线"/>
                <w:color w:val="000000"/>
                <w:kern w:val="0"/>
                <w:szCs w:val="21"/>
                <w:highlight w:val="yellow"/>
              </w:rPr>
            </w:pPr>
            <w:r>
              <w:rPr>
                <w:rFonts w:eastAsia="等线"/>
                <w:color w:val="000000"/>
                <w:kern w:val="0"/>
                <w:szCs w:val="21"/>
                <w:highlight w:val="yellow"/>
              </w:rPr>
              <w:t>序号</w:t>
            </w:r>
          </w:p>
        </w:tc>
        <w:tc>
          <w:tcPr>
            <w:tcW w:w="833" w:type="pct"/>
            <w:tcBorders>
              <w:top w:val="single" w:color="auto" w:sz="4" w:space="0"/>
              <w:left w:val="nil"/>
              <w:bottom w:val="single" w:color="auto" w:sz="4" w:space="0"/>
              <w:right w:val="single" w:color="auto" w:sz="4" w:space="0"/>
            </w:tcBorders>
            <w:shd w:val="clear" w:color="auto" w:fill="auto"/>
            <w:vAlign w:val="center"/>
          </w:tcPr>
          <w:p w14:paraId="5D1C19D3">
            <w:pPr>
              <w:widowControl/>
              <w:jc w:val="center"/>
              <w:rPr>
                <w:rFonts w:eastAsia="等线"/>
                <w:color w:val="000000"/>
                <w:kern w:val="0"/>
                <w:szCs w:val="21"/>
                <w:highlight w:val="yellow"/>
              </w:rPr>
            </w:pPr>
            <w:r>
              <w:rPr>
                <w:rFonts w:eastAsia="等线"/>
                <w:color w:val="000000"/>
                <w:kern w:val="0"/>
                <w:szCs w:val="21"/>
                <w:highlight w:val="yellow"/>
              </w:rPr>
              <w:t>区县</w:t>
            </w:r>
          </w:p>
        </w:tc>
        <w:tc>
          <w:tcPr>
            <w:tcW w:w="833" w:type="pct"/>
            <w:tcBorders>
              <w:top w:val="single" w:color="auto" w:sz="4" w:space="0"/>
              <w:left w:val="nil"/>
              <w:bottom w:val="single" w:color="auto" w:sz="4" w:space="0"/>
              <w:right w:val="single" w:color="auto" w:sz="4" w:space="0"/>
            </w:tcBorders>
            <w:shd w:val="clear" w:color="auto" w:fill="auto"/>
            <w:vAlign w:val="center"/>
          </w:tcPr>
          <w:p w14:paraId="1A17ADDD">
            <w:pPr>
              <w:widowControl/>
              <w:jc w:val="center"/>
              <w:rPr>
                <w:rFonts w:eastAsia="等线"/>
                <w:color w:val="000000"/>
                <w:kern w:val="0"/>
                <w:szCs w:val="21"/>
                <w:highlight w:val="yellow"/>
              </w:rPr>
            </w:pPr>
            <w:r>
              <w:rPr>
                <w:rFonts w:eastAsia="等线"/>
                <w:color w:val="000000"/>
                <w:kern w:val="0"/>
                <w:szCs w:val="21"/>
                <w:highlight w:val="yellow"/>
              </w:rPr>
              <w:t>基站总数（个）</w:t>
            </w:r>
          </w:p>
        </w:tc>
        <w:tc>
          <w:tcPr>
            <w:tcW w:w="833" w:type="pct"/>
            <w:tcBorders>
              <w:top w:val="single" w:color="auto" w:sz="4" w:space="0"/>
              <w:left w:val="nil"/>
              <w:bottom w:val="single" w:color="auto" w:sz="4" w:space="0"/>
              <w:right w:val="single" w:color="auto" w:sz="4" w:space="0"/>
            </w:tcBorders>
            <w:shd w:val="clear" w:color="auto" w:fill="auto"/>
            <w:vAlign w:val="center"/>
          </w:tcPr>
          <w:p w14:paraId="1975B494">
            <w:pPr>
              <w:widowControl/>
              <w:jc w:val="center"/>
              <w:rPr>
                <w:rFonts w:eastAsia="等线"/>
                <w:color w:val="000000"/>
                <w:kern w:val="0"/>
                <w:szCs w:val="21"/>
                <w:highlight w:val="yellow"/>
              </w:rPr>
            </w:pPr>
            <w:r>
              <w:rPr>
                <w:rFonts w:eastAsia="等线"/>
                <w:color w:val="000000"/>
                <w:kern w:val="0"/>
                <w:szCs w:val="21"/>
                <w:highlight w:val="yellow"/>
              </w:rPr>
              <w:t>三家共享（个）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14:paraId="539D5B92">
            <w:pPr>
              <w:widowControl/>
              <w:jc w:val="center"/>
              <w:rPr>
                <w:rFonts w:eastAsia="等线"/>
                <w:color w:val="000000"/>
                <w:kern w:val="0"/>
                <w:szCs w:val="21"/>
                <w:highlight w:val="yellow"/>
              </w:rPr>
            </w:pPr>
            <w:r>
              <w:rPr>
                <w:rFonts w:eastAsia="等线"/>
                <w:color w:val="000000"/>
                <w:kern w:val="0"/>
                <w:szCs w:val="21"/>
                <w:highlight w:val="yellow"/>
              </w:rPr>
              <w:t>两家共享（个）</w:t>
            </w:r>
          </w:p>
        </w:tc>
        <w:tc>
          <w:tcPr>
            <w:tcW w:w="833" w:type="pct"/>
            <w:tcBorders>
              <w:top w:val="single" w:color="auto" w:sz="4" w:space="0"/>
              <w:left w:val="nil"/>
              <w:bottom w:val="single" w:color="auto" w:sz="4" w:space="0"/>
              <w:right w:val="single" w:color="auto" w:sz="4" w:space="0"/>
            </w:tcBorders>
            <w:shd w:val="clear" w:color="auto" w:fill="auto"/>
            <w:vAlign w:val="center"/>
          </w:tcPr>
          <w:p w14:paraId="56CEC6A8">
            <w:pPr>
              <w:widowControl/>
              <w:jc w:val="center"/>
              <w:rPr>
                <w:rFonts w:eastAsia="等线"/>
                <w:color w:val="000000"/>
                <w:kern w:val="0"/>
                <w:szCs w:val="21"/>
                <w:highlight w:val="yellow"/>
              </w:rPr>
            </w:pPr>
            <w:r>
              <w:rPr>
                <w:rFonts w:eastAsia="等线"/>
                <w:color w:val="000000"/>
                <w:kern w:val="0"/>
                <w:szCs w:val="21"/>
                <w:highlight w:val="yellow"/>
              </w:rPr>
              <w:t>一家独享（个）</w:t>
            </w:r>
          </w:p>
        </w:tc>
      </w:tr>
      <w:tr w14:paraId="570BF99F">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2747623D">
            <w:pPr>
              <w:widowControl/>
              <w:spacing w:line="360" w:lineRule="auto"/>
              <w:jc w:val="center"/>
              <w:rPr>
                <w:rFonts w:eastAsia="等线"/>
                <w:color w:val="000000"/>
                <w:kern w:val="0"/>
                <w:szCs w:val="21"/>
                <w:highlight w:val="yellow"/>
              </w:rPr>
            </w:pPr>
            <w:r>
              <w:rPr>
                <w:rFonts w:eastAsia="等线"/>
                <w:color w:val="000000"/>
                <w:kern w:val="0"/>
                <w:szCs w:val="21"/>
                <w:highlight w:val="yellow"/>
              </w:rPr>
              <w:t>1</w:t>
            </w:r>
          </w:p>
        </w:tc>
        <w:tc>
          <w:tcPr>
            <w:tcW w:w="833" w:type="pct"/>
            <w:tcBorders>
              <w:top w:val="nil"/>
              <w:left w:val="nil"/>
              <w:bottom w:val="single" w:color="auto" w:sz="4" w:space="0"/>
              <w:right w:val="single" w:color="auto" w:sz="4" w:space="0"/>
            </w:tcBorders>
            <w:shd w:val="clear" w:color="auto" w:fill="auto"/>
            <w:vAlign w:val="center"/>
          </w:tcPr>
          <w:p w14:paraId="78907C46">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59FC7985">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45CED954">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2B744894">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2711202C">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2FC28194">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0174271A">
            <w:pPr>
              <w:widowControl/>
              <w:spacing w:line="360" w:lineRule="auto"/>
              <w:jc w:val="center"/>
              <w:rPr>
                <w:rFonts w:eastAsia="等线"/>
                <w:color w:val="000000"/>
                <w:kern w:val="0"/>
                <w:szCs w:val="21"/>
                <w:highlight w:val="yellow"/>
              </w:rPr>
            </w:pPr>
            <w:r>
              <w:rPr>
                <w:rFonts w:eastAsia="等线"/>
                <w:color w:val="000000"/>
                <w:kern w:val="0"/>
                <w:szCs w:val="21"/>
                <w:highlight w:val="yellow"/>
              </w:rPr>
              <w:t>2</w:t>
            </w:r>
          </w:p>
        </w:tc>
        <w:tc>
          <w:tcPr>
            <w:tcW w:w="833" w:type="pct"/>
            <w:tcBorders>
              <w:top w:val="nil"/>
              <w:left w:val="nil"/>
              <w:bottom w:val="single" w:color="auto" w:sz="4" w:space="0"/>
              <w:right w:val="single" w:color="auto" w:sz="4" w:space="0"/>
            </w:tcBorders>
            <w:shd w:val="clear" w:color="auto" w:fill="auto"/>
            <w:vAlign w:val="center"/>
          </w:tcPr>
          <w:p w14:paraId="600CB7DB">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2F63B3A">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1B4B103E">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29BACAC7">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7E020D3B">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462F62BF">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53F1C908">
            <w:pPr>
              <w:widowControl/>
              <w:spacing w:line="360" w:lineRule="auto"/>
              <w:jc w:val="center"/>
              <w:rPr>
                <w:rFonts w:eastAsia="等线"/>
                <w:color w:val="000000"/>
                <w:kern w:val="0"/>
                <w:szCs w:val="21"/>
                <w:highlight w:val="yellow"/>
              </w:rPr>
            </w:pPr>
            <w:r>
              <w:rPr>
                <w:rFonts w:eastAsia="等线"/>
                <w:color w:val="000000"/>
                <w:kern w:val="0"/>
                <w:szCs w:val="21"/>
                <w:highlight w:val="yellow"/>
              </w:rPr>
              <w:t>3</w:t>
            </w:r>
          </w:p>
        </w:tc>
        <w:tc>
          <w:tcPr>
            <w:tcW w:w="833" w:type="pct"/>
            <w:tcBorders>
              <w:top w:val="nil"/>
              <w:left w:val="nil"/>
              <w:bottom w:val="single" w:color="auto" w:sz="4" w:space="0"/>
              <w:right w:val="single" w:color="auto" w:sz="4" w:space="0"/>
            </w:tcBorders>
            <w:shd w:val="clear" w:color="auto" w:fill="auto"/>
            <w:vAlign w:val="center"/>
          </w:tcPr>
          <w:p w14:paraId="7DBA0F92">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5F441CF">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68D8015">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5D779652">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4FCEA8D2">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4A2D6F45">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22EC06CA">
            <w:pPr>
              <w:widowControl/>
              <w:spacing w:line="360" w:lineRule="auto"/>
              <w:jc w:val="center"/>
              <w:rPr>
                <w:rFonts w:eastAsia="等线"/>
                <w:color w:val="000000"/>
                <w:kern w:val="0"/>
                <w:szCs w:val="21"/>
                <w:highlight w:val="yellow"/>
              </w:rPr>
            </w:pPr>
            <w:r>
              <w:rPr>
                <w:rFonts w:eastAsia="等线"/>
                <w:color w:val="000000"/>
                <w:kern w:val="0"/>
                <w:szCs w:val="21"/>
                <w:highlight w:val="yellow"/>
              </w:rPr>
              <w:t>4</w:t>
            </w:r>
          </w:p>
        </w:tc>
        <w:tc>
          <w:tcPr>
            <w:tcW w:w="833" w:type="pct"/>
            <w:tcBorders>
              <w:top w:val="nil"/>
              <w:left w:val="nil"/>
              <w:bottom w:val="single" w:color="auto" w:sz="4" w:space="0"/>
              <w:right w:val="single" w:color="auto" w:sz="4" w:space="0"/>
            </w:tcBorders>
            <w:shd w:val="clear" w:color="auto" w:fill="auto"/>
            <w:vAlign w:val="center"/>
          </w:tcPr>
          <w:p w14:paraId="53CD3F36">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03FECD91">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120EA12">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46C0AFCC">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924F73B">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0786AE13">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4C1285EE">
            <w:pPr>
              <w:widowControl/>
              <w:spacing w:line="360" w:lineRule="auto"/>
              <w:jc w:val="center"/>
              <w:rPr>
                <w:rFonts w:eastAsia="等线"/>
                <w:color w:val="000000"/>
                <w:kern w:val="0"/>
                <w:szCs w:val="21"/>
                <w:highlight w:val="yellow"/>
              </w:rPr>
            </w:pPr>
            <w:r>
              <w:rPr>
                <w:rFonts w:eastAsia="等线"/>
                <w:color w:val="000000"/>
                <w:kern w:val="0"/>
                <w:szCs w:val="21"/>
                <w:highlight w:val="yellow"/>
              </w:rPr>
              <w:t>5</w:t>
            </w:r>
          </w:p>
        </w:tc>
        <w:tc>
          <w:tcPr>
            <w:tcW w:w="833" w:type="pct"/>
            <w:tcBorders>
              <w:top w:val="nil"/>
              <w:left w:val="nil"/>
              <w:bottom w:val="single" w:color="auto" w:sz="4" w:space="0"/>
              <w:right w:val="single" w:color="auto" w:sz="4" w:space="0"/>
            </w:tcBorders>
            <w:shd w:val="clear" w:color="auto" w:fill="auto"/>
            <w:vAlign w:val="center"/>
          </w:tcPr>
          <w:p w14:paraId="7DA8C975">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4F459114">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3ADB849B">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127B0E12">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15D78143">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3E00D8A9">
        <w:tblPrEx>
          <w:tblCellMar>
            <w:top w:w="0" w:type="dxa"/>
            <w:left w:w="108" w:type="dxa"/>
            <w:bottom w:w="0" w:type="dxa"/>
            <w:right w:w="108" w:type="dxa"/>
          </w:tblCellMar>
        </w:tblPrEx>
        <w:trPr>
          <w:trHeight w:val="280" w:hRule="atLeast"/>
        </w:trPr>
        <w:tc>
          <w:tcPr>
            <w:tcW w:w="833" w:type="pct"/>
            <w:tcBorders>
              <w:top w:val="nil"/>
              <w:left w:val="single" w:color="auto" w:sz="4" w:space="0"/>
              <w:bottom w:val="single" w:color="auto" w:sz="4" w:space="0"/>
              <w:right w:val="single" w:color="auto" w:sz="4" w:space="0"/>
            </w:tcBorders>
            <w:shd w:val="clear" w:color="auto" w:fill="auto"/>
            <w:vAlign w:val="center"/>
          </w:tcPr>
          <w:p w14:paraId="54D0D45C">
            <w:pPr>
              <w:widowControl/>
              <w:spacing w:line="360" w:lineRule="auto"/>
              <w:jc w:val="center"/>
              <w:rPr>
                <w:rFonts w:eastAsia="等线"/>
                <w:color w:val="000000"/>
                <w:kern w:val="0"/>
                <w:szCs w:val="21"/>
                <w:highlight w:val="yellow"/>
              </w:rPr>
            </w:pPr>
            <w:r>
              <w:rPr>
                <w:rFonts w:eastAsia="等线"/>
                <w:color w:val="000000"/>
                <w:kern w:val="0"/>
                <w:szCs w:val="21"/>
                <w:highlight w:val="yellow"/>
              </w:rPr>
              <w:t>6</w:t>
            </w:r>
          </w:p>
        </w:tc>
        <w:tc>
          <w:tcPr>
            <w:tcW w:w="833" w:type="pct"/>
            <w:tcBorders>
              <w:top w:val="nil"/>
              <w:left w:val="nil"/>
              <w:bottom w:val="single" w:color="auto" w:sz="4" w:space="0"/>
              <w:right w:val="single" w:color="auto" w:sz="4" w:space="0"/>
            </w:tcBorders>
            <w:shd w:val="clear" w:color="auto" w:fill="auto"/>
            <w:vAlign w:val="center"/>
          </w:tcPr>
          <w:p w14:paraId="6A6FB5DF">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5AA10DCB">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6F9B0028">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2861EF73">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c>
          <w:tcPr>
            <w:tcW w:w="833" w:type="pct"/>
            <w:tcBorders>
              <w:top w:val="nil"/>
              <w:left w:val="nil"/>
              <w:bottom w:val="single" w:color="auto" w:sz="4" w:space="0"/>
              <w:right w:val="single" w:color="auto" w:sz="4" w:space="0"/>
            </w:tcBorders>
            <w:shd w:val="clear" w:color="auto" w:fill="auto"/>
            <w:vAlign w:val="center"/>
          </w:tcPr>
          <w:p w14:paraId="502BDE6D">
            <w:pPr>
              <w:widowControl/>
              <w:spacing w:line="360" w:lineRule="auto"/>
              <w:jc w:val="center"/>
              <w:rPr>
                <w:rFonts w:eastAsia="等线"/>
                <w:color w:val="000000"/>
                <w:kern w:val="0"/>
                <w:szCs w:val="21"/>
                <w:highlight w:val="yellow"/>
              </w:rPr>
            </w:pPr>
            <w:r>
              <w:rPr>
                <w:rFonts w:eastAsia="等线"/>
                <w:color w:val="000000"/>
                <w:kern w:val="0"/>
                <w:szCs w:val="21"/>
                <w:highlight w:val="yellow"/>
              </w:rPr>
              <w:t>　</w:t>
            </w:r>
          </w:p>
        </w:tc>
      </w:tr>
      <w:tr w14:paraId="3704E691">
        <w:tblPrEx>
          <w:tblCellMar>
            <w:top w:w="0" w:type="dxa"/>
            <w:left w:w="108" w:type="dxa"/>
            <w:bottom w:w="0" w:type="dxa"/>
            <w:right w:w="108" w:type="dxa"/>
          </w:tblCellMar>
        </w:tblPrEx>
        <w:trPr>
          <w:trHeight w:val="280" w:hRule="atLeast"/>
        </w:trPr>
        <w:tc>
          <w:tcPr>
            <w:tcW w:w="1667" w:type="pct"/>
            <w:gridSpan w:val="2"/>
            <w:tcBorders>
              <w:top w:val="single" w:color="auto" w:sz="4" w:space="0"/>
              <w:left w:val="single" w:color="auto" w:sz="4" w:space="0"/>
              <w:bottom w:val="single" w:color="auto" w:sz="4" w:space="0"/>
              <w:right w:val="single" w:color="000000" w:sz="4" w:space="0"/>
            </w:tcBorders>
            <w:shd w:val="clear" w:color="auto" w:fill="auto"/>
            <w:vAlign w:val="center"/>
          </w:tcPr>
          <w:p w14:paraId="418495CC">
            <w:pPr>
              <w:widowControl/>
              <w:spacing w:line="360" w:lineRule="auto"/>
              <w:jc w:val="center"/>
              <w:rPr>
                <w:rFonts w:eastAsia="等线"/>
                <w:color w:val="000000"/>
                <w:kern w:val="0"/>
                <w:szCs w:val="21"/>
              </w:rPr>
            </w:pPr>
            <w:r>
              <w:rPr>
                <w:rFonts w:eastAsia="等线"/>
                <w:color w:val="000000"/>
                <w:kern w:val="0"/>
                <w:szCs w:val="21"/>
                <w:highlight w:val="yellow"/>
              </w:rPr>
              <w:t>合计</w:t>
            </w:r>
          </w:p>
        </w:tc>
        <w:tc>
          <w:tcPr>
            <w:tcW w:w="833" w:type="pct"/>
            <w:tcBorders>
              <w:top w:val="nil"/>
              <w:left w:val="nil"/>
              <w:bottom w:val="single" w:color="auto" w:sz="4" w:space="0"/>
              <w:right w:val="single" w:color="auto" w:sz="4" w:space="0"/>
            </w:tcBorders>
            <w:shd w:val="clear" w:color="auto" w:fill="auto"/>
            <w:vAlign w:val="center"/>
          </w:tcPr>
          <w:p w14:paraId="16739B1D">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14:paraId="6C125F81">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14:paraId="17E6CC01">
            <w:pPr>
              <w:widowControl/>
              <w:spacing w:line="360" w:lineRule="auto"/>
              <w:jc w:val="center"/>
              <w:rPr>
                <w:rFonts w:eastAsia="等线"/>
                <w:color w:val="000000"/>
                <w:kern w:val="0"/>
                <w:szCs w:val="21"/>
              </w:rPr>
            </w:pPr>
            <w:r>
              <w:rPr>
                <w:rFonts w:eastAsia="等线"/>
                <w:color w:val="000000"/>
                <w:kern w:val="0"/>
                <w:szCs w:val="21"/>
              </w:rPr>
              <w:t>　</w:t>
            </w:r>
          </w:p>
        </w:tc>
        <w:tc>
          <w:tcPr>
            <w:tcW w:w="833" w:type="pct"/>
            <w:tcBorders>
              <w:top w:val="nil"/>
              <w:left w:val="nil"/>
              <w:bottom w:val="single" w:color="auto" w:sz="4" w:space="0"/>
              <w:right w:val="single" w:color="auto" w:sz="4" w:space="0"/>
            </w:tcBorders>
            <w:shd w:val="clear" w:color="auto" w:fill="auto"/>
            <w:vAlign w:val="center"/>
          </w:tcPr>
          <w:p w14:paraId="0C2D0AD3">
            <w:pPr>
              <w:widowControl/>
              <w:spacing w:line="360" w:lineRule="auto"/>
              <w:jc w:val="center"/>
              <w:rPr>
                <w:rFonts w:eastAsia="等线"/>
                <w:color w:val="000000"/>
                <w:kern w:val="0"/>
                <w:szCs w:val="21"/>
              </w:rPr>
            </w:pPr>
            <w:r>
              <w:rPr>
                <w:rFonts w:eastAsia="等线"/>
                <w:color w:val="000000"/>
                <w:kern w:val="0"/>
                <w:szCs w:val="21"/>
              </w:rPr>
              <w:t>　</w:t>
            </w:r>
          </w:p>
        </w:tc>
      </w:tr>
    </w:tbl>
    <w:p w14:paraId="520E1F11">
      <w:pPr>
        <w:spacing w:line="360" w:lineRule="auto"/>
      </w:pPr>
    </w:p>
    <w:p w14:paraId="02CAB994">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71" w:name="_Toc429313753"/>
      <w:bookmarkStart w:id="72" w:name="_Ref114044129"/>
      <w:bookmarkStart w:id="73" w:name="_Ref114044102"/>
      <w:bookmarkStart w:id="74" w:name="_Toc19087183"/>
      <w:bookmarkStart w:id="75" w:name="_Ref118982238"/>
      <w:bookmarkStart w:id="76" w:name="_Toc132902830"/>
      <w:bookmarkStart w:id="77" w:name="_Toc22324015"/>
      <w:bookmarkStart w:id="78" w:name="_Ref118982305"/>
      <w:bookmarkStart w:id="79" w:name="_Ref118982324"/>
      <w:bookmarkStart w:id="80" w:name="_Ref118982244"/>
      <w:r>
        <w:rPr>
          <w:rFonts w:hint="eastAsia" w:ascii="黑体" w:hAnsi="黑体" w:eastAsia="黑体" w:cs="Times New Roman"/>
          <w:color w:val="000000" w:themeColor="text1"/>
          <w:sz w:val="28"/>
          <w:szCs w:val="28"/>
          <w14:textFill>
            <w14:solidFill>
              <w14:schemeClr w14:val="tx1"/>
            </w14:solidFill>
          </w14:textFill>
        </w:rPr>
        <w:t>本期</w:t>
      </w:r>
      <w:r>
        <w:rPr>
          <w:rFonts w:ascii="黑体" w:hAnsi="黑体" w:eastAsia="黑体" w:cs="Times New Roman"/>
          <w:color w:val="000000" w:themeColor="text1"/>
          <w:sz w:val="28"/>
          <w:szCs w:val="28"/>
          <w14:textFill>
            <w14:solidFill>
              <w14:schemeClr w14:val="tx1"/>
            </w14:solidFill>
          </w14:textFill>
        </w:rPr>
        <w:t>站址需求</w:t>
      </w:r>
      <w:bookmarkEnd w:id="71"/>
      <w:bookmarkEnd w:id="72"/>
      <w:bookmarkEnd w:id="73"/>
      <w:bookmarkEnd w:id="74"/>
      <w:bookmarkEnd w:id="75"/>
      <w:bookmarkEnd w:id="76"/>
      <w:bookmarkEnd w:id="77"/>
      <w:bookmarkEnd w:id="78"/>
      <w:bookmarkEnd w:id="79"/>
      <w:bookmarkEnd w:id="80"/>
    </w:p>
    <w:p w14:paraId="363E138B">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需求内容</w:t>
      </w:r>
      <w:r>
        <w:rPr>
          <w:color w:val="000000" w:themeColor="text1"/>
          <w:sz w:val="24"/>
          <w14:textFill>
            <w14:solidFill>
              <w14:schemeClr w14:val="tx1"/>
            </w14:solidFill>
          </w14:textFill>
        </w:rPr>
        <w:t>包含覆盖场景需求，站址选择要求，运营商分类，网络制式选择，通信设备安装要求，天馈系统</w:t>
      </w:r>
      <w:r>
        <w:rPr>
          <w:rFonts w:hint="eastAsia"/>
          <w:color w:val="000000" w:themeColor="text1"/>
          <w:sz w:val="24"/>
          <w14:textFill>
            <w14:solidFill>
              <w14:schemeClr w14:val="tx1"/>
            </w14:solidFill>
          </w14:textFill>
        </w:rPr>
        <w:t>，电源配套设备</w:t>
      </w:r>
      <w:r>
        <w:rPr>
          <w:color w:val="000000" w:themeColor="text1"/>
          <w:sz w:val="24"/>
          <w14:textFill>
            <w14:solidFill>
              <w14:schemeClr w14:val="tx1"/>
            </w14:solidFill>
          </w14:textFill>
        </w:rPr>
        <w:t>安装要求等</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具体</w:t>
      </w:r>
      <w:r>
        <w:rPr>
          <w:rFonts w:hint="eastAsia"/>
          <w:color w:val="000000" w:themeColor="text1"/>
          <w:sz w:val="24"/>
          <w14:textFill>
            <w14:solidFill>
              <w14:schemeClr w14:val="tx1"/>
            </w14:solidFill>
          </w14:textFill>
        </w:rPr>
        <w:t>见本节以下</w:t>
      </w:r>
      <w:r>
        <w:rPr>
          <w:color w:val="000000" w:themeColor="text1"/>
          <w:sz w:val="24"/>
          <w14:textFill>
            <w14:solidFill>
              <w14:schemeClr w14:val="tx1"/>
            </w14:solidFill>
          </w14:textFill>
        </w:rPr>
        <w:t>内容。</w:t>
      </w:r>
    </w:p>
    <w:p w14:paraId="06809EDB">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本期工程共收到运营商需求128个，详细情况如下表：</w:t>
      </w:r>
    </w:p>
    <w:p w14:paraId="0F5AFC7F">
      <w:pPr>
        <w:spacing w:line="360" w:lineRule="auto"/>
        <w:jc w:val="left"/>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_Ref118982238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rFonts w:hint="eastAsia"/>
          <w:color w:val="000000" w:themeColor="text1"/>
          <w:szCs w:val="21"/>
          <w:highlight w:val="yellow"/>
          <w14:textFill>
            <w14:solidFill>
              <w14:schemeClr w14:val="tx1"/>
            </w14:solidFill>
          </w14:textFill>
        </w:rPr>
        <w:t>-</w:t>
      </w:r>
      <w:r>
        <w:rPr>
          <w:color w:val="000000" w:themeColor="text1"/>
          <w:szCs w:val="21"/>
          <w:highlight w:val="yellow"/>
          <w14:textFill>
            <w14:solidFill>
              <w14:schemeClr w14:val="tx1"/>
            </w14:solidFill>
          </w14:textFill>
        </w:rPr>
        <w:t>1</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运营商需求分场景、分网络制式统计表（单位：个）</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3"/>
        <w:gridCol w:w="683"/>
        <w:gridCol w:w="684"/>
        <w:gridCol w:w="684"/>
        <w:gridCol w:w="686"/>
        <w:gridCol w:w="686"/>
        <w:gridCol w:w="686"/>
        <w:gridCol w:w="686"/>
        <w:gridCol w:w="847"/>
        <w:gridCol w:w="1045"/>
        <w:gridCol w:w="677"/>
        <w:gridCol w:w="674"/>
      </w:tblGrid>
      <w:tr w14:paraId="47530D8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tblHeader/>
          <w:jc w:val="center"/>
        </w:trPr>
        <w:tc>
          <w:tcPr>
            <w:tcW w:w="417" w:type="pct"/>
            <w:vMerge w:val="restart"/>
            <w:shd w:val="clear" w:color="auto" w:fill="auto"/>
            <w:vAlign w:val="center"/>
          </w:tcPr>
          <w:p w14:paraId="30954BCF">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417" w:type="pct"/>
            <w:vMerge w:val="restart"/>
            <w:shd w:val="clear" w:color="auto" w:fill="auto"/>
            <w:vAlign w:val="center"/>
          </w:tcPr>
          <w:p w14:paraId="6A8A1C76">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087" w:type="pct"/>
            <w:gridSpan w:val="5"/>
            <w:shd w:val="clear" w:color="auto" w:fill="auto"/>
            <w:vAlign w:val="center"/>
          </w:tcPr>
          <w:p w14:paraId="4F72DA05">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分场景统计</w:t>
            </w:r>
          </w:p>
        </w:tc>
        <w:tc>
          <w:tcPr>
            <w:tcW w:w="2079" w:type="pct"/>
            <w:gridSpan w:val="5"/>
            <w:shd w:val="clear" w:color="auto" w:fill="auto"/>
            <w:vAlign w:val="center"/>
          </w:tcPr>
          <w:p w14:paraId="0422D507">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网络制式分类</w:t>
            </w:r>
          </w:p>
        </w:tc>
      </w:tr>
      <w:tr w14:paraId="74156B4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45" w:hRule="atLeast"/>
          <w:tblHeader/>
          <w:jc w:val="center"/>
        </w:trPr>
        <w:tc>
          <w:tcPr>
            <w:tcW w:w="417" w:type="pct"/>
            <w:vMerge w:val="continue"/>
            <w:vAlign w:val="center"/>
          </w:tcPr>
          <w:p w14:paraId="583B301D">
            <w:pPr>
              <w:widowControl/>
              <w:spacing w:line="360" w:lineRule="auto"/>
              <w:jc w:val="center"/>
              <w:rPr>
                <w:color w:val="000000" w:themeColor="text1"/>
                <w:kern w:val="0"/>
                <w:szCs w:val="21"/>
                <w:highlight w:val="yellow"/>
                <w14:textFill>
                  <w14:solidFill>
                    <w14:schemeClr w14:val="tx1"/>
                  </w14:solidFill>
                </w14:textFill>
              </w:rPr>
            </w:pPr>
          </w:p>
        </w:tc>
        <w:tc>
          <w:tcPr>
            <w:tcW w:w="417" w:type="pct"/>
            <w:vMerge w:val="continue"/>
            <w:vAlign w:val="center"/>
          </w:tcPr>
          <w:p w14:paraId="71B19F39">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14:paraId="463653FA">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城区</w:t>
            </w:r>
          </w:p>
        </w:tc>
        <w:tc>
          <w:tcPr>
            <w:tcW w:w="417" w:type="pct"/>
            <w:shd w:val="clear" w:color="auto" w:fill="auto"/>
            <w:vAlign w:val="center"/>
          </w:tcPr>
          <w:p w14:paraId="2D408AD8">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乡镇</w:t>
            </w:r>
          </w:p>
        </w:tc>
        <w:tc>
          <w:tcPr>
            <w:tcW w:w="418" w:type="pct"/>
            <w:shd w:val="clear" w:color="auto" w:fill="auto"/>
            <w:vAlign w:val="center"/>
          </w:tcPr>
          <w:p w14:paraId="201B3EF6">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农村</w:t>
            </w:r>
          </w:p>
        </w:tc>
        <w:tc>
          <w:tcPr>
            <w:tcW w:w="418" w:type="pct"/>
            <w:shd w:val="clear" w:color="auto" w:fill="auto"/>
            <w:vAlign w:val="center"/>
          </w:tcPr>
          <w:p w14:paraId="504B2993">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交通干线</w:t>
            </w:r>
          </w:p>
        </w:tc>
        <w:tc>
          <w:tcPr>
            <w:tcW w:w="418" w:type="pct"/>
            <w:shd w:val="clear" w:color="auto" w:fill="auto"/>
            <w:vAlign w:val="center"/>
          </w:tcPr>
          <w:p w14:paraId="6E86CDCE">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418" w:type="pct"/>
            <w:shd w:val="clear" w:color="auto" w:fill="auto"/>
            <w:vAlign w:val="center"/>
          </w:tcPr>
          <w:p w14:paraId="44925D22">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GSM</w:t>
            </w:r>
          </w:p>
        </w:tc>
        <w:tc>
          <w:tcPr>
            <w:tcW w:w="418" w:type="pct"/>
            <w:shd w:val="clear" w:color="auto" w:fill="auto"/>
            <w:vAlign w:val="center"/>
          </w:tcPr>
          <w:p w14:paraId="3E0BC096">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CDMA</w:t>
            </w:r>
          </w:p>
        </w:tc>
        <w:tc>
          <w:tcPr>
            <w:tcW w:w="418" w:type="pct"/>
            <w:shd w:val="clear" w:color="auto" w:fill="auto"/>
            <w:vAlign w:val="center"/>
          </w:tcPr>
          <w:p w14:paraId="63E80F29">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WCDMA</w:t>
            </w:r>
          </w:p>
        </w:tc>
        <w:tc>
          <w:tcPr>
            <w:tcW w:w="413" w:type="pct"/>
            <w:shd w:val="clear" w:color="auto" w:fill="auto"/>
            <w:vAlign w:val="center"/>
          </w:tcPr>
          <w:p w14:paraId="589A7B79">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LTE</w:t>
            </w:r>
          </w:p>
        </w:tc>
        <w:tc>
          <w:tcPr>
            <w:tcW w:w="413" w:type="pct"/>
          </w:tcPr>
          <w:p w14:paraId="397FBA28">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5G</w:t>
            </w:r>
          </w:p>
        </w:tc>
      </w:tr>
      <w:tr w14:paraId="3D468D7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14:paraId="74C10EA1">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417" w:type="pct"/>
            <w:shd w:val="clear" w:color="auto" w:fill="auto"/>
            <w:vAlign w:val="center"/>
          </w:tcPr>
          <w:p w14:paraId="2D5B2B4E">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7" w:type="pct"/>
            <w:shd w:val="clear" w:color="auto" w:fill="auto"/>
            <w:vAlign w:val="center"/>
          </w:tcPr>
          <w:p w14:paraId="1D9909B5">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14:paraId="13162B57">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w:t>
            </w:r>
          </w:p>
        </w:tc>
        <w:tc>
          <w:tcPr>
            <w:tcW w:w="418" w:type="pct"/>
            <w:shd w:val="clear" w:color="auto" w:fill="auto"/>
            <w:vAlign w:val="center"/>
          </w:tcPr>
          <w:p w14:paraId="54896020">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43</w:t>
            </w:r>
          </w:p>
        </w:tc>
        <w:tc>
          <w:tcPr>
            <w:tcW w:w="418" w:type="pct"/>
            <w:shd w:val="clear" w:color="auto" w:fill="auto"/>
            <w:vAlign w:val="center"/>
          </w:tcPr>
          <w:p w14:paraId="35399C51">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7E2EB074">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60345AF5">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53925CEB">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31037D23">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14:paraId="6DE4726A">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14:paraId="70065061">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r>
      <w:tr w14:paraId="515D7D9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14:paraId="56AD6A7D">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417" w:type="pct"/>
            <w:shd w:val="clear" w:color="auto" w:fill="auto"/>
            <w:vAlign w:val="center"/>
          </w:tcPr>
          <w:p w14:paraId="55DB24F6">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7" w:type="pct"/>
            <w:shd w:val="clear" w:color="auto" w:fill="auto"/>
            <w:vAlign w:val="center"/>
          </w:tcPr>
          <w:p w14:paraId="5325CC41">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23</w:t>
            </w:r>
          </w:p>
        </w:tc>
        <w:tc>
          <w:tcPr>
            <w:tcW w:w="417" w:type="pct"/>
            <w:shd w:val="clear" w:color="auto" w:fill="auto"/>
            <w:vAlign w:val="center"/>
          </w:tcPr>
          <w:p w14:paraId="6C19C01D">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418" w:type="pct"/>
            <w:shd w:val="clear" w:color="auto" w:fill="auto"/>
            <w:vAlign w:val="center"/>
          </w:tcPr>
          <w:p w14:paraId="32EC04F5">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418" w:type="pct"/>
            <w:shd w:val="clear" w:color="auto" w:fill="auto"/>
            <w:vAlign w:val="center"/>
          </w:tcPr>
          <w:p w14:paraId="2386FE8D">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0CE02F02">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0F7813A8">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0C96C2CA">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0EBB800D">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14:paraId="4A2C1CD5">
            <w:pPr>
              <w:widowControl/>
              <w:spacing w:line="360" w:lineRule="auto"/>
              <w:jc w:val="center"/>
              <w:rPr>
                <w:color w:val="000000" w:themeColor="text1"/>
                <w:kern w:val="0"/>
                <w:szCs w:val="21"/>
                <w:highlight w:val="yellow"/>
                <w14:textFill>
                  <w14:solidFill>
                    <w14:schemeClr w14:val="tx1"/>
                  </w14:solidFill>
                </w14:textFill>
              </w:rPr>
            </w:pPr>
          </w:p>
        </w:tc>
        <w:tc>
          <w:tcPr>
            <w:tcW w:w="413" w:type="pct"/>
            <w:vAlign w:val="center"/>
          </w:tcPr>
          <w:p w14:paraId="195AF45E">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r>
      <w:tr w14:paraId="2B9B21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14:paraId="0AA7A941">
            <w:pPr>
              <w:widowControl/>
              <w:spacing w:line="360" w:lineRule="auto"/>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417" w:type="pct"/>
            <w:shd w:val="clear" w:color="auto" w:fill="auto"/>
            <w:vAlign w:val="center"/>
          </w:tcPr>
          <w:p w14:paraId="5D14DA35">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14:paraId="04041AEB">
            <w:pPr>
              <w:widowControl/>
              <w:spacing w:line="360" w:lineRule="auto"/>
              <w:jc w:val="center"/>
              <w:rPr>
                <w:color w:val="000000" w:themeColor="text1"/>
                <w:kern w:val="0"/>
                <w:szCs w:val="21"/>
                <w:highlight w:val="yellow"/>
                <w14:textFill>
                  <w14:solidFill>
                    <w14:schemeClr w14:val="tx1"/>
                  </w14:solidFill>
                </w14:textFill>
              </w:rPr>
            </w:pPr>
          </w:p>
        </w:tc>
        <w:tc>
          <w:tcPr>
            <w:tcW w:w="417" w:type="pct"/>
            <w:shd w:val="clear" w:color="auto" w:fill="auto"/>
            <w:vAlign w:val="center"/>
          </w:tcPr>
          <w:p w14:paraId="2C895FEC">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2D319D34">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63689DC5">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3F796C27">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3036E8FD">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4594FD10">
            <w:pPr>
              <w:widowControl/>
              <w:spacing w:line="360" w:lineRule="auto"/>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7FBD2FC4">
            <w:pPr>
              <w:widowControl/>
              <w:spacing w:line="360" w:lineRule="auto"/>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14:paraId="17DE740E">
            <w:pPr>
              <w:widowControl/>
              <w:spacing w:line="360" w:lineRule="auto"/>
              <w:jc w:val="center"/>
              <w:rPr>
                <w:color w:val="000000" w:themeColor="text1"/>
                <w:kern w:val="0"/>
                <w:szCs w:val="21"/>
                <w:highlight w:val="yellow"/>
                <w14:textFill>
                  <w14:solidFill>
                    <w14:schemeClr w14:val="tx1"/>
                  </w14:solidFill>
                </w14:textFill>
              </w:rPr>
            </w:pPr>
          </w:p>
        </w:tc>
        <w:tc>
          <w:tcPr>
            <w:tcW w:w="413" w:type="pct"/>
          </w:tcPr>
          <w:p w14:paraId="4C170EAF">
            <w:pPr>
              <w:widowControl/>
              <w:spacing w:line="360" w:lineRule="auto"/>
              <w:jc w:val="center"/>
              <w:rPr>
                <w:color w:val="000000" w:themeColor="text1"/>
                <w:kern w:val="0"/>
                <w:szCs w:val="21"/>
                <w:highlight w:val="yellow"/>
                <w14:textFill>
                  <w14:solidFill>
                    <w14:schemeClr w14:val="tx1"/>
                  </w14:solidFill>
                </w14:textFill>
              </w:rPr>
            </w:pPr>
          </w:p>
        </w:tc>
      </w:tr>
      <w:tr w14:paraId="75584A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 w:hRule="atLeast"/>
          <w:jc w:val="center"/>
        </w:trPr>
        <w:tc>
          <w:tcPr>
            <w:tcW w:w="417" w:type="pct"/>
            <w:shd w:val="clear" w:color="auto" w:fill="auto"/>
            <w:vAlign w:val="center"/>
          </w:tcPr>
          <w:p w14:paraId="797405F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417" w:type="pct"/>
            <w:shd w:val="clear" w:color="auto" w:fill="auto"/>
            <w:vAlign w:val="center"/>
          </w:tcPr>
          <w:p w14:paraId="73165FEC">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7" w:type="pct"/>
            <w:shd w:val="clear" w:color="auto" w:fill="auto"/>
            <w:vAlign w:val="center"/>
          </w:tcPr>
          <w:p w14:paraId="3C6AD6B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46</w:t>
            </w:r>
          </w:p>
        </w:tc>
        <w:tc>
          <w:tcPr>
            <w:tcW w:w="417" w:type="pct"/>
            <w:shd w:val="clear" w:color="auto" w:fill="auto"/>
            <w:vAlign w:val="center"/>
          </w:tcPr>
          <w:p w14:paraId="69BD3A85">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418" w:type="pct"/>
            <w:shd w:val="clear" w:color="auto" w:fill="auto"/>
            <w:vAlign w:val="center"/>
          </w:tcPr>
          <w:p w14:paraId="1B7AF80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75</w:t>
            </w:r>
          </w:p>
        </w:tc>
        <w:tc>
          <w:tcPr>
            <w:tcW w:w="418" w:type="pct"/>
            <w:shd w:val="clear" w:color="auto" w:fill="auto"/>
            <w:vAlign w:val="center"/>
          </w:tcPr>
          <w:p w14:paraId="578AEE9A">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07F068A9">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2CEBBF49">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6B162D95">
            <w:pPr>
              <w:widowControl/>
              <w:jc w:val="center"/>
              <w:rPr>
                <w:color w:val="000000" w:themeColor="text1"/>
                <w:kern w:val="0"/>
                <w:szCs w:val="21"/>
                <w:highlight w:val="yellow"/>
                <w14:textFill>
                  <w14:solidFill>
                    <w14:schemeClr w14:val="tx1"/>
                  </w14:solidFill>
                </w14:textFill>
              </w:rPr>
            </w:pPr>
          </w:p>
        </w:tc>
        <w:tc>
          <w:tcPr>
            <w:tcW w:w="418" w:type="pct"/>
            <w:shd w:val="clear" w:color="auto" w:fill="auto"/>
            <w:vAlign w:val="center"/>
          </w:tcPr>
          <w:p w14:paraId="4CDF93B5">
            <w:pPr>
              <w:widowControl/>
              <w:jc w:val="center"/>
              <w:rPr>
                <w:color w:val="000000" w:themeColor="text1"/>
                <w:kern w:val="0"/>
                <w:szCs w:val="21"/>
                <w:highlight w:val="yellow"/>
                <w14:textFill>
                  <w14:solidFill>
                    <w14:schemeClr w14:val="tx1"/>
                  </w14:solidFill>
                </w14:textFill>
              </w:rPr>
            </w:pPr>
          </w:p>
        </w:tc>
        <w:tc>
          <w:tcPr>
            <w:tcW w:w="413" w:type="pct"/>
            <w:shd w:val="clear" w:color="auto" w:fill="auto"/>
            <w:vAlign w:val="center"/>
          </w:tcPr>
          <w:p w14:paraId="383253DB">
            <w:pPr>
              <w:widowControl/>
              <w:jc w:val="center"/>
              <w:rPr>
                <w:color w:val="000000" w:themeColor="text1"/>
                <w:kern w:val="0"/>
                <w:szCs w:val="21"/>
                <w:highlight w:val="yellow"/>
                <w14:textFill>
                  <w14:solidFill>
                    <w14:schemeClr w14:val="tx1"/>
                  </w14:solidFill>
                </w14:textFill>
              </w:rPr>
            </w:pPr>
          </w:p>
        </w:tc>
        <w:tc>
          <w:tcPr>
            <w:tcW w:w="413" w:type="pct"/>
          </w:tcPr>
          <w:p w14:paraId="7DC7CED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r>
    </w:tbl>
    <w:p w14:paraId="573A9C2C">
      <w:pPr>
        <w:spacing w:line="360" w:lineRule="auto"/>
        <w:rPr>
          <w:rFonts w:hint="eastAsia" w:ascii="宋体" w:hAnsi="宋体"/>
          <w:color w:val="000000" w:themeColor="text1"/>
          <w:sz w:val="24"/>
          <w:highlight w:val="yellow"/>
          <w14:textFill>
            <w14:solidFill>
              <w14:schemeClr w14:val="tx1"/>
            </w14:solidFill>
          </w14:textFill>
        </w:rPr>
      </w:pPr>
    </w:p>
    <w:p w14:paraId="7E862E01">
      <w:pPr>
        <w:spacing w:line="360" w:lineRule="auto"/>
        <w:rPr>
          <w:rFonts w:hint="eastAsia" w:ascii="宋体" w:hAnsi="宋体"/>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_Ref118982305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2</w:t>
      </w:r>
      <w:r>
        <w:rPr>
          <w:rFonts w:hint="eastAsia"/>
          <w:color w:val="000000" w:themeColor="text1"/>
          <w:szCs w:val="21"/>
          <w:highlight w:val="yellow"/>
          <w14:textFill>
            <w14:solidFill>
              <w14:schemeClr w14:val="tx1"/>
            </w14:solidFill>
          </w14:textFill>
        </w:rPr>
        <w:tab/>
      </w:r>
      <w:r>
        <w:rPr>
          <w:color w:val="000000" w:themeColor="text1"/>
          <w:szCs w:val="21"/>
          <w:highlight w:val="yellow"/>
          <w14:textFill>
            <w14:solidFill>
              <w14:schemeClr w14:val="tx1"/>
            </w14:solidFill>
          </w14:textFill>
        </w:rPr>
        <w:t xml:space="preserve">      </w:t>
      </w:r>
      <w:r>
        <w:rPr>
          <w:rFonts w:hint="eastAsia" w:ascii="宋体" w:hAnsi="宋体"/>
          <w:color w:val="000000" w:themeColor="text1"/>
          <w:szCs w:val="21"/>
          <w:highlight w:val="yellow"/>
          <w14:textFill>
            <w14:solidFill>
              <w14:schemeClr w14:val="tx1"/>
            </w14:solidFill>
          </w14:textFill>
        </w:rPr>
        <w:t>运营商通信设备及天馈系统安装需求统计表（单位：个）</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9"/>
        <w:gridCol w:w="970"/>
        <w:gridCol w:w="970"/>
        <w:gridCol w:w="970"/>
        <w:gridCol w:w="970"/>
        <w:gridCol w:w="973"/>
        <w:gridCol w:w="970"/>
        <w:gridCol w:w="970"/>
        <w:gridCol w:w="959"/>
      </w:tblGrid>
      <w:tr w14:paraId="60FE036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blHeader/>
        </w:trPr>
        <w:tc>
          <w:tcPr>
            <w:tcW w:w="556" w:type="pct"/>
            <w:vMerge w:val="restart"/>
            <w:shd w:val="clear" w:color="auto" w:fill="auto"/>
            <w:vAlign w:val="center"/>
          </w:tcPr>
          <w:p w14:paraId="7C9FDD63">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56" w:type="pct"/>
            <w:vMerge w:val="restart"/>
            <w:shd w:val="clear" w:color="auto" w:fill="auto"/>
            <w:vAlign w:val="center"/>
          </w:tcPr>
          <w:p w14:paraId="1BFD171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2226" w:type="pct"/>
            <w:gridSpan w:val="4"/>
            <w:shd w:val="clear" w:color="auto" w:fill="auto"/>
            <w:vAlign w:val="center"/>
          </w:tcPr>
          <w:p w14:paraId="576B1455">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天线平台需求</w:t>
            </w:r>
          </w:p>
        </w:tc>
        <w:tc>
          <w:tcPr>
            <w:tcW w:w="1662" w:type="pct"/>
            <w:gridSpan w:val="3"/>
            <w:shd w:val="clear" w:color="auto" w:fill="auto"/>
            <w:vAlign w:val="center"/>
          </w:tcPr>
          <w:p w14:paraId="41F7F85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设备安装要求</w:t>
            </w:r>
          </w:p>
        </w:tc>
      </w:tr>
      <w:tr w14:paraId="1DAFB0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0" w:hRule="atLeast"/>
          <w:tblHeader/>
        </w:trPr>
        <w:tc>
          <w:tcPr>
            <w:tcW w:w="556" w:type="pct"/>
            <w:vMerge w:val="continue"/>
            <w:vAlign w:val="center"/>
          </w:tcPr>
          <w:p w14:paraId="0BD68228">
            <w:pPr>
              <w:widowControl/>
              <w:jc w:val="center"/>
              <w:rPr>
                <w:color w:val="000000" w:themeColor="text1"/>
                <w:kern w:val="0"/>
                <w:szCs w:val="21"/>
                <w:highlight w:val="yellow"/>
                <w14:textFill>
                  <w14:solidFill>
                    <w14:schemeClr w14:val="tx1"/>
                  </w14:solidFill>
                </w14:textFill>
              </w:rPr>
            </w:pPr>
          </w:p>
        </w:tc>
        <w:tc>
          <w:tcPr>
            <w:tcW w:w="556" w:type="pct"/>
            <w:vMerge w:val="continue"/>
            <w:vAlign w:val="center"/>
          </w:tcPr>
          <w:p w14:paraId="3F4C0149">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61DA35A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第一平台</w:t>
            </w:r>
          </w:p>
        </w:tc>
        <w:tc>
          <w:tcPr>
            <w:tcW w:w="556" w:type="pct"/>
            <w:shd w:val="clear" w:color="auto" w:fill="auto"/>
            <w:vAlign w:val="center"/>
          </w:tcPr>
          <w:p w14:paraId="0B49CD65">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第二平台</w:t>
            </w:r>
          </w:p>
        </w:tc>
        <w:tc>
          <w:tcPr>
            <w:tcW w:w="556" w:type="pct"/>
            <w:shd w:val="clear" w:color="auto" w:fill="auto"/>
            <w:vAlign w:val="center"/>
          </w:tcPr>
          <w:p w14:paraId="2959613A">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第三平台</w:t>
            </w:r>
          </w:p>
        </w:tc>
        <w:tc>
          <w:tcPr>
            <w:tcW w:w="558" w:type="pct"/>
            <w:shd w:val="clear" w:color="auto" w:fill="auto"/>
            <w:vAlign w:val="center"/>
          </w:tcPr>
          <w:p w14:paraId="64F3B72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c>
          <w:tcPr>
            <w:tcW w:w="556" w:type="pct"/>
            <w:shd w:val="clear" w:color="auto" w:fill="auto"/>
            <w:vAlign w:val="center"/>
          </w:tcPr>
          <w:p w14:paraId="74C52448">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独立机柜</w:t>
            </w:r>
          </w:p>
        </w:tc>
        <w:tc>
          <w:tcPr>
            <w:tcW w:w="556" w:type="pct"/>
            <w:shd w:val="clear" w:color="auto" w:fill="auto"/>
            <w:vAlign w:val="center"/>
          </w:tcPr>
          <w:p w14:paraId="4A0DE04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共用机柜</w:t>
            </w:r>
          </w:p>
        </w:tc>
        <w:tc>
          <w:tcPr>
            <w:tcW w:w="550" w:type="pct"/>
            <w:shd w:val="clear" w:color="auto" w:fill="auto"/>
            <w:vAlign w:val="center"/>
          </w:tcPr>
          <w:p w14:paraId="1162FDC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其他</w:t>
            </w:r>
          </w:p>
        </w:tc>
      </w:tr>
      <w:tr w14:paraId="512C48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14:paraId="7805028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56" w:type="pct"/>
            <w:shd w:val="clear" w:color="auto" w:fill="auto"/>
            <w:vAlign w:val="center"/>
          </w:tcPr>
          <w:p w14:paraId="73400B9A">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556" w:type="pct"/>
            <w:shd w:val="clear" w:color="auto" w:fill="auto"/>
            <w:vAlign w:val="center"/>
          </w:tcPr>
          <w:p w14:paraId="7B0A0342">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14:paraId="4A2C05F8">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40</w:t>
            </w:r>
          </w:p>
        </w:tc>
        <w:tc>
          <w:tcPr>
            <w:tcW w:w="556" w:type="pct"/>
            <w:shd w:val="clear" w:color="auto" w:fill="auto"/>
            <w:vAlign w:val="center"/>
          </w:tcPr>
          <w:p w14:paraId="15EDD2D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19</w:t>
            </w:r>
          </w:p>
        </w:tc>
        <w:tc>
          <w:tcPr>
            <w:tcW w:w="558" w:type="pct"/>
            <w:shd w:val="clear" w:color="auto" w:fill="auto"/>
            <w:vAlign w:val="center"/>
          </w:tcPr>
          <w:p w14:paraId="5FBE2A1E">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1D629A9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556" w:type="pct"/>
            <w:shd w:val="clear" w:color="auto" w:fill="auto"/>
            <w:vAlign w:val="center"/>
          </w:tcPr>
          <w:p w14:paraId="6AD1569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59</w:t>
            </w:r>
          </w:p>
        </w:tc>
        <w:tc>
          <w:tcPr>
            <w:tcW w:w="550" w:type="pct"/>
            <w:shd w:val="clear" w:color="auto" w:fill="auto"/>
            <w:vAlign w:val="center"/>
          </w:tcPr>
          <w:p w14:paraId="7BF3C07C">
            <w:pPr>
              <w:widowControl/>
              <w:jc w:val="center"/>
              <w:rPr>
                <w:color w:val="000000" w:themeColor="text1"/>
                <w:kern w:val="0"/>
                <w:szCs w:val="21"/>
                <w:highlight w:val="yellow"/>
                <w14:textFill>
                  <w14:solidFill>
                    <w14:schemeClr w14:val="tx1"/>
                  </w14:solidFill>
                </w14:textFill>
              </w:rPr>
            </w:pPr>
          </w:p>
        </w:tc>
      </w:tr>
      <w:tr w14:paraId="745705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14:paraId="2AF7DF35">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56" w:type="pct"/>
            <w:shd w:val="clear" w:color="auto" w:fill="auto"/>
            <w:vAlign w:val="center"/>
          </w:tcPr>
          <w:p w14:paraId="023AC5E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556" w:type="pct"/>
            <w:shd w:val="clear" w:color="auto" w:fill="auto"/>
            <w:vAlign w:val="center"/>
          </w:tcPr>
          <w:p w14:paraId="23C7EE7D">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14:paraId="4814FFA3">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556" w:type="pct"/>
            <w:shd w:val="clear" w:color="auto" w:fill="auto"/>
            <w:vAlign w:val="center"/>
          </w:tcPr>
          <w:p w14:paraId="689FF2F8">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558" w:type="pct"/>
            <w:shd w:val="clear" w:color="auto" w:fill="auto"/>
            <w:vAlign w:val="center"/>
          </w:tcPr>
          <w:p w14:paraId="5B38FD5E">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345CE0D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36</w:t>
            </w:r>
          </w:p>
        </w:tc>
        <w:tc>
          <w:tcPr>
            <w:tcW w:w="556" w:type="pct"/>
            <w:shd w:val="clear" w:color="auto" w:fill="auto"/>
            <w:vAlign w:val="center"/>
          </w:tcPr>
          <w:p w14:paraId="6A2B060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25</w:t>
            </w:r>
          </w:p>
        </w:tc>
        <w:tc>
          <w:tcPr>
            <w:tcW w:w="550" w:type="pct"/>
            <w:shd w:val="clear" w:color="auto" w:fill="auto"/>
            <w:vAlign w:val="center"/>
          </w:tcPr>
          <w:p w14:paraId="0F92230B">
            <w:pPr>
              <w:widowControl/>
              <w:jc w:val="center"/>
              <w:rPr>
                <w:color w:val="000000" w:themeColor="text1"/>
                <w:kern w:val="0"/>
                <w:szCs w:val="21"/>
                <w:highlight w:val="yellow"/>
                <w14:textFill>
                  <w14:solidFill>
                    <w14:schemeClr w14:val="tx1"/>
                  </w14:solidFill>
                </w14:textFill>
              </w:rPr>
            </w:pPr>
          </w:p>
        </w:tc>
      </w:tr>
      <w:tr w14:paraId="378209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14:paraId="498795F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56" w:type="pct"/>
            <w:shd w:val="clear" w:color="auto" w:fill="auto"/>
            <w:vAlign w:val="center"/>
          </w:tcPr>
          <w:p w14:paraId="71921467">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0C25992D">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1971FA3D">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4499B40D">
            <w:pPr>
              <w:widowControl/>
              <w:jc w:val="center"/>
              <w:rPr>
                <w:color w:val="000000" w:themeColor="text1"/>
                <w:kern w:val="0"/>
                <w:szCs w:val="21"/>
                <w:highlight w:val="yellow"/>
                <w14:textFill>
                  <w14:solidFill>
                    <w14:schemeClr w14:val="tx1"/>
                  </w14:solidFill>
                </w14:textFill>
              </w:rPr>
            </w:pPr>
          </w:p>
        </w:tc>
        <w:tc>
          <w:tcPr>
            <w:tcW w:w="558" w:type="pct"/>
            <w:shd w:val="clear" w:color="auto" w:fill="auto"/>
            <w:vAlign w:val="center"/>
          </w:tcPr>
          <w:p w14:paraId="579D31E9">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449093A8">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797D6FF7">
            <w:pPr>
              <w:widowControl/>
              <w:jc w:val="center"/>
              <w:rPr>
                <w:color w:val="000000" w:themeColor="text1"/>
                <w:kern w:val="0"/>
                <w:szCs w:val="21"/>
                <w:highlight w:val="yellow"/>
                <w14:textFill>
                  <w14:solidFill>
                    <w14:schemeClr w14:val="tx1"/>
                  </w14:solidFill>
                </w14:textFill>
              </w:rPr>
            </w:pPr>
          </w:p>
        </w:tc>
        <w:tc>
          <w:tcPr>
            <w:tcW w:w="550" w:type="pct"/>
            <w:shd w:val="clear" w:color="auto" w:fill="auto"/>
            <w:vAlign w:val="center"/>
          </w:tcPr>
          <w:p w14:paraId="5C3D5210">
            <w:pPr>
              <w:widowControl/>
              <w:jc w:val="center"/>
              <w:rPr>
                <w:color w:val="000000" w:themeColor="text1"/>
                <w:kern w:val="0"/>
                <w:szCs w:val="21"/>
                <w:highlight w:val="yellow"/>
                <w14:textFill>
                  <w14:solidFill>
                    <w14:schemeClr w14:val="tx1"/>
                  </w14:solidFill>
                </w14:textFill>
              </w:rPr>
            </w:pPr>
          </w:p>
        </w:tc>
      </w:tr>
      <w:tr w14:paraId="6442B76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556" w:type="pct"/>
            <w:shd w:val="clear" w:color="auto" w:fill="auto"/>
            <w:vAlign w:val="center"/>
          </w:tcPr>
          <w:p w14:paraId="12A21E6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56" w:type="pct"/>
            <w:shd w:val="clear" w:color="auto" w:fill="auto"/>
            <w:vAlign w:val="center"/>
          </w:tcPr>
          <w:p w14:paraId="70741CD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556" w:type="pct"/>
            <w:shd w:val="clear" w:color="auto" w:fill="auto"/>
            <w:vAlign w:val="center"/>
          </w:tcPr>
          <w:p w14:paraId="3184623E">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14:paraId="3EB9A61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55</w:t>
            </w:r>
          </w:p>
        </w:tc>
        <w:tc>
          <w:tcPr>
            <w:tcW w:w="556" w:type="pct"/>
            <w:shd w:val="clear" w:color="auto" w:fill="auto"/>
            <w:vAlign w:val="center"/>
          </w:tcPr>
          <w:p w14:paraId="7325715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29</w:t>
            </w:r>
          </w:p>
        </w:tc>
        <w:tc>
          <w:tcPr>
            <w:tcW w:w="558" w:type="pct"/>
            <w:shd w:val="clear" w:color="auto" w:fill="auto"/>
            <w:vAlign w:val="center"/>
          </w:tcPr>
          <w:p w14:paraId="7E7AA851">
            <w:pPr>
              <w:widowControl/>
              <w:jc w:val="center"/>
              <w:rPr>
                <w:color w:val="000000" w:themeColor="text1"/>
                <w:kern w:val="0"/>
                <w:szCs w:val="21"/>
                <w:highlight w:val="yellow"/>
                <w14:textFill>
                  <w14:solidFill>
                    <w14:schemeClr w14:val="tx1"/>
                  </w14:solidFill>
                </w14:textFill>
              </w:rPr>
            </w:pPr>
          </w:p>
        </w:tc>
        <w:tc>
          <w:tcPr>
            <w:tcW w:w="556" w:type="pct"/>
            <w:shd w:val="clear" w:color="auto" w:fill="auto"/>
            <w:vAlign w:val="center"/>
          </w:tcPr>
          <w:p w14:paraId="429819CC">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44</w:t>
            </w:r>
          </w:p>
        </w:tc>
        <w:tc>
          <w:tcPr>
            <w:tcW w:w="556" w:type="pct"/>
            <w:shd w:val="clear" w:color="auto" w:fill="auto"/>
            <w:vAlign w:val="center"/>
          </w:tcPr>
          <w:p w14:paraId="60227003">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84</w:t>
            </w:r>
          </w:p>
        </w:tc>
        <w:tc>
          <w:tcPr>
            <w:tcW w:w="550" w:type="pct"/>
            <w:shd w:val="clear" w:color="auto" w:fill="auto"/>
            <w:vAlign w:val="center"/>
          </w:tcPr>
          <w:p w14:paraId="2430192E">
            <w:pPr>
              <w:widowControl/>
              <w:jc w:val="center"/>
              <w:rPr>
                <w:color w:val="000000" w:themeColor="text1"/>
                <w:kern w:val="0"/>
                <w:szCs w:val="21"/>
                <w:highlight w:val="yellow"/>
                <w14:textFill>
                  <w14:solidFill>
                    <w14:schemeClr w14:val="tx1"/>
                  </w14:solidFill>
                </w14:textFill>
              </w:rPr>
            </w:pPr>
          </w:p>
        </w:tc>
      </w:tr>
    </w:tbl>
    <w:p w14:paraId="6E81CA85">
      <w:pPr>
        <w:spacing w:line="360" w:lineRule="auto"/>
        <w:rPr>
          <w:color w:val="000000" w:themeColor="text1"/>
          <w:szCs w:val="21"/>
          <w:highlight w:val="yellow"/>
          <w14:textFill>
            <w14:solidFill>
              <w14:schemeClr w14:val="tx1"/>
            </w14:solidFill>
          </w14:textFill>
        </w:rPr>
      </w:pPr>
    </w:p>
    <w:p w14:paraId="044338B2">
      <w:pPr>
        <w:spacing w:line="360" w:lineRule="auto"/>
        <w:rPr>
          <w:color w:val="000000" w:themeColor="text1"/>
          <w:szCs w:val="21"/>
          <w:highlight w:val="yellow"/>
          <w14:textFill>
            <w14:solidFill>
              <w14:schemeClr w14:val="tx1"/>
            </w14:solidFill>
          </w14:textFill>
        </w:rPr>
      </w:pPr>
      <w:r>
        <w:rPr>
          <w:color w:val="000000" w:themeColor="text1"/>
          <w:szCs w:val="21"/>
          <w:highlight w:val="yellow"/>
          <w14:textFill>
            <w14:solidFill>
              <w14:schemeClr w14:val="tx1"/>
            </w14:solidFill>
          </w14:textFill>
        </w:rPr>
        <w:t>表</w:t>
      </w:r>
      <w:r>
        <w:rPr>
          <w:color w:val="000000" w:themeColor="text1"/>
          <w:szCs w:val="21"/>
          <w:highlight w:val="yellow"/>
          <w14:textFill>
            <w14:solidFill>
              <w14:schemeClr w14:val="tx1"/>
            </w14:solidFill>
          </w14:textFill>
        </w:rPr>
        <w:fldChar w:fldCharType="begin"/>
      </w:r>
      <w:r>
        <w:rPr>
          <w:color w:val="000000" w:themeColor="text1"/>
          <w:szCs w:val="21"/>
          <w:highlight w:val="yellow"/>
          <w14:textFill>
            <w14:solidFill>
              <w14:schemeClr w14:val="tx1"/>
            </w14:solidFill>
          </w14:textFill>
        </w:rPr>
        <w:instrText xml:space="preserve"> REF _Ref118982324 \r \h  \* MERGEFORMAT </w:instrText>
      </w:r>
      <w:r>
        <w:rPr>
          <w:color w:val="000000" w:themeColor="text1"/>
          <w:szCs w:val="21"/>
          <w:highlight w:val="yellow"/>
          <w14:textFill>
            <w14:solidFill>
              <w14:schemeClr w14:val="tx1"/>
            </w14:solidFill>
          </w14:textFill>
        </w:rPr>
        <w:fldChar w:fldCharType="separate"/>
      </w:r>
      <w:r>
        <w:rPr>
          <w:color w:val="000000" w:themeColor="text1"/>
          <w:szCs w:val="21"/>
          <w:highlight w:val="yellow"/>
          <w14:textFill>
            <w14:solidFill>
              <w14:schemeClr w14:val="tx1"/>
            </w14:solidFill>
          </w14:textFill>
        </w:rPr>
        <w:t>2.2</w:t>
      </w:r>
      <w:r>
        <w:rPr>
          <w:color w:val="000000" w:themeColor="text1"/>
          <w:szCs w:val="21"/>
          <w:highlight w:val="yellow"/>
          <w14:textFill>
            <w14:solidFill>
              <w14:schemeClr w14:val="tx1"/>
            </w14:solidFill>
          </w14:textFill>
        </w:rPr>
        <w:fldChar w:fldCharType="end"/>
      </w:r>
      <w:r>
        <w:rPr>
          <w:color w:val="000000" w:themeColor="text1"/>
          <w:szCs w:val="21"/>
          <w:highlight w:val="yellow"/>
          <w14:textFill>
            <w14:solidFill>
              <w14:schemeClr w14:val="tx1"/>
            </w14:solidFill>
          </w14:textFill>
        </w:rPr>
        <w:t>-</w:t>
      </w:r>
      <w:r>
        <w:rPr>
          <w:rFonts w:hint="eastAsia"/>
          <w:color w:val="000000" w:themeColor="text1"/>
          <w:szCs w:val="21"/>
          <w:highlight w:val="yellow"/>
          <w14:textFill>
            <w14:solidFill>
              <w14:schemeClr w14:val="tx1"/>
            </w14:solidFill>
          </w14:textFill>
        </w:rPr>
        <w:t>3</w:t>
      </w:r>
      <w:r>
        <w:rPr>
          <w:color w:val="000000" w:themeColor="text1"/>
          <w:szCs w:val="21"/>
          <w:highlight w:val="yellow"/>
          <w14:textFill>
            <w14:solidFill>
              <w14:schemeClr w14:val="tx1"/>
            </w14:solidFill>
          </w14:textFill>
        </w:rPr>
        <w:t xml:space="preserve">                  共建共享统计表</w:t>
      </w:r>
      <w:r>
        <w:rPr>
          <w:rFonts w:hint="eastAsia"/>
          <w:color w:val="000000" w:themeColor="text1"/>
          <w:szCs w:val="21"/>
          <w:highlight w:val="yellow"/>
          <w14:textFill>
            <w14:solidFill>
              <w14:schemeClr w14:val="tx1"/>
            </w14:solidFill>
          </w14:textFill>
        </w:rPr>
        <w:t>(单位：个)</w:t>
      </w:r>
    </w:p>
    <w:tbl>
      <w:tblPr>
        <w:tblStyle w:val="31"/>
        <w:tblW w:w="5000" w:type="pct"/>
        <w:tblInd w:w="0" w:type="dxa"/>
        <w:tblLayout w:type="autofit"/>
        <w:tblCellMar>
          <w:top w:w="0" w:type="dxa"/>
          <w:left w:w="108" w:type="dxa"/>
          <w:bottom w:w="0" w:type="dxa"/>
          <w:right w:w="108" w:type="dxa"/>
        </w:tblCellMar>
      </w:tblPr>
      <w:tblGrid>
        <w:gridCol w:w="796"/>
        <w:gridCol w:w="909"/>
        <w:gridCol w:w="729"/>
        <w:gridCol w:w="897"/>
        <w:gridCol w:w="897"/>
        <w:gridCol w:w="577"/>
        <w:gridCol w:w="921"/>
        <w:gridCol w:w="1155"/>
        <w:gridCol w:w="1146"/>
        <w:gridCol w:w="694"/>
      </w:tblGrid>
      <w:tr w14:paraId="55CEE767">
        <w:tblPrEx>
          <w:tblCellMar>
            <w:top w:w="0" w:type="dxa"/>
            <w:left w:w="108" w:type="dxa"/>
            <w:bottom w:w="0" w:type="dxa"/>
            <w:right w:w="108" w:type="dxa"/>
          </w:tblCellMar>
        </w:tblPrEx>
        <w:trPr>
          <w:trHeight w:val="520" w:hRule="atLeast"/>
          <w:tblHeader/>
        </w:trPr>
        <w:tc>
          <w:tcPr>
            <w:tcW w:w="456"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21E2B93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运营商</w:t>
            </w:r>
          </w:p>
        </w:tc>
        <w:tc>
          <w:tcPr>
            <w:tcW w:w="521" w:type="pct"/>
            <w:vMerge w:val="restart"/>
            <w:tcBorders>
              <w:top w:val="single" w:color="auto" w:sz="4" w:space="0"/>
              <w:left w:val="single" w:color="auto" w:sz="4" w:space="0"/>
              <w:bottom w:val="single" w:color="auto" w:sz="4" w:space="0"/>
              <w:right w:val="single" w:color="auto" w:sz="4" w:space="0"/>
            </w:tcBorders>
            <w:shd w:val="clear" w:color="auto" w:fill="auto"/>
            <w:vAlign w:val="center"/>
          </w:tcPr>
          <w:p w14:paraId="11E74CF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需求总数</w:t>
            </w:r>
          </w:p>
        </w:tc>
        <w:tc>
          <w:tcPr>
            <w:tcW w:w="1777" w:type="pct"/>
            <w:gridSpan w:val="4"/>
            <w:tcBorders>
              <w:top w:val="single" w:color="auto" w:sz="4" w:space="0"/>
              <w:left w:val="nil"/>
              <w:bottom w:val="single" w:color="auto" w:sz="4" w:space="0"/>
              <w:right w:val="single" w:color="auto" w:sz="4" w:space="0"/>
            </w:tcBorders>
            <w:shd w:val="clear" w:color="auto" w:fill="auto"/>
            <w:vAlign w:val="center"/>
          </w:tcPr>
          <w:p w14:paraId="717F7F9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新建站需求</w:t>
            </w:r>
          </w:p>
        </w:tc>
        <w:tc>
          <w:tcPr>
            <w:tcW w:w="2245" w:type="pct"/>
            <w:gridSpan w:val="4"/>
            <w:tcBorders>
              <w:top w:val="single" w:color="auto" w:sz="4" w:space="0"/>
              <w:left w:val="nil"/>
              <w:bottom w:val="single" w:color="auto" w:sz="4" w:space="0"/>
              <w:right w:val="single" w:color="auto" w:sz="4" w:space="0"/>
            </w:tcBorders>
            <w:shd w:val="clear" w:color="auto" w:fill="auto"/>
            <w:vAlign w:val="center"/>
          </w:tcPr>
          <w:p w14:paraId="434F572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改造站需求</w:t>
            </w:r>
          </w:p>
        </w:tc>
      </w:tr>
      <w:tr w14:paraId="5E7B2638">
        <w:tblPrEx>
          <w:tblCellMar>
            <w:top w:w="0" w:type="dxa"/>
            <w:left w:w="108" w:type="dxa"/>
            <w:bottom w:w="0" w:type="dxa"/>
            <w:right w:w="108" w:type="dxa"/>
          </w:tblCellMar>
        </w:tblPrEx>
        <w:trPr>
          <w:trHeight w:val="560" w:hRule="atLeast"/>
          <w:tblHeader/>
        </w:trPr>
        <w:tc>
          <w:tcPr>
            <w:tcW w:w="456" w:type="pct"/>
            <w:vMerge w:val="continue"/>
            <w:tcBorders>
              <w:top w:val="single" w:color="auto" w:sz="4" w:space="0"/>
              <w:left w:val="single" w:color="auto" w:sz="4" w:space="0"/>
              <w:bottom w:val="single" w:color="auto" w:sz="4" w:space="0"/>
              <w:right w:val="single" w:color="auto" w:sz="4" w:space="0"/>
            </w:tcBorders>
            <w:vAlign w:val="center"/>
          </w:tcPr>
          <w:p w14:paraId="7D9046C3">
            <w:pPr>
              <w:widowControl/>
              <w:jc w:val="left"/>
              <w:rPr>
                <w:color w:val="000000" w:themeColor="text1"/>
                <w:kern w:val="0"/>
                <w:szCs w:val="21"/>
                <w:highlight w:val="yellow"/>
                <w14:textFill>
                  <w14:solidFill>
                    <w14:schemeClr w14:val="tx1"/>
                  </w14:solidFill>
                </w14:textFill>
              </w:rPr>
            </w:pPr>
          </w:p>
        </w:tc>
        <w:tc>
          <w:tcPr>
            <w:tcW w:w="521" w:type="pct"/>
            <w:vMerge w:val="continue"/>
            <w:tcBorders>
              <w:top w:val="single" w:color="auto" w:sz="4" w:space="0"/>
              <w:left w:val="single" w:color="auto" w:sz="4" w:space="0"/>
              <w:bottom w:val="single" w:color="auto" w:sz="4" w:space="0"/>
              <w:right w:val="single" w:color="auto" w:sz="4" w:space="0"/>
            </w:tcBorders>
            <w:vAlign w:val="center"/>
          </w:tcPr>
          <w:p w14:paraId="22F799B5">
            <w:pPr>
              <w:widowControl/>
              <w:jc w:val="left"/>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14:paraId="0FD079C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一家独建</w:t>
            </w:r>
          </w:p>
        </w:tc>
        <w:tc>
          <w:tcPr>
            <w:tcW w:w="514" w:type="pct"/>
            <w:tcBorders>
              <w:top w:val="nil"/>
              <w:left w:val="nil"/>
              <w:bottom w:val="single" w:color="auto" w:sz="4" w:space="0"/>
              <w:right w:val="single" w:color="auto" w:sz="4" w:space="0"/>
            </w:tcBorders>
            <w:shd w:val="clear" w:color="auto" w:fill="auto"/>
            <w:vAlign w:val="center"/>
          </w:tcPr>
          <w:p w14:paraId="4BDC12D8">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两家共建</w:t>
            </w:r>
          </w:p>
        </w:tc>
        <w:tc>
          <w:tcPr>
            <w:tcW w:w="514" w:type="pct"/>
            <w:tcBorders>
              <w:top w:val="nil"/>
              <w:left w:val="nil"/>
              <w:bottom w:val="single" w:color="auto" w:sz="4" w:space="0"/>
              <w:right w:val="single" w:color="auto" w:sz="4" w:space="0"/>
            </w:tcBorders>
            <w:shd w:val="clear" w:color="auto" w:fill="auto"/>
            <w:vAlign w:val="center"/>
          </w:tcPr>
          <w:p w14:paraId="54CBBC9D">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三家共建</w:t>
            </w:r>
          </w:p>
        </w:tc>
        <w:tc>
          <w:tcPr>
            <w:tcW w:w="331" w:type="pct"/>
            <w:tcBorders>
              <w:top w:val="nil"/>
              <w:left w:val="nil"/>
              <w:bottom w:val="single" w:color="auto" w:sz="4" w:space="0"/>
              <w:right w:val="single" w:color="auto" w:sz="4" w:space="0"/>
            </w:tcBorders>
            <w:shd w:val="clear" w:color="auto" w:fill="auto"/>
            <w:vAlign w:val="center"/>
          </w:tcPr>
          <w:p w14:paraId="270FAC3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c>
          <w:tcPr>
            <w:tcW w:w="528" w:type="pct"/>
            <w:tcBorders>
              <w:top w:val="nil"/>
              <w:left w:val="nil"/>
              <w:bottom w:val="single" w:color="auto" w:sz="4" w:space="0"/>
              <w:right w:val="single" w:color="auto" w:sz="4" w:space="0"/>
            </w:tcBorders>
            <w:shd w:val="clear" w:color="auto" w:fill="auto"/>
            <w:vAlign w:val="center"/>
          </w:tcPr>
          <w:p w14:paraId="1F4E003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改造后一家独享</w:t>
            </w:r>
          </w:p>
        </w:tc>
        <w:tc>
          <w:tcPr>
            <w:tcW w:w="662" w:type="pct"/>
            <w:tcBorders>
              <w:top w:val="nil"/>
              <w:left w:val="nil"/>
              <w:bottom w:val="single" w:color="auto" w:sz="4" w:space="0"/>
              <w:right w:val="single" w:color="auto" w:sz="4" w:space="0"/>
            </w:tcBorders>
            <w:shd w:val="clear" w:color="auto" w:fill="auto"/>
            <w:vAlign w:val="center"/>
          </w:tcPr>
          <w:p w14:paraId="0E6AEFBC">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改造后两家共享</w:t>
            </w:r>
          </w:p>
        </w:tc>
        <w:tc>
          <w:tcPr>
            <w:tcW w:w="657" w:type="pct"/>
            <w:tcBorders>
              <w:top w:val="nil"/>
              <w:left w:val="nil"/>
              <w:bottom w:val="single" w:color="auto" w:sz="4" w:space="0"/>
              <w:right w:val="single" w:color="auto" w:sz="4" w:space="0"/>
            </w:tcBorders>
            <w:shd w:val="clear" w:color="auto" w:fill="auto"/>
            <w:vAlign w:val="center"/>
          </w:tcPr>
          <w:p w14:paraId="377BCA2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改造后三家共享</w:t>
            </w:r>
          </w:p>
        </w:tc>
        <w:tc>
          <w:tcPr>
            <w:tcW w:w="398" w:type="pct"/>
            <w:tcBorders>
              <w:top w:val="nil"/>
              <w:left w:val="nil"/>
              <w:bottom w:val="single" w:color="auto" w:sz="4" w:space="0"/>
              <w:right w:val="single" w:color="auto" w:sz="4" w:space="0"/>
            </w:tcBorders>
            <w:shd w:val="clear" w:color="auto" w:fill="auto"/>
            <w:vAlign w:val="center"/>
          </w:tcPr>
          <w:p w14:paraId="2306FF4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小计</w:t>
            </w:r>
          </w:p>
        </w:tc>
      </w:tr>
      <w:tr w14:paraId="03F25E75">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14:paraId="357628B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移动</w:t>
            </w:r>
          </w:p>
        </w:tc>
        <w:tc>
          <w:tcPr>
            <w:tcW w:w="521" w:type="pct"/>
            <w:tcBorders>
              <w:top w:val="nil"/>
              <w:left w:val="nil"/>
              <w:bottom w:val="single" w:color="auto" w:sz="4" w:space="0"/>
              <w:right w:val="single" w:color="auto" w:sz="4" w:space="0"/>
            </w:tcBorders>
            <w:shd w:val="clear" w:color="auto" w:fill="auto"/>
            <w:vAlign w:val="center"/>
          </w:tcPr>
          <w:p w14:paraId="1105677A">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67</w:t>
            </w:r>
          </w:p>
        </w:tc>
        <w:tc>
          <w:tcPr>
            <w:tcW w:w="418" w:type="pct"/>
            <w:tcBorders>
              <w:top w:val="nil"/>
              <w:left w:val="nil"/>
              <w:bottom w:val="single" w:color="auto" w:sz="4" w:space="0"/>
              <w:right w:val="single" w:color="auto" w:sz="4" w:space="0"/>
            </w:tcBorders>
            <w:shd w:val="clear" w:color="auto" w:fill="auto"/>
            <w:vAlign w:val="center"/>
          </w:tcPr>
          <w:p w14:paraId="175F691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41</w:t>
            </w:r>
          </w:p>
        </w:tc>
        <w:tc>
          <w:tcPr>
            <w:tcW w:w="514" w:type="pct"/>
            <w:tcBorders>
              <w:top w:val="nil"/>
              <w:left w:val="nil"/>
              <w:bottom w:val="single" w:color="auto" w:sz="4" w:space="0"/>
              <w:right w:val="single" w:color="auto" w:sz="4" w:space="0"/>
            </w:tcBorders>
            <w:shd w:val="clear" w:color="auto" w:fill="auto"/>
            <w:vAlign w:val="center"/>
          </w:tcPr>
          <w:p w14:paraId="42508DC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14:paraId="275BB1A8">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14:paraId="03BB53E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47</w:t>
            </w:r>
          </w:p>
        </w:tc>
        <w:tc>
          <w:tcPr>
            <w:tcW w:w="528" w:type="pct"/>
            <w:tcBorders>
              <w:top w:val="nil"/>
              <w:left w:val="nil"/>
              <w:bottom w:val="single" w:color="auto" w:sz="4" w:space="0"/>
              <w:right w:val="single" w:color="auto" w:sz="4" w:space="0"/>
            </w:tcBorders>
            <w:shd w:val="clear" w:color="auto" w:fill="auto"/>
            <w:vAlign w:val="center"/>
          </w:tcPr>
          <w:p w14:paraId="448D63A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w:t>
            </w:r>
          </w:p>
        </w:tc>
        <w:tc>
          <w:tcPr>
            <w:tcW w:w="662" w:type="pct"/>
            <w:tcBorders>
              <w:top w:val="nil"/>
              <w:left w:val="nil"/>
              <w:bottom w:val="single" w:color="auto" w:sz="4" w:space="0"/>
              <w:right w:val="single" w:color="auto" w:sz="4" w:space="0"/>
            </w:tcBorders>
            <w:shd w:val="clear" w:color="auto" w:fill="auto"/>
            <w:vAlign w:val="center"/>
          </w:tcPr>
          <w:p w14:paraId="7F3609F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10</w:t>
            </w:r>
          </w:p>
        </w:tc>
        <w:tc>
          <w:tcPr>
            <w:tcW w:w="657" w:type="pct"/>
            <w:tcBorders>
              <w:top w:val="nil"/>
              <w:left w:val="nil"/>
              <w:bottom w:val="single" w:color="auto" w:sz="4" w:space="0"/>
              <w:right w:val="single" w:color="auto" w:sz="4" w:space="0"/>
            </w:tcBorders>
            <w:shd w:val="clear" w:color="auto" w:fill="auto"/>
            <w:vAlign w:val="center"/>
          </w:tcPr>
          <w:p w14:paraId="572916F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14:paraId="5E6280C1">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20</w:t>
            </w:r>
          </w:p>
        </w:tc>
      </w:tr>
      <w:tr w14:paraId="5926EAAC">
        <w:tblPrEx>
          <w:tblCellMar>
            <w:top w:w="0" w:type="dxa"/>
            <w:left w:w="108" w:type="dxa"/>
            <w:bottom w:w="0" w:type="dxa"/>
            <w:right w:w="108" w:type="dxa"/>
          </w:tblCellMar>
        </w:tblPrEx>
        <w:trPr>
          <w:trHeight w:val="280" w:hRule="atLeast"/>
        </w:trPr>
        <w:tc>
          <w:tcPr>
            <w:tcW w:w="456" w:type="pct"/>
            <w:tcBorders>
              <w:top w:val="nil"/>
              <w:left w:val="single" w:color="auto" w:sz="4" w:space="0"/>
              <w:bottom w:val="single" w:color="auto" w:sz="4" w:space="0"/>
              <w:right w:val="single" w:color="auto" w:sz="4" w:space="0"/>
            </w:tcBorders>
            <w:shd w:val="clear" w:color="auto" w:fill="auto"/>
            <w:vAlign w:val="center"/>
          </w:tcPr>
          <w:p w14:paraId="041E690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电信</w:t>
            </w:r>
          </w:p>
        </w:tc>
        <w:tc>
          <w:tcPr>
            <w:tcW w:w="521" w:type="pct"/>
            <w:tcBorders>
              <w:top w:val="nil"/>
              <w:left w:val="nil"/>
              <w:bottom w:val="single" w:color="auto" w:sz="4" w:space="0"/>
              <w:right w:val="single" w:color="auto" w:sz="4" w:space="0"/>
            </w:tcBorders>
            <w:shd w:val="clear" w:color="auto" w:fill="auto"/>
            <w:vAlign w:val="center"/>
          </w:tcPr>
          <w:p w14:paraId="1DAFDFB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61</w:t>
            </w:r>
          </w:p>
        </w:tc>
        <w:tc>
          <w:tcPr>
            <w:tcW w:w="418" w:type="pct"/>
            <w:tcBorders>
              <w:top w:val="nil"/>
              <w:left w:val="nil"/>
              <w:bottom w:val="single" w:color="auto" w:sz="4" w:space="0"/>
              <w:right w:val="single" w:color="auto" w:sz="4" w:space="0"/>
            </w:tcBorders>
            <w:shd w:val="clear" w:color="auto" w:fill="auto"/>
            <w:vAlign w:val="center"/>
          </w:tcPr>
          <w:p w14:paraId="7F25ABA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21</w:t>
            </w:r>
          </w:p>
        </w:tc>
        <w:tc>
          <w:tcPr>
            <w:tcW w:w="514" w:type="pct"/>
            <w:tcBorders>
              <w:top w:val="nil"/>
              <w:left w:val="nil"/>
              <w:bottom w:val="single" w:color="auto" w:sz="4" w:space="0"/>
              <w:right w:val="single" w:color="auto" w:sz="4" w:space="0"/>
            </w:tcBorders>
            <w:shd w:val="clear" w:color="auto" w:fill="auto"/>
            <w:vAlign w:val="center"/>
          </w:tcPr>
          <w:p w14:paraId="6337B09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514" w:type="pct"/>
            <w:tcBorders>
              <w:top w:val="nil"/>
              <w:left w:val="nil"/>
              <w:bottom w:val="single" w:color="auto" w:sz="4" w:space="0"/>
              <w:right w:val="single" w:color="auto" w:sz="4" w:space="0"/>
            </w:tcBorders>
            <w:shd w:val="clear" w:color="auto" w:fill="auto"/>
            <w:vAlign w:val="center"/>
          </w:tcPr>
          <w:p w14:paraId="6A7D5E73">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14:paraId="669D4F52">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27</w:t>
            </w:r>
          </w:p>
        </w:tc>
        <w:tc>
          <w:tcPr>
            <w:tcW w:w="528" w:type="pct"/>
            <w:tcBorders>
              <w:top w:val="nil"/>
              <w:left w:val="nil"/>
              <w:bottom w:val="single" w:color="auto" w:sz="4" w:space="0"/>
              <w:right w:val="single" w:color="auto" w:sz="4" w:space="0"/>
            </w:tcBorders>
            <w:shd w:val="clear" w:color="auto" w:fill="auto"/>
            <w:vAlign w:val="center"/>
          </w:tcPr>
          <w:p w14:paraId="3BF8EC0F">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8</w:t>
            </w:r>
          </w:p>
        </w:tc>
        <w:tc>
          <w:tcPr>
            <w:tcW w:w="662" w:type="pct"/>
            <w:tcBorders>
              <w:top w:val="nil"/>
              <w:left w:val="nil"/>
              <w:bottom w:val="single" w:color="auto" w:sz="4" w:space="0"/>
              <w:right w:val="single" w:color="auto" w:sz="4" w:space="0"/>
            </w:tcBorders>
            <w:shd w:val="clear" w:color="auto" w:fill="auto"/>
            <w:vAlign w:val="center"/>
          </w:tcPr>
          <w:p w14:paraId="5784CB2C">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22</w:t>
            </w:r>
          </w:p>
        </w:tc>
        <w:tc>
          <w:tcPr>
            <w:tcW w:w="657" w:type="pct"/>
            <w:tcBorders>
              <w:top w:val="nil"/>
              <w:left w:val="nil"/>
              <w:bottom w:val="single" w:color="auto" w:sz="4" w:space="0"/>
              <w:right w:val="single" w:color="auto" w:sz="4" w:space="0"/>
            </w:tcBorders>
            <w:shd w:val="clear" w:color="auto" w:fill="auto"/>
            <w:vAlign w:val="center"/>
          </w:tcPr>
          <w:p w14:paraId="1C733B04">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w:t>
            </w:r>
          </w:p>
        </w:tc>
        <w:tc>
          <w:tcPr>
            <w:tcW w:w="398" w:type="pct"/>
            <w:tcBorders>
              <w:top w:val="nil"/>
              <w:left w:val="nil"/>
              <w:bottom w:val="single" w:color="auto" w:sz="4" w:space="0"/>
              <w:right w:val="single" w:color="auto" w:sz="4" w:space="0"/>
            </w:tcBorders>
            <w:shd w:val="clear" w:color="auto" w:fill="auto"/>
            <w:vAlign w:val="center"/>
          </w:tcPr>
          <w:p w14:paraId="0BABCEBD">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34</w:t>
            </w:r>
          </w:p>
        </w:tc>
      </w:tr>
      <w:tr w14:paraId="3F83CD5D">
        <w:tblPrEx>
          <w:tblCellMar>
            <w:top w:w="0" w:type="dxa"/>
            <w:left w:w="108" w:type="dxa"/>
            <w:bottom w:w="0" w:type="dxa"/>
            <w:right w:w="108" w:type="dxa"/>
          </w:tblCellMar>
        </w:tblPrEx>
        <w:trPr>
          <w:trHeight w:val="70" w:hRule="atLeast"/>
        </w:trPr>
        <w:tc>
          <w:tcPr>
            <w:tcW w:w="456" w:type="pct"/>
            <w:tcBorders>
              <w:top w:val="nil"/>
              <w:left w:val="single" w:color="auto" w:sz="4" w:space="0"/>
              <w:bottom w:val="single" w:color="auto" w:sz="4" w:space="0"/>
              <w:right w:val="single" w:color="auto" w:sz="4" w:space="0"/>
            </w:tcBorders>
            <w:shd w:val="clear" w:color="auto" w:fill="auto"/>
            <w:vAlign w:val="center"/>
          </w:tcPr>
          <w:p w14:paraId="4505A34C">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联通</w:t>
            </w:r>
          </w:p>
        </w:tc>
        <w:tc>
          <w:tcPr>
            <w:tcW w:w="521" w:type="pct"/>
            <w:tcBorders>
              <w:top w:val="nil"/>
              <w:left w:val="nil"/>
              <w:bottom w:val="single" w:color="auto" w:sz="4" w:space="0"/>
              <w:right w:val="single" w:color="auto" w:sz="4" w:space="0"/>
            </w:tcBorders>
            <w:shd w:val="clear" w:color="auto" w:fill="auto"/>
            <w:vAlign w:val="center"/>
          </w:tcPr>
          <w:p w14:paraId="04567A26">
            <w:pPr>
              <w:widowControl/>
              <w:jc w:val="center"/>
              <w:rPr>
                <w:color w:val="000000" w:themeColor="text1"/>
                <w:kern w:val="0"/>
                <w:szCs w:val="21"/>
                <w:highlight w:val="yellow"/>
                <w14:textFill>
                  <w14:solidFill>
                    <w14:schemeClr w14:val="tx1"/>
                  </w14:solidFill>
                </w14:textFill>
              </w:rPr>
            </w:pPr>
          </w:p>
        </w:tc>
        <w:tc>
          <w:tcPr>
            <w:tcW w:w="418" w:type="pct"/>
            <w:tcBorders>
              <w:top w:val="nil"/>
              <w:left w:val="nil"/>
              <w:bottom w:val="single" w:color="auto" w:sz="4" w:space="0"/>
              <w:right w:val="single" w:color="auto" w:sz="4" w:space="0"/>
            </w:tcBorders>
            <w:shd w:val="clear" w:color="auto" w:fill="auto"/>
            <w:vAlign w:val="center"/>
          </w:tcPr>
          <w:p w14:paraId="0498A7A0">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14:paraId="6F6351DB">
            <w:pPr>
              <w:widowControl/>
              <w:jc w:val="center"/>
              <w:rPr>
                <w:color w:val="000000" w:themeColor="text1"/>
                <w:kern w:val="0"/>
                <w:szCs w:val="21"/>
                <w:highlight w:val="yellow"/>
                <w14:textFill>
                  <w14:solidFill>
                    <w14:schemeClr w14:val="tx1"/>
                  </w14:solidFill>
                </w14:textFill>
              </w:rPr>
            </w:pPr>
          </w:p>
        </w:tc>
        <w:tc>
          <w:tcPr>
            <w:tcW w:w="514" w:type="pct"/>
            <w:tcBorders>
              <w:top w:val="nil"/>
              <w:left w:val="nil"/>
              <w:bottom w:val="single" w:color="auto" w:sz="4" w:space="0"/>
              <w:right w:val="single" w:color="auto" w:sz="4" w:space="0"/>
            </w:tcBorders>
            <w:shd w:val="clear" w:color="auto" w:fill="auto"/>
            <w:vAlign w:val="center"/>
          </w:tcPr>
          <w:p w14:paraId="50482941">
            <w:pPr>
              <w:widowControl/>
              <w:jc w:val="center"/>
              <w:rPr>
                <w:color w:val="000000" w:themeColor="text1"/>
                <w:kern w:val="0"/>
                <w:szCs w:val="21"/>
                <w:highlight w:val="yellow"/>
                <w14:textFill>
                  <w14:solidFill>
                    <w14:schemeClr w14:val="tx1"/>
                  </w14:solidFill>
                </w14:textFill>
              </w:rPr>
            </w:pPr>
          </w:p>
        </w:tc>
        <w:tc>
          <w:tcPr>
            <w:tcW w:w="331" w:type="pct"/>
            <w:tcBorders>
              <w:top w:val="nil"/>
              <w:left w:val="nil"/>
              <w:bottom w:val="single" w:color="auto" w:sz="4" w:space="0"/>
              <w:right w:val="single" w:color="auto" w:sz="4" w:space="0"/>
            </w:tcBorders>
            <w:shd w:val="clear" w:color="auto" w:fill="auto"/>
            <w:vAlign w:val="center"/>
          </w:tcPr>
          <w:p w14:paraId="7B6395A0">
            <w:pPr>
              <w:widowControl/>
              <w:jc w:val="center"/>
              <w:rPr>
                <w:color w:val="000000" w:themeColor="text1"/>
                <w:kern w:val="0"/>
                <w:szCs w:val="21"/>
                <w:highlight w:val="yellow"/>
                <w14:textFill>
                  <w14:solidFill>
                    <w14:schemeClr w14:val="tx1"/>
                  </w14:solidFill>
                </w14:textFill>
              </w:rPr>
            </w:pPr>
          </w:p>
        </w:tc>
        <w:tc>
          <w:tcPr>
            <w:tcW w:w="528" w:type="pct"/>
            <w:tcBorders>
              <w:top w:val="nil"/>
              <w:left w:val="nil"/>
              <w:bottom w:val="single" w:color="auto" w:sz="4" w:space="0"/>
              <w:right w:val="single" w:color="auto" w:sz="4" w:space="0"/>
            </w:tcBorders>
            <w:shd w:val="clear" w:color="auto" w:fill="auto"/>
            <w:vAlign w:val="center"/>
          </w:tcPr>
          <w:p w14:paraId="3670145C">
            <w:pPr>
              <w:widowControl/>
              <w:jc w:val="center"/>
              <w:rPr>
                <w:color w:val="000000" w:themeColor="text1"/>
                <w:kern w:val="0"/>
                <w:szCs w:val="21"/>
                <w:highlight w:val="yellow"/>
                <w14:textFill>
                  <w14:solidFill>
                    <w14:schemeClr w14:val="tx1"/>
                  </w14:solidFill>
                </w14:textFill>
              </w:rPr>
            </w:pPr>
          </w:p>
        </w:tc>
        <w:tc>
          <w:tcPr>
            <w:tcW w:w="662" w:type="pct"/>
            <w:tcBorders>
              <w:top w:val="nil"/>
              <w:left w:val="nil"/>
              <w:bottom w:val="single" w:color="auto" w:sz="4" w:space="0"/>
              <w:right w:val="single" w:color="auto" w:sz="4" w:space="0"/>
            </w:tcBorders>
            <w:shd w:val="clear" w:color="auto" w:fill="auto"/>
            <w:vAlign w:val="center"/>
          </w:tcPr>
          <w:p w14:paraId="04C9E35E">
            <w:pPr>
              <w:widowControl/>
              <w:jc w:val="center"/>
              <w:rPr>
                <w:color w:val="000000" w:themeColor="text1"/>
                <w:kern w:val="0"/>
                <w:szCs w:val="21"/>
                <w:highlight w:val="yellow"/>
                <w14:textFill>
                  <w14:solidFill>
                    <w14:schemeClr w14:val="tx1"/>
                  </w14:solidFill>
                </w14:textFill>
              </w:rPr>
            </w:pPr>
          </w:p>
        </w:tc>
        <w:tc>
          <w:tcPr>
            <w:tcW w:w="657" w:type="pct"/>
            <w:tcBorders>
              <w:top w:val="nil"/>
              <w:left w:val="nil"/>
              <w:bottom w:val="single" w:color="auto" w:sz="4" w:space="0"/>
              <w:right w:val="single" w:color="auto" w:sz="4" w:space="0"/>
            </w:tcBorders>
            <w:shd w:val="clear" w:color="auto" w:fill="auto"/>
            <w:vAlign w:val="center"/>
          </w:tcPr>
          <w:p w14:paraId="50244DBC">
            <w:pPr>
              <w:widowControl/>
              <w:jc w:val="center"/>
              <w:rPr>
                <w:color w:val="000000" w:themeColor="text1"/>
                <w:kern w:val="0"/>
                <w:szCs w:val="21"/>
                <w:highlight w:val="yellow"/>
                <w14:textFill>
                  <w14:solidFill>
                    <w14:schemeClr w14:val="tx1"/>
                  </w14:solidFill>
                </w14:textFill>
              </w:rPr>
            </w:pPr>
          </w:p>
        </w:tc>
        <w:tc>
          <w:tcPr>
            <w:tcW w:w="398" w:type="pct"/>
            <w:tcBorders>
              <w:top w:val="nil"/>
              <w:left w:val="nil"/>
              <w:bottom w:val="single" w:color="auto" w:sz="4" w:space="0"/>
              <w:right w:val="single" w:color="auto" w:sz="4" w:space="0"/>
            </w:tcBorders>
            <w:shd w:val="clear" w:color="auto" w:fill="auto"/>
            <w:vAlign w:val="center"/>
          </w:tcPr>
          <w:p w14:paraId="1BC7152B">
            <w:pPr>
              <w:widowControl/>
              <w:jc w:val="center"/>
              <w:rPr>
                <w:color w:val="000000" w:themeColor="text1"/>
                <w:kern w:val="0"/>
                <w:szCs w:val="21"/>
                <w:highlight w:val="yellow"/>
                <w14:textFill>
                  <w14:solidFill>
                    <w14:schemeClr w14:val="tx1"/>
                  </w14:solidFill>
                </w14:textFill>
              </w:rPr>
            </w:pPr>
          </w:p>
        </w:tc>
      </w:tr>
      <w:tr w14:paraId="1C2ECFBE">
        <w:tblPrEx>
          <w:tblCellMar>
            <w:top w:w="0" w:type="dxa"/>
            <w:left w:w="108" w:type="dxa"/>
            <w:bottom w:w="0" w:type="dxa"/>
            <w:right w:w="108" w:type="dxa"/>
          </w:tblCellMar>
        </w:tblPrEx>
        <w:trPr>
          <w:trHeight w:val="280" w:hRule="atLeast"/>
        </w:trPr>
        <w:tc>
          <w:tcPr>
            <w:tcW w:w="456" w:type="pct"/>
            <w:tcBorders>
              <w:top w:val="single" w:color="auto" w:sz="4" w:space="0"/>
              <w:left w:val="single" w:color="auto" w:sz="4" w:space="0"/>
              <w:bottom w:val="single" w:color="auto" w:sz="4" w:space="0"/>
              <w:right w:val="single" w:color="auto" w:sz="4" w:space="0"/>
            </w:tcBorders>
            <w:shd w:val="clear" w:color="auto" w:fill="auto"/>
            <w:vAlign w:val="center"/>
          </w:tcPr>
          <w:p w14:paraId="3E6A523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合计</w:t>
            </w:r>
          </w:p>
        </w:tc>
        <w:tc>
          <w:tcPr>
            <w:tcW w:w="521" w:type="pct"/>
            <w:tcBorders>
              <w:top w:val="single" w:color="auto" w:sz="4" w:space="0"/>
              <w:left w:val="nil"/>
              <w:bottom w:val="single" w:color="auto" w:sz="4" w:space="0"/>
              <w:right w:val="single" w:color="auto" w:sz="4" w:space="0"/>
            </w:tcBorders>
            <w:shd w:val="clear" w:color="auto" w:fill="auto"/>
            <w:vAlign w:val="center"/>
          </w:tcPr>
          <w:p w14:paraId="0FE0AAE6">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128</w:t>
            </w:r>
          </w:p>
        </w:tc>
        <w:tc>
          <w:tcPr>
            <w:tcW w:w="418" w:type="pct"/>
            <w:tcBorders>
              <w:top w:val="single" w:color="auto" w:sz="4" w:space="0"/>
              <w:left w:val="nil"/>
              <w:bottom w:val="single" w:color="auto" w:sz="4" w:space="0"/>
              <w:right w:val="single" w:color="auto" w:sz="4" w:space="0"/>
            </w:tcBorders>
            <w:shd w:val="clear" w:color="auto" w:fill="auto"/>
            <w:vAlign w:val="center"/>
          </w:tcPr>
          <w:p w14:paraId="390905C2">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62</w:t>
            </w:r>
          </w:p>
        </w:tc>
        <w:tc>
          <w:tcPr>
            <w:tcW w:w="514" w:type="pct"/>
            <w:tcBorders>
              <w:top w:val="single" w:color="auto" w:sz="4" w:space="0"/>
              <w:left w:val="nil"/>
              <w:bottom w:val="single" w:color="auto" w:sz="4" w:space="0"/>
              <w:right w:val="single" w:color="auto" w:sz="4" w:space="0"/>
            </w:tcBorders>
            <w:shd w:val="clear" w:color="auto" w:fill="auto"/>
            <w:vAlign w:val="center"/>
          </w:tcPr>
          <w:p w14:paraId="2A2EB2E7">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12</w:t>
            </w:r>
          </w:p>
        </w:tc>
        <w:tc>
          <w:tcPr>
            <w:tcW w:w="514" w:type="pct"/>
            <w:tcBorders>
              <w:top w:val="single" w:color="auto" w:sz="4" w:space="0"/>
              <w:left w:val="nil"/>
              <w:bottom w:val="single" w:color="auto" w:sz="4" w:space="0"/>
              <w:right w:val="single" w:color="auto" w:sz="4" w:space="0"/>
            </w:tcBorders>
            <w:shd w:val="clear" w:color="auto" w:fill="auto"/>
            <w:vAlign w:val="center"/>
          </w:tcPr>
          <w:p w14:paraId="5C921013">
            <w:pPr>
              <w:widowControl/>
              <w:jc w:val="center"/>
              <w:rPr>
                <w:color w:val="000000" w:themeColor="text1"/>
                <w:kern w:val="0"/>
                <w:szCs w:val="21"/>
                <w:highlight w:val="yellow"/>
                <w14:textFill>
                  <w14:solidFill>
                    <w14:schemeClr w14:val="tx1"/>
                  </w14:solidFill>
                </w14:textFill>
              </w:rPr>
            </w:pPr>
          </w:p>
        </w:tc>
        <w:tc>
          <w:tcPr>
            <w:tcW w:w="331" w:type="pct"/>
            <w:tcBorders>
              <w:top w:val="single" w:color="auto" w:sz="4" w:space="0"/>
              <w:left w:val="nil"/>
              <w:bottom w:val="single" w:color="auto" w:sz="4" w:space="0"/>
              <w:right w:val="single" w:color="auto" w:sz="4" w:space="0"/>
            </w:tcBorders>
            <w:shd w:val="clear" w:color="auto" w:fill="auto"/>
            <w:vAlign w:val="center"/>
          </w:tcPr>
          <w:p w14:paraId="6A7F7FAB">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74</w:t>
            </w:r>
          </w:p>
        </w:tc>
        <w:tc>
          <w:tcPr>
            <w:tcW w:w="528" w:type="pct"/>
            <w:tcBorders>
              <w:top w:val="single" w:color="auto" w:sz="4" w:space="0"/>
              <w:left w:val="nil"/>
              <w:bottom w:val="single" w:color="auto" w:sz="4" w:space="0"/>
              <w:right w:val="single" w:color="auto" w:sz="4" w:space="0"/>
            </w:tcBorders>
            <w:shd w:val="clear" w:color="auto" w:fill="auto"/>
            <w:vAlign w:val="center"/>
          </w:tcPr>
          <w:p w14:paraId="3851AA0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15</w:t>
            </w:r>
          </w:p>
        </w:tc>
        <w:tc>
          <w:tcPr>
            <w:tcW w:w="662" w:type="pct"/>
            <w:tcBorders>
              <w:top w:val="single" w:color="auto" w:sz="4" w:space="0"/>
              <w:left w:val="nil"/>
              <w:bottom w:val="single" w:color="auto" w:sz="4" w:space="0"/>
              <w:right w:val="single" w:color="auto" w:sz="4" w:space="0"/>
            </w:tcBorders>
            <w:shd w:val="clear" w:color="auto" w:fill="auto"/>
            <w:vAlign w:val="center"/>
          </w:tcPr>
          <w:p w14:paraId="2FF3848A">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32</w:t>
            </w:r>
          </w:p>
        </w:tc>
        <w:tc>
          <w:tcPr>
            <w:tcW w:w="657" w:type="pct"/>
            <w:tcBorders>
              <w:top w:val="single" w:color="auto" w:sz="4" w:space="0"/>
              <w:left w:val="nil"/>
              <w:bottom w:val="single" w:color="auto" w:sz="4" w:space="0"/>
              <w:right w:val="single" w:color="auto" w:sz="4" w:space="0"/>
            </w:tcBorders>
            <w:shd w:val="clear" w:color="auto" w:fill="auto"/>
            <w:vAlign w:val="center"/>
          </w:tcPr>
          <w:p w14:paraId="2C306100">
            <w:pPr>
              <w:widowControl/>
              <w:jc w:val="center"/>
              <w:rPr>
                <w:color w:val="000000" w:themeColor="text1"/>
                <w:kern w:val="0"/>
                <w:szCs w:val="21"/>
                <w:highlight w:val="yellow"/>
                <w14:textFill>
                  <w14:solidFill>
                    <w14:schemeClr w14:val="tx1"/>
                  </w14:solidFill>
                </w14:textFill>
              </w:rPr>
            </w:pPr>
            <w:r>
              <w:rPr>
                <w:color w:val="000000" w:themeColor="text1"/>
                <w:kern w:val="0"/>
                <w:szCs w:val="21"/>
                <w:highlight w:val="yellow"/>
                <w14:textFill>
                  <w14:solidFill>
                    <w14:schemeClr w14:val="tx1"/>
                  </w14:solidFill>
                </w14:textFill>
              </w:rPr>
              <w:t>6</w:t>
            </w:r>
          </w:p>
        </w:tc>
        <w:tc>
          <w:tcPr>
            <w:tcW w:w="398" w:type="pct"/>
            <w:tcBorders>
              <w:top w:val="single" w:color="auto" w:sz="4" w:space="0"/>
              <w:left w:val="nil"/>
              <w:bottom w:val="single" w:color="auto" w:sz="4" w:space="0"/>
              <w:right w:val="single" w:color="auto" w:sz="4" w:space="0"/>
            </w:tcBorders>
            <w:shd w:val="clear" w:color="auto" w:fill="auto"/>
            <w:vAlign w:val="center"/>
          </w:tcPr>
          <w:p w14:paraId="5705FFAF">
            <w:pPr>
              <w:widowControl/>
              <w:jc w:val="center"/>
              <w:rPr>
                <w:color w:val="000000" w:themeColor="text1"/>
                <w:kern w:val="0"/>
                <w:szCs w:val="21"/>
                <w14:textFill>
                  <w14:solidFill>
                    <w14:schemeClr w14:val="tx1"/>
                  </w14:solidFill>
                </w14:textFill>
              </w:rPr>
            </w:pPr>
            <w:r>
              <w:rPr>
                <w:color w:val="000000" w:themeColor="text1"/>
                <w:kern w:val="0"/>
                <w:szCs w:val="21"/>
                <w:highlight w:val="yellow"/>
                <w14:textFill>
                  <w14:solidFill>
                    <w14:schemeClr w14:val="tx1"/>
                  </w14:solidFill>
                </w14:textFill>
              </w:rPr>
              <w:t>54</w:t>
            </w:r>
          </w:p>
        </w:tc>
      </w:tr>
    </w:tbl>
    <w:p w14:paraId="4AE46678">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1" w:name="_Toc429313754"/>
      <w:bookmarkStart w:id="82" w:name="_Toc19087184"/>
      <w:bookmarkStart w:id="83" w:name="_Toc132902831"/>
      <w:bookmarkStart w:id="84" w:name="_Toc22324016"/>
      <w:r>
        <w:rPr>
          <w:rFonts w:ascii="黑体" w:hAnsi="黑体" w:eastAsia="黑体" w:cs="Times New Roman"/>
          <w:color w:val="000000" w:themeColor="text1"/>
          <w:sz w:val="28"/>
          <w:szCs w:val="28"/>
          <w14:textFill>
            <w14:solidFill>
              <w14:schemeClr w14:val="tx1"/>
            </w14:solidFill>
          </w14:textFill>
        </w:rPr>
        <w:t>建设方案</w:t>
      </w:r>
      <w:bookmarkEnd w:id="81"/>
      <w:bookmarkEnd w:id="82"/>
      <w:bookmarkEnd w:id="83"/>
      <w:bookmarkEnd w:id="84"/>
    </w:p>
    <w:p w14:paraId="373BD725">
      <w:pPr>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经需求方案整合、实地勘察选址，本期工程共立项建设基站128个，其中新建基站62个，存量改造基站66个。</w:t>
      </w:r>
      <w:r>
        <w:rPr>
          <w:color w:val="000000" w:themeColor="text1"/>
          <w:sz w:val="24"/>
          <w:highlight w:val="yellow"/>
          <w14:textFill>
            <w14:solidFill>
              <w14:schemeClr w14:val="tx1"/>
            </w14:solidFill>
          </w14:textFill>
        </w:rPr>
        <w:t>新建规模详情见附表3站点塔桅、机房新建信息表。</w:t>
      </w:r>
    </w:p>
    <w:p w14:paraId="0DB9803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85" w:name="_Toc132902832"/>
      <w:r>
        <w:rPr>
          <w:rFonts w:hint="eastAsia" w:ascii="黑体" w:hAnsi="黑体" w:eastAsia="黑体" w:cs="Times New Roman"/>
          <w:color w:val="000000" w:themeColor="text1"/>
          <w:sz w:val="28"/>
          <w:szCs w:val="28"/>
          <w14:textFill>
            <w14:solidFill>
              <w14:schemeClr w14:val="tx1"/>
            </w14:solidFill>
          </w14:textFill>
        </w:rPr>
        <w:t>进度安排</w:t>
      </w:r>
      <w:bookmarkEnd w:id="85"/>
    </w:p>
    <w:p w14:paraId="20783BF6">
      <w:pPr>
        <w:spacing w:line="360" w:lineRule="auto"/>
        <w:ind w:firstLine="480" w:firstLineChars="200"/>
      </w:pPr>
      <w:r>
        <w:rPr>
          <w:rFonts w:hint="eastAsia"/>
          <w:sz w:val="24"/>
          <w:highlight w:val="yellow"/>
        </w:rPr>
        <w:t>根据客户相关进度文件要求，在立项批复下达后设计单位需立即进行勘察设计，勘察设计完成后报建设单位申请联合设计会审，联合会审完成后进行设计批复，设计批复完成后将系统流程推至实施环节，施工单位在接到施工任务后，需按照进度文件要求在规定工期内完成工程建设，经验收审计后将项目提交使用。</w:t>
      </w:r>
    </w:p>
    <w:p w14:paraId="3FA10384">
      <w:pPr>
        <w:pStyle w:val="45"/>
        <w:numPr>
          <w:ilvl w:val="0"/>
          <w:numId w:val="1"/>
        </w:numPr>
        <w:rPr>
          <w:rFonts w:cs="Times New Roman"/>
          <w:color w:val="000000" w:themeColor="text1"/>
          <w:sz w:val="28"/>
          <w:szCs w:val="28"/>
          <w14:textFill>
            <w14:solidFill>
              <w14:schemeClr w14:val="tx1"/>
            </w14:solidFill>
          </w14:textFill>
        </w:rPr>
      </w:pPr>
      <w:bookmarkStart w:id="86" w:name="_Toc417651974"/>
      <w:bookmarkStart w:id="87" w:name="_Toc22324017"/>
      <w:bookmarkStart w:id="88" w:name="_Toc429313756"/>
      <w:bookmarkStart w:id="89" w:name="_Toc132902833"/>
      <w:bookmarkStart w:id="90" w:name="_Toc19087185"/>
      <w:r>
        <w:rPr>
          <w:rFonts w:cs="Times New Roman"/>
          <w:color w:val="000000" w:themeColor="text1"/>
          <w:sz w:val="28"/>
          <w:szCs w:val="28"/>
          <w14:textFill>
            <w14:solidFill>
              <w14:schemeClr w14:val="tx1"/>
            </w14:solidFill>
          </w14:textFill>
        </w:rPr>
        <w:t>主要设备技术要求</w:t>
      </w:r>
      <w:bookmarkEnd w:id="86"/>
      <w:bookmarkEnd w:id="87"/>
      <w:bookmarkEnd w:id="88"/>
      <w:bookmarkEnd w:id="89"/>
      <w:bookmarkEnd w:id="90"/>
    </w:p>
    <w:p w14:paraId="1F10ACCE">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91" w:name="_Toc22324018"/>
      <w:bookmarkStart w:id="92" w:name="_Toc408267079"/>
      <w:bookmarkStart w:id="93" w:name="_Toc417651975"/>
      <w:bookmarkStart w:id="94" w:name="_Toc132902834"/>
      <w:bookmarkStart w:id="95" w:name="_Toc429313757"/>
      <w:bookmarkStart w:id="96" w:name="_Toc19087186"/>
      <w:r>
        <w:rPr>
          <w:rFonts w:ascii="黑体" w:hAnsi="黑体" w:eastAsia="黑体" w:cs="Times New Roman"/>
          <w:color w:val="000000" w:themeColor="text1"/>
          <w:sz w:val="28"/>
          <w:szCs w:val="28"/>
          <w14:textFill>
            <w14:solidFill>
              <w14:schemeClr w14:val="tx1"/>
            </w14:solidFill>
          </w14:textFill>
        </w:rPr>
        <w:t>交流配电箱</w:t>
      </w:r>
      <w:bookmarkEnd w:id="91"/>
      <w:bookmarkEnd w:id="92"/>
      <w:bookmarkEnd w:id="93"/>
      <w:bookmarkEnd w:id="94"/>
      <w:bookmarkEnd w:id="95"/>
      <w:bookmarkEnd w:id="96"/>
    </w:p>
    <w:p w14:paraId="5DC22A1C">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7" w:name="_Toc408267080"/>
      <w:r>
        <w:rPr>
          <w:rFonts w:ascii="Times New Roman" w:hAnsi="Times New Roman"/>
          <w:color w:val="000000" w:themeColor="text1"/>
          <w:sz w:val="24"/>
          <w14:textFill>
            <w14:solidFill>
              <w14:schemeClr w14:val="tx1"/>
            </w14:solidFill>
          </w14:textFill>
        </w:rPr>
        <w:t>交流配电箱主要技术要求</w:t>
      </w:r>
      <w:bookmarkEnd w:id="97"/>
      <w:r>
        <w:rPr>
          <w:rFonts w:ascii="Times New Roman" w:hAnsi="Times New Roman"/>
          <w:color w:val="000000" w:themeColor="text1"/>
          <w:sz w:val="24"/>
          <w14:textFill>
            <w14:solidFill>
              <w14:schemeClr w14:val="tx1"/>
            </w14:solidFill>
          </w14:textFill>
        </w:rPr>
        <w:t>`</w:t>
      </w:r>
    </w:p>
    <w:p w14:paraId="7CD654C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《通信基站用交流配电防雷箱》(YD/T 2060-2009)</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14:paraId="457E4F1F">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8" w:name="_Toc408267081"/>
      <w:r>
        <w:rPr>
          <w:rFonts w:ascii="Times New Roman" w:hAnsi="Times New Roman"/>
          <w:color w:val="000000" w:themeColor="text1"/>
          <w:sz w:val="24"/>
          <w14:textFill>
            <w14:solidFill>
              <w14:schemeClr w14:val="tx1"/>
            </w14:solidFill>
          </w14:textFill>
        </w:rPr>
        <w:t>交流配电箱容量系列</w:t>
      </w:r>
      <w:bookmarkEnd w:id="98"/>
    </w:p>
    <w:p w14:paraId="19AE3E6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380V/63A、380V/100A、380V/125A、380V/160A。</w:t>
      </w:r>
    </w:p>
    <w:p w14:paraId="4C9C4BE8">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99" w:name="_Toc408267082"/>
      <w:r>
        <w:rPr>
          <w:rFonts w:ascii="Times New Roman" w:hAnsi="Times New Roman"/>
          <w:color w:val="000000" w:themeColor="text1"/>
          <w:sz w:val="24"/>
          <w14:textFill>
            <w14:solidFill>
              <w14:schemeClr w14:val="tx1"/>
            </w14:solidFill>
          </w14:textFill>
        </w:rPr>
        <w:t>其他主要技术要求</w:t>
      </w:r>
      <w:bookmarkEnd w:id="99"/>
    </w:p>
    <w:p w14:paraId="2318EB5C">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配电分路</w:t>
      </w:r>
    </w:p>
    <w:p w14:paraId="0E09E75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的输入分路应满足2路电源(一路市电输入，一路为发电机组输入)切换的要求。对于无固定柴油发电机组的基站，交流配电箱应采用2路4P断路器切换，满足市电、移动发电机组手动切换的要求，两个断路器应有机械互锁机构。对于安装了自启动固定柴油发电机组的基站，交流配电箱应采用4极PC级ATS开关切换，满足市电、发电机组自动切换的要求；且市电进线侧还应配置1路4P断路器保护。</w:t>
      </w:r>
    </w:p>
    <w:p w14:paraId="2CFDA47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对于无固定柴油发电机组的基站，交流配电箱应配置一个移动发电机组电源输入125A(对于交流配电箱容量160A、125A)、63A(对于交流配电箱容量100A、63A)四孔(三相四线)快速连接移动工业插座(满足GB/T 11918-2001、GB/T 11919-2001工业用插头插座和耦合器第1部分、第2部分中的相关要求)，插座位于配电箱下部。</w:t>
      </w:r>
    </w:p>
    <w:p w14:paraId="199A4BB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交流配电箱也可根据用户需求采用1路电源引入，配置1路4P断路器(选件)，不配置移动油机插座。</w:t>
      </w:r>
    </w:p>
    <w:p w14:paraId="4F58261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交流配电箱输出分路的标准配置如下所示，输出分路的断路器的容量和数量可根据用户需求进行调整。</w:t>
      </w:r>
    </w:p>
    <w:p w14:paraId="03BB16E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交流配电箱内断路器应为同一品牌的3C认证产品。输入断路器的极限分断能力Icu和运行短路分断能力Ics均≥10kA，输出断路器的极限分断能力Icu和运行短路分断能力Ics均≥6kA。</w:t>
      </w:r>
    </w:p>
    <w:p w14:paraId="3B6B6D9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交流配电箱应装配两个红色指示灯，分别作为两路输入电源的带电指示。</w:t>
      </w:r>
    </w:p>
    <w:p w14:paraId="23593957">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浪涌保护器(SPD)</w:t>
      </w:r>
    </w:p>
    <w:p w14:paraId="30F98A8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入总开关前端配置浪涌保护器（SPD）模块及相应的保护开关，浪涌保护器（SPD）集成在交流配电箱内部。浪涌保护器（SPD）模块最大通流容量指标（8/20μs波形）为100kA。通信基站交流第一级浪涌保护器最大通流容量如表3.1所示。</w:t>
      </w:r>
    </w:p>
    <w:p w14:paraId="70437723">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表</w:t>
      </w:r>
      <w:r>
        <w:rPr>
          <w:color w:val="000000" w:themeColor="text1"/>
          <w:sz w:val="24"/>
          <w14:textFill>
            <w14:solidFill>
              <w14:schemeClr w14:val="tx1"/>
            </w14:solidFill>
          </w14:textFill>
        </w:rPr>
        <w:t>3.1</w:t>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ab/>
      </w:r>
      <w:r>
        <w:rPr>
          <w:rFonts w:ascii="宋体" w:hAnsi="宋体"/>
          <w:color w:val="000000" w:themeColor="text1"/>
          <w:sz w:val="24"/>
          <w14:textFill>
            <w14:solidFill>
              <w14:schemeClr w14:val="tx1"/>
            </w14:solidFill>
          </w14:textFill>
        </w:rPr>
        <w:t xml:space="preserve">  通信基站交流第一级浪涌保护器最大通流容量</w:t>
      </w:r>
    </w:p>
    <w:tbl>
      <w:tblPr>
        <w:tblStyle w:val="31"/>
        <w:tblW w:w="5000" w:type="pct"/>
        <w:jc w:val="center"/>
        <w:tblLayout w:type="autofit"/>
        <w:tblCellMar>
          <w:top w:w="0" w:type="dxa"/>
          <w:left w:w="0" w:type="dxa"/>
          <w:bottom w:w="0" w:type="dxa"/>
          <w:right w:w="0" w:type="dxa"/>
        </w:tblCellMar>
      </w:tblPr>
      <w:tblGrid>
        <w:gridCol w:w="3710"/>
        <w:gridCol w:w="1603"/>
        <w:gridCol w:w="1603"/>
        <w:gridCol w:w="1599"/>
      </w:tblGrid>
      <w:tr w14:paraId="63D79BD6">
        <w:tblPrEx>
          <w:tblCellMar>
            <w:top w:w="0" w:type="dxa"/>
            <w:left w:w="0" w:type="dxa"/>
            <w:bottom w:w="0" w:type="dxa"/>
            <w:right w:w="0" w:type="dxa"/>
          </w:tblCellMar>
        </w:tblPrEx>
        <w:trPr>
          <w:trHeight w:val="255" w:hRule="atLeast"/>
          <w:jc w:val="center"/>
        </w:trPr>
        <w:tc>
          <w:tcPr>
            <w:tcW w:w="2179" w:type="pct"/>
            <w:vMerge w:val="restart"/>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14:paraId="673E78B7">
            <w:pPr>
              <w:ind w:firstLine="2640" w:firstLineChars="110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气象因素</w:t>
            </w:r>
          </w:p>
          <w:p w14:paraId="62AA002F">
            <w:pP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区域</w:t>
            </w:r>
          </w:p>
        </w:tc>
        <w:tc>
          <w:tcPr>
            <w:tcW w:w="2821" w:type="pct"/>
            <w:gridSpan w:val="3"/>
            <w:tcBorders>
              <w:top w:val="single" w:color="auto" w:sz="4" w:space="0"/>
              <w:left w:val="single" w:color="auto" w:sz="4" w:space="0"/>
              <w:bottom w:val="single" w:color="auto" w:sz="4" w:space="0"/>
              <w:right w:val="single" w:color="auto" w:sz="4" w:space="0"/>
            </w:tcBorders>
            <w:shd w:val="clear" w:color="auto" w:fill="auto"/>
            <w:vAlign w:val="center"/>
          </w:tcPr>
          <w:p w14:paraId="2ED60702">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雷暴日（日/年）</w:t>
            </w:r>
          </w:p>
        </w:tc>
      </w:tr>
      <w:tr w14:paraId="30280960">
        <w:tblPrEx>
          <w:tblCellMar>
            <w:top w:w="0" w:type="dxa"/>
            <w:left w:w="0" w:type="dxa"/>
            <w:bottom w:w="0" w:type="dxa"/>
            <w:right w:w="0" w:type="dxa"/>
          </w:tblCellMar>
        </w:tblPrEx>
        <w:trPr>
          <w:trHeight w:val="255" w:hRule="atLeast"/>
          <w:jc w:val="center"/>
        </w:trPr>
        <w:tc>
          <w:tcPr>
            <w:tcW w:w="2179" w:type="pct"/>
            <w:vMerge w:val="continue"/>
            <w:tcBorders>
              <w:top w:val="single" w:color="auto" w:sz="4" w:space="0"/>
              <w:left w:val="single" w:color="auto" w:sz="4" w:space="0"/>
              <w:bottom w:val="single" w:color="auto" w:sz="4" w:space="0"/>
              <w:right w:val="single" w:color="auto" w:sz="4" w:space="0"/>
              <w:tl2br w:val="single" w:color="auto" w:sz="4" w:space="0"/>
            </w:tcBorders>
            <w:shd w:val="clear" w:color="auto" w:fill="auto"/>
            <w:vAlign w:val="center"/>
          </w:tcPr>
          <w:p w14:paraId="61823EDA">
            <w:pPr>
              <w:jc w:val="center"/>
              <w:rPr>
                <w:rFonts w:hint="eastAsia" w:ascii="宋体" w:hAnsi="宋体"/>
                <w:color w:val="000000" w:themeColor="text1"/>
                <w:sz w:val="24"/>
                <w14:textFill>
                  <w14:solidFill>
                    <w14:schemeClr w14:val="tx1"/>
                  </w14:solidFill>
                </w14:textFill>
              </w:rPr>
            </w:pP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14:paraId="5CB2106E">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≤25</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14:paraId="362D20A1">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26～40</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14:paraId="7C49A411">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≥41</w:t>
            </w:r>
          </w:p>
        </w:tc>
      </w:tr>
      <w:tr w14:paraId="77DB7E9B">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14:paraId="0AFC829E">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城区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14:paraId="142B999A">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60kA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14:paraId="67B0773E">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r>
      <w:tr w14:paraId="4A30CF89">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14:paraId="3A94EE87">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郊县、农村</w:t>
            </w:r>
          </w:p>
        </w:tc>
        <w:tc>
          <w:tcPr>
            <w:tcW w:w="1882" w:type="pct"/>
            <w:gridSpan w:val="2"/>
            <w:tcBorders>
              <w:top w:val="single" w:color="auto" w:sz="4" w:space="0"/>
              <w:left w:val="single" w:color="auto" w:sz="4" w:space="0"/>
              <w:bottom w:val="single" w:color="auto" w:sz="4" w:space="0"/>
              <w:right w:val="single" w:color="auto" w:sz="4" w:space="0"/>
            </w:tcBorders>
            <w:shd w:val="clear" w:color="auto" w:fill="auto"/>
            <w:vAlign w:val="center"/>
          </w:tcPr>
          <w:p w14:paraId="7E8F925F">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80kA</w:t>
            </w:r>
          </w:p>
        </w:tc>
        <w:tc>
          <w:tcPr>
            <w:tcW w:w="939" w:type="pct"/>
            <w:tcBorders>
              <w:top w:val="single" w:color="auto" w:sz="4" w:space="0"/>
              <w:left w:val="single" w:color="auto" w:sz="4" w:space="0"/>
              <w:bottom w:val="single" w:color="auto" w:sz="4" w:space="0"/>
              <w:right w:val="single" w:color="auto" w:sz="4" w:space="0"/>
            </w:tcBorders>
            <w:shd w:val="clear" w:color="auto" w:fill="auto"/>
            <w:vAlign w:val="center"/>
          </w:tcPr>
          <w:p w14:paraId="64EF44D7">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r>
      <w:tr w14:paraId="0975F681">
        <w:tblPrEx>
          <w:tblCellMar>
            <w:top w:w="0" w:type="dxa"/>
            <w:left w:w="0" w:type="dxa"/>
            <w:bottom w:w="0" w:type="dxa"/>
            <w:right w:w="0" w:type="dxa"/>
          </w:tblCellMar>
        </w:tblPrEx>
        <w:trPr>
          <w:trHeight w:val="255" w:hRule="atLeast"/>
          <w:jc w:val="center"/>
        </w:trPr>
        <w:tc>
          <w:tcPr>
            <w:tcW w:w="2179" w:type="pct"/>
            <w:tcBorders>
              <w:top w:val="single" w:color="auto" w:sz="4" w:space="0"/>
              <w:left w:val="single" w:color="auto" w:sz="4" w:space="0"/>
              <w:bottom w:val="single" w:color="auto" w:sz="4" w:space="0"/>
              <w:right w:val="single" w:color="auto" w:sz="4" w:space="0"/>
            </w:tcBorders>
            <w:shd w:val="clear" w:color="auto" w:fill="auto"/>
            <w:vAlign w:val="center"/>
          </w:tcPr>
          <w:p w14:paraId="4D969608">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山区</w:t>
            </w:r>
          </w:p>
        </w:tc>
        <w:tc>
          <w:tcPr>
            <w:tcW w:w="941" w:type="pct"/>
            <w:tcBorders>
              <w:top w:val="single" w:color="auto" w:sz="4" w:space="0"/>
              <w:left w:val="single" w:color="auto" w:sz="4" w:space="0"/>
              <w:bottom w:val="single" w:color="auto" w:sz="4" w:space="0"/>
              <w:right w:val="single" w:color="auto" w:sz="4" w:space="0"/>
            </w:tcBorders>
            <w:shd w:val="clear" w:color="auto" w:fill="auto"/>
            <w:vAlign w:val="center"/>
          </w:tcPr>
          <w:p w14:paraId="250693E3">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100kA</w:t>
            </w:r>
          </w:p>
        </w:tc>
        <w:tc>
          <w:tcPr>
            <w:tcW w:w="1880" w:type="pct"/>
            <w:gridSpan w:val="2"/>
            <w:tcBorders>
              <w:top w:val="single" w:color="auto" w:sz="4" w:space="0"/>
              <w:left w:val="single" w:color="auto" w:sz="4" w:space="0"/>
              <w:bottom w:val="single" w:color="auto" w:sz="4" w:space="0"/>
              <w:right w:val="single" w:color="auto" w:sz="4" w:space="0"/>
            </w:tcBorders>
            <w:shd w:val="clear" w:color="auto" w:fill="auto"/>
            <w:vAlign w:val="center"/>
          </w:tcPr>
          <w:p w14:paraId="08644349">
            <w:pPr>
              <w:jc w:val="center"/>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120kA</w:t>
            </w:r>
          </w:p>
        </w:tc>
      </w:tr>
    </w:tbl>
    <w:p w14:paraId="0D7E621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交流配电箱输出开关配置微型断路器，用于开关电源、空调、机房墙面插座、照明等设备的接入。</w:t>
      </w:r>
    </w:p>
    <w:p w14:paraId="448510A6">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智能电表</w:t>
      </w:r>
    </w:p>
    <w:p w14:paraId="3FDC8E6A">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交流配电箱应配置智能电表，具备RS485标准接口，通信协议应参照YD/T 1363的相关要求，监控内容如下：</w:t>
      </w:r>
    </w:p>
    <w:p w14:paraId="0B5057B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-遥测：提供两路电源切换后的三相电压、功率因数，分别提供两路输入、全部输出回路的三相电流、有功功率、无功功率、视在功率、有功电度、无功电度，计量分路数可选。</w:t>
      </w:r>
    </w:p>
    <w:p w14:paraId="2442E8B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-遥信：全部输入、输出断路器开关状态，ATS开关工作状态(可选)，市电/油机供电状态，市电停电告警，市电缺相告警，SPD正常/失效告警，三相电压越限告警、三相电流越限告警。</w:t>
      </w:r>
    </w:p>
    <w:p w14:paraId="35E5B1E2">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智能电表应具备本地显示功能。</w:t>
      </w:r>
    </w:p>
    <w:p w14:paraId="47E5EDF0">
      <w:pPr>
        <w:spacing w:line="360" w:lineRule="auto"/>
        <w:ind w:firstLine="480"/>
        <w:rPr>
          <w:color w:val="000000" w:themeColor="text1"/>
          <w:kern w:val="0"/>
          <w:sz w:val="24"/>
          <w14:textFill>
            <w14:solidFill>
              <w14:schemeClr w14:val="tx1"/>
            </w14:solidFill>
          </w14:textFill>
        </w:rPr>
      </w:pPr>
      <w:r>
        <w:rPr>
          <w:color w:val="000000" w:themeColor="text1"/>
          <w:sz w:val="24"/>
          <w14:textFill>
            <w14:solidFill>
              <w14:schemeClr w14:val="tx1"/>
            </w14:solidFill>
          </w14:textFill>
        </w:rPr>
        <w:t>交流配电箱智能电表及其电能检测装置准确度要求：电压、电流不低于0.5，功率、电度不低于1。</w:t>
      </w:r>
    </w:p>
    <w:p w14:paraId="5AE5EAED">
      <w:pPr>
        <w:pStyle w:val="50"/>
        <w:numPr>
          <w:ilvl w:val="0"/>
          <w:numId w:val="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进出线方式</w:t>
      </w:r>
    </w:p>
    <w:p w14:paraId="41725EA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应满足上进线的要求，出线方式应为上出线、下出线均可。</w:t>
      </w:r>
    </w:p>
    <w:p w14:paraId="5BA66E0E">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00" w:name="_Toc132902835"/>
      <w:bookmarkStart w:id="101" w:name="_Toc408267083"/>
      <w:bookmarkStart w:id="102" w:name="_Toc429313758"/>
      <w:bookmarkStart w:id="103" w:name="_Toc417651976"/>
      <w:bookmarkStart w:id="104" w:name="_Toc19087187"/>
      <w:bookmarkStart w:id="105" w:name="_Toc22324019"/>
      <w:r>
        <w:rPr>
          <w:rFonts w:hint="eastAsia" w:ascii="黑体" w:hAnsi="黑体" w:eastAsia="黑体" w:cs="Times New Roman"/>
          <w:color w:val="000000" w:themeColor="text1"/>
          <w:sz w:val="28"/>
          <w:szCs w:val="28"/>
          <w14:textFill>
            <w14:solidFill>
              <w14:schemeClr w14:val="tx1"/>
            </w14:solidFill>
          </w14:textFill>
        </w:rPr>
        <w:t>开关</w:t>
      </w:r>
      <w:r>
        <w:rPr>
          <w:rFonts w:ascii="黑体" w:hAnsi="黑体" w:eastAsia="黑体" w:cs="Times New Roman"/>
          <w:color w:val="000000" w:themeColor="text1"/>
          <w:sz w:val="28"/>
          <w:szCs w:val="28"/>
          <w14:textFill>
            <w14:solidFill>
              <w14:schemeClr w14:val="tx1"/>
            </w14:solidFill>
          </w14:textFill>
        </w:rPr>
        <w:t>电源</w:t>
      </w:r>
      <w:bookmarkEnd w:id="100"/>
      <w:bookmarkEnd w:id="101"/>
      <w:bookmarkEnd w:id="102"/>
      <w:bookmarkEnd w:id="103"/>
      <w:bookmarkEnd w:id="104"/>
      <w:bookmarkEnd w:id="105"/>
    </w:p>
    <w:p w14:paraId="1AD9082C">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06" w:name="_Toc22324020"/>
      <w:bookmarkStart w:id="107" w:name="_Toc19087188"/>
      <w:bookmarkStart w:id="108" w:name="_Toc417651977"/>
      <w:bookmarkStart w:id="109" w:name="_Toc408267103"/>
      <w:bookmarkStart w:id="110" w:name="_Toc429313759"/>
      <w:r>
        <w:rPr>
          <w:rFonts w:hint="eastAsia" w:ascii="Times New Roman" w:hAnsi="Times New Roman"/>
          <w:color w:val="000000" w:themeColor="text1"/>
          <w:sz w:val="24"/>
          <w14:textFill>
            <w14:solidFill>
              <w14:schemeClr w14:val="tx1"/>
            </w14:solidFill>
          </w14:textFill>
        </w:rPr>
        <w:t>开关</w:t>
      </w:r>
      <w:r>
        <w:rPr>
          <w:rFonts w:ascii="Times New Roman" w:hAnsi="Times New Roman"/>
          <w:color w:val="000000" w:themeColor="text1"/>
          <w:sz w:val="24"/>
          <w14:textFill>
            <w14:solidFill>
              <w14:schemeClr w14:val="tx1"/>
            </w14:solidFill>
          </w14:textFill>
        </w:rPr>
        <w:t>电源主要技术要求</w:t>
      </w:r>
    </w:p>
    <w:p w14:paraId="131B47D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p>
    <w:p w14:paraId="189FE45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通信用高频开关电源系统</w:t>
      </w:r>
      <w:r>
        <w:rPr>
          <w:b/>
          <w:color w:val="000000" w:themeColor="text1"/>
          <w:sz w:val="24"/>
          <w14:textFill>
            <w14:solidFill>
              <w14:schemeClr w14:val="tx1"/>
            </w14:solidFill>
          </w14:textFill>
        </w:rPr>
        <w:t>》(YD/T 1058-2015)</w:t>
      </w:r>
      <w:r>
        <w:rPr>
          <w:color w:val="000000" w:themeColor="text1"/>
          <w:sz w:val="24"/>
          <w14:textFill>
            <w14:solidFill>
              <w14:schemeClr w14:val="tx1"/>
            </w14:solidFill>
          </w14:textFill>
        </w:rPr>
        <w:t>；</w:t>
      </w:r>
    </w:p>
    <w:p w14:paraId="490894C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w:t>
      </w:r>
      <w:r>
        <w:rPr>
          <w:b/>
          <w:color w:val="000000" w:themeColor="text1"/>
          <w:sz w:val="24"/>
          <w14:textFill>
            <w14:solidFill>
              <w14:schemeClr w14:val="tx1"/>
            </w14:solidFill>
          </w14:textFill>
        </w:rPr>
        <w:t>《通信用配电设备》(YD/T 585-2010)</w:t>
      </w:r>
      <w:r>
        <w:rPr>
          <w:color w:val="000000" w:themeColor="text1"/>
          <w:sz w:val="24"/>
          <w14:textFill>
            <w14:solidFill>
              <w14:schemeClr w14:val="tx1"/>
            </w14:solidFill>
          </w14:textFill>
        </w:rPr>
        <w:t>。</w:t>
      </w:r>
    </w:p>
    <w:p w14:paraId="6940A40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14:paraId="6FE2A066">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其他主要技术要求</w:t>
      </w:r>
    </w:p>
    <w:p w14:paraId="643057CC">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系统组成</w:t>
      </w:r>
    </w:p>
    <w:p w14:paraId="2DA518EF">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电源系统由基础单元和扩展单元两部分组成。基础单元包含交流配电模块、整流模块、监控模块、直流配电模块；扩展单元包含整流模块扩展、直流配电模块扩展等。</w:t>
      </w:r>
    </w:p>
    <w:p w14:paraId="31BA4AEA">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系统可通过扩展插框的方式实现系统容量增加和功能扩展，系统通过监控模块统一管理和控制。系统应便于安装、维护，宜采用前接线方式。</w:t>
      </w:r>
    </w:p>
    <w:p w14:paraId="52D8AE6D">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电源各配电分路可根据使用需求灵活定义用户类型，并按分路进行上下电控制、计量与统计功能。</w:t>
      </w:r>
    </w:p>
    <w:p w14:paraId="5DA86702">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开关电源整流模块</w:t>
      </w:r>
    </w:p>
    <w:p w14:paraId="2084A8A5">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整流模块规格：50A（2880W，57.6V）、</w:t>
      </w:r>
      <w:r>
        <w:rPr>
          <w:color w:val="000000" w:themeColor="text1"/>
          <w:sz w:val="24"/>
          <w14:textFill>
            <w14:solidFill>
              <w14:schemeClr w14:val="tx1"/>
            </w14:solidFill>
          </w14:textFill>
        </w:rPr>
        <w:t>75</w:t>
      </w:r>
      <w:r>
        <w:rPr>
          <w:rFonts w:hint="eastAsia"/>
          <w:color w:val="000000" w:themeColor="text1"/>
          <w:sz w:val="24"/>
          <w14:textFill>
            <w14:solidFill>
              <w14:schemeClr w14:val="tx1"/>
            </w14:solidFill>
          </w14:textFill>
        </w:rPr>
        <w:t>A（</w:t>
      </w:r>
      <w:r>
        <w:rPr>
          <w:color w:val="000000" w:themeColor="text1"/>
          <w:sz w:val="24"/>
          <w14:textFill>
            <w14:solidFill>
              <w14:schemeClr w14:val="tx1"/>
            </w14:solidFill>
          </w14:textFill>
        </w:rPr>
        <w:t>432</w:t>
      </w:r>
      <w:r>
        <w:rPr>
          <w:rFonts w:hint="eastAsia"/>
          <w:color w:val="000000" w:themeColor="text1"/>
          <w:sz w:val="24"/>
          <w14:textFill>
            <w14:solidFill>
              <w14:schemeClr w14:val="tx1"/>
            </w14:solidFill>
          </w14:textFill>
        </w:rPr>
        <w:t>0W，57.6V）。</w:t>
      </w:r>
    </w:p>
    <w:p w14:paraId="1C469185">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整流模块混插特性：每个整流模块插槽兼容支持50A模块与75A模块插入，混插后应按比例均流，比例范围应在1.3～1.5之间。</w:t>
      </w:r>
    </w:p>
    <w:p w14:paraId="5A494B0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开关电源系统及整流模块在输出额定容量的情况下，输入电压允许变化范围应不低于：-20%～+25%。</w:t>
      </w:r>
    </w:p>
    <w:p w14:paraId="48D0D9E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开关电源系统应具有整流模块休眠节能工作模式，并能手动或自动开启/关闭该模式，出厂设置为自动、整流模块休眠节能关闭状态。</w:t>
      </w:r>
    </w:p>
    <w:p w14:paraId="0F439AB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交流配电单元输入分路的标准配置为一路电源引入，采用3P断路器。</w:t>
      </w:r>
    </w:p>
    <w:p w14:paraId="2F93B36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交流配电单元输入分路也可根据用户需求配置两路电源4极自动切换装置(选件)。</w:t>
      </w:r>
    </w:p>
    <w:p w14:paraId="50573EF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交流配电单元应对每一个模块配置独立的断路器。</w:t>
      </w:r>
    </w:p>
    <w:p w14:paraId="3E17E99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交流配电单元内断路器应为同一品牌的3C认证产品。</w:t>
      </w:r>
      <w:r>
        <w:rPr>
          <w:rFonts w:hint="eastAsia"/>
          <w:color w:val="000000" w:themeColor="text1"/>
          <w:sz w:val="24"/>
          <w14:textFill>
            <w14:solidFill>
              <w14:schemeClr w14:val="tx1"/>
            </w14:solidFill>
          </w14:textFill>
        </w:rPr>
        <w:t>输入断路器的极限分断能力Icu≥6kA，运行短路分断能力Ics≥6kA；输出断路器的极限分断能力Icu（或额定短路能力Icn）≥4.5kA，运行短路分断能力Ics≥4.5kA。</w:t>
      </w:r>
    </w:p>
    <w:p w14:paraId="366A2259">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直流配电单元</w:t>
      </w:r>
    </w:p>
    <w:p w14:paraId="20B482E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w:t>
      </w:r>
      <w:r>
        <w:rPr>
          <w:rFonts w:hint="eastAsia"/>
          <w:color w:val="000000" w:themeColor="text1"/>
          <w:sz w:val="24"/>
          <w14:textFill>
            <w14:solidFill>
              <w14:schemeClr w14:val="tx1"/>
            </w14:solidFill>
          </w14:textFill>
        </w:rPr>
        <w:t>电池分路断路器的极限分断能力Icu（或额定短路能力Icn）≥10kA，运行分断能力Ics≥7.5kA；其他直流分路断路器极限分断能力Icu（或额定短路能力Icn）≥6kA，运行分断能力Ics≥4.5kA。</w:t>
      </w:r>
    </w:p>
    <w:p w14:paraId="480EB83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直流输出端应安装浪涌保护器，最大通流容量(Imax)≥15kA。</w:t>
      </w:r>
    </w:p>
    <w:p w14:paraId="77BD660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每个配电分路具备单独的负载一次下电和单独的电池下电。 可按需独立设置分路一次下电备电时长，当交流停电后转由电池组备电，达到设定的备电时长后，其对应的直流分路自动断开并上传告警信号，当外市电来电后，对应的直流分路自动接通。</w:t>
      </w:r>
    </w:p>
    <w:p w14:paraId="37FFEACB">
      <w:pPr>
        <w:pStyle w:val="50"/>
        <w:numPr>
          <w:ilvl w:val="0"/>
          <w:numId w:val="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监控单元</w:t>
      </w:r>
    </w:p>
    <w:p w14:paraId="6FDF35E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监控模块智能接口应为RS485，数量不少于3个，同时应配置网口。</w:t>
      </w:r>
    </w:p>
    <w:p w14:paraId="6123B5AF">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监控模块应能智能识别扩展单元，并自主实现对扩展单元的监控。各个功能子模块应具有可与监控模块连接的接口电路，监控模块具有可视化管理界面和功能，可以查看和设置相关参数。</w:t>
      </w:r>
    </w:p>
    <w:p w14:paraId="31FDE19A">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1" w:name="_Toc132902836"/>
      <w:r>
        <w:rPr>
          <w:rFonts w:ascii="黑体" w:hAnsi="黑体" w:eastAsia="黑体" w:cs="Times New Roman"/>
          <w:color w:val="000000" w:themeColor="text1"/>
          <w:sz w:val="28"/>
          <w:szCs w:val="28"/>
          <w14:textFill>
            <w14:solidFill>
              <w14:schemeClr w14:val="tx1"/>
            </w14:solidFill>
          </w14:textFill>
        </w:rPr>
        <w:t>配套综合柜</w:t>
      </w:r>
      <w:bookmarkEnd w:id="106"/>
      <w:bookmarkEnd w:id="107"/>
      <w:bookmarkEnd w:id="108"/>
      <w:bookmarkEnd w:id="109"/>
      <w:bookmarkEnd w:id="110"/>
      <w:bookmarkEnd w:id="111"/>
    </w:p>
    <w:p w14:paraId="73C4A16A">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2" w:name="_Toc408267104"/>
      <w:r>
        <w:rPr>
          <w:rFonts w:ascii="Times New Roman" w:hAnsi="Times New Roman"/>
          <w:color w:val="000000" w:themeColor="text1"/>
          <w:sz w:val="24"/>
          <w14:textFill>
            <w14:solidFill>
              <w14:schemeClr w14:val="tx1"/>
            </w14:solidFill>
          </w14:textFill>
        </w:rPr>
        <w:t>主要技术要求</w:t>
      </w:r>
      <w:bookmarkEnd w:id="112"/>
    </w:p>
    <w:p w14:paraId="597162D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产品主要技术要求参见行业标准：</w:t>
      </w:r>
      <w:r>
        <w:rPr>
          <w:b/>
          <w:color w:val="000000" w:themeColor="text1"/>
          <w:sz w:val="24"/>
          <w14:textFill>
            <w14:solidFill>
              <w14:schemeClr w14:val="tx1"/>
            </w14:solidFill>
          </w14:textFill>
        </w:rPr>
        <w:t>《通信设备用综合集装架》(YD/T 1819-2016)</w:t>
      </w:r>
      <w:r>
        <w:rPr>
          <w:color w:val="000000" w:themeColor="text1"/>
          <w:sz w:val="24"/>
          <w14:textFill>
            <w14:solidFill>
              <w14:schemeClr w14:val="tx1"/>
            </w14:solidFill>
          </w14:textFill>
        </w:rPr>
        <w:t>。同时应符合中国铁塔股份有限公司</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省分公司的招标技术规范书。</w:t>
      </w:r>
    </w:p>
    <w:p w14:paraId="6DEA556E">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113" w:name="_Toc408267105"/>
      <w:r>
        <w:rPr>
          <w:rFonts w:ascii="Times New Roman" w:hAnsi="Times New Roman"/>
          <w:color w:val="000000" w:themeColor="text1"/>
          <w:sz w:val="24"/>
          <w14:textFill>
            <w14:solidFill>
              <w14:schemeClr w14:val="tx1"/>
            </w14:solidFill>
          </w14:textFill>
        </w:rPr>
        <w:t>其他主要技术要求</w:t>
      </w:r>
      <w:bookmarkEnd w:id="113"/>
    </w:p>
    <w:p w14:paraId="51DC500D">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柜体</w:t>
      </w:r>
    </w:p>
    <w:p w14:paraId="0BF7DC9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机架结构采用封闭式，采用网孔门进行配置。</w:t>
      </w:r>
    </w:p>
    <w:p w14:paraId="3ED551F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前开门单面维护、靠墙安装或设备背靠背安装方式。</w:t>
      </w:r>
    </w:p>
    <w:p w14:paraId="18B709F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工作环境温度：-5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～＋45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14:paraId="41050A6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机架尺寸(宽x深x高)要求：600mmx600mmx2000mm、600mmx600mmx2200mm。</w:t>
      </w:r>
    </w:p>
    <w:p w14:paraId="796D504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机架安装尺寸应符合 19 英寸标准安装要求。</w:t>
      </w:r>
    </w:p>
    <w:p w14:paraId="71ACE65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机架内可根据需要灵活安装重要负载单元、次要负载单元、数字配线单元、光纤熔配单元、光纤配线单元、智能配电单元和其他有源无源设备及附件。</w:t>
      </w:r>
    </w:p>
    <w:p w14:paraId="110C9276">
      <w:pPr>
        <w:pStyle w:val="50"/>
        <w:numPr>
          <w:ilvl w:val="0"/>
          <w:numId w:val="6"/>
        </w:numPr>
        <w:spacing w:line="360" w:lineRule="auto"/>
        <w:ind w:left="851" w:hanging="425"/>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智能配电单元</w:t>
      </w:r>
    </w:p>
    <w:p w14:paraId="2A5B750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智能配电单元由智能监控模块和直流配电分路组成。</w:t>
      </w:r>
    </w:p>
    <w:p w14:paraId="11A5AEA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智能监控模块应具备监测重要负载总电流、次要负载总电流、全部断路器开关状态的功能，各分路电流测量</w:t>
      </w:r>
      <w:r>
        <w:rPr>
          <w:rFonts w:hint="eastAsia"/>
          <w:color w:val="000000" w:themeColor="text1"/>
          <w:sz w:val="24"/>
          <w14:textFill>
            <w14:solidFill>
              <w14:schemeClr w14:val="tx1"/>
            </w14:solidFill>
          </w14:textFill>
        </w:rPr>
        <w:t>和控制。</w:t>
      </w:r>
      <w:r>
        <w:rPr>
          <w:color w:val="000000" w:themeColor="text1"/>
          <w:sz w:val="24"/>
          <w14:textFill>
            <w14:solidFill>
              <w14:schemeClr w14:val="tx1"/>
            </w14:solidFill>
          </w14:textFill>
        </w:rPr>
        <w:t>，并通过通信接口和通信协议上传至开关电源监控模块。</w:t>
      </w:r>
    </w:p>
    <w:p w14:paraId="1C29914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智能监控模块本地显示内容：重要负载总电流、次要负载总电流，开关故障告警。</w:t>
      </w:r>
    </w:p>
    <w:p w14:paraId="01B770D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直流配电分路分为重要负载用配电分路和次要负载用配电分路。微型断路器容量和数量可根据用户需求配置。总高度不超过6U。</w:t>
      </w:r>
    </w:p>
    <w:p w14:paraId="7570C15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直流配电单元内断路器应为同一品牌的3C认证产品。断路器的极限分断能力Icu和运行短路分断能力Ics均≥cs短。</w:t>
      </w:r>
    </w:p>
    <w:p w14:paraId="01B633A1">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14" w:name="_Toc132902837"/>
      <w:bookmarkStart w:id="115" w:name="_Toc429313760"/>
      <w:bookmarkStart w:id="116" w:name="_Toc22324021"/>
      <w:bookmarkStart w:id="117" w:name="_Toc19087189"/>
      <w:r>
        <w:rPr>
          <w:rFonts w:ascii="黑体" w:hAnsi="黑体" w:eastAsia="黑体" w:cs="Times New Roman"/>
          <w:color w:val="000000" w:themeColor="text1"/>
          <w:sz w:val="28"/>
          <w:szCs w:val="28"/>
          <w14:textFill>
            <w14:solidFill>
              <w14:schemeClr w14:val="tx1"/>
            </w14:solidFill>
          </w14:textFill>
        </w:rPr>
        <w:t>机房</w:t>
      </w:r>
      <w:bookmarkEnd w:id="114"/>
      <w:bookmarkEnd w:id="115"/>
      <w:bookmarkEnd w:id="116"/>
      <w:bookmarkEnd w:id="117"/>
    </w:p>
    <w:p w14:paraId="45E745D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须能满足结构承载及消防的安全要求，并具有良好的适用性；在满足安全、适用的前提下，技术方案的选取应以合理地降低建设、运行及维护成本为目的，并通过建筑选材、设备选型等手段实现节能环保的目标。</w:t>
      </w:r>
    </w:p>
    <w:p w14:paraId="546EEBE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机房类型分为自建机房和租赁机房两类，自建机房可分为土建机房、彩钢板机房、一体化(集装箱)机房以及室外机柜。技术方案的选择需要综合站址情况、建设周期、客户需求、装机能力、机房承重、防盗及后期维护等各方面因素确定。</w:t>
      </w:r>
    </w:p>
    <w:p w14:paraId="3E5BC5A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不具备自建机房条件，但有可利用建筑物房屋时，选用租赁机房。租赁时应尽量选择屋内空间规整的房间作为机房，使用面积及配套要求可参照土建机房、彩钢板机房及一体化(集装箱)机房的推荐技术方案执行。</w:t>
      </w:r>
    </w:p>
    <w:p w14:paraId="61BA198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土建机房、彩钢板机房技术方案选择应满足多客户共用机房的需求。设备技术方案应对设备安装进行近远期统一规划，保证布局合理，各客户设备空间应相对独立，区域划分清晰。</w:t>
      </w:r>
    </w:p>
    <w:p w14:paraId="3B72B1B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对于机房建设困难、有迅速建站需求或停电保障要求不高的基站，在明确客户装机数量不多、通信负荷功耗较小的情况下，技术方案可选择一体化(集装箱)机房或室外型一体化机柜方式。</w:t>
      </w:r>
    </w:p>
    <w:p w14:paraId="3A190A4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室外型一体化机柜的技术要求需综合考虑设备集成及动环监控等问题，技术方案详见中国铁塔股份有限公司的《新建基站配套设施总技术要求》和《新建配套设备标准汇总册》。</w:t>
      </w:r>
    </w:p>
    <w:p w14:paraId="6DAD3517">
      <w:pPr>
        <w:spacing w:line="360" w:lineRule="auto"/>
        <w:ind w:firstLine="480"/>
        <w:rPr>
          <w:color w:val="000000" w:themeColor="text1"/>
          <w:sz w:val="24"/>
          <w14:textFill>
            <w14:solidFill>
              <w14:schemeClr w14:val="tx1"/>
            </w14:solidFill>
          </w14:textFill>
        </w:rPr>
      </w:pPr>
    </w:p>
    <w:p w14:paraId="28DA9CA2">
      <w:pPr>
        <w:pStyle w:val="45"/>
        <w:numPr>
          <w:ilvl w:val="0"/>
          <w:numId w:val="1"/>
        </w:numPr>
        <w:rPr>
          <w:rFonts w:cs="Times New Roman"/>
          <w:color w:val="000000" w:themeColor="text1"/>
          <w:sz w:val="28"/>
          <w:szCs w:val="28"/>
          <w14:textFill>
            <w14:solidFill>
              <w14:schemeClr w14:val="tx1"/>
            </w14:solidFill>
          </w14:textFill>
        </w:rPr>
      </w:pPr>
      <w:bookmarkStart w:id="118" w:name="_Toc19087190"/>
      <w:bookmarkStart w:id="119" w:name="_Toc132902838"/>
      <w:bookmarkStart w:id="120" w:name="_Toc22324022"/>
      <w:bookmarkStart w:id="121" w:name="_Toc429313761"/>
      <w:bookmarkStart w:id="122" w:name="_Toc396384309"/>
      <w:bookmarkStart w:id="123" w:name="_Toc132689595"/>
      <w:r>
        <w:rPr>
          <w:rFonts w:cs="Times New Roman"/>
          <w:color w:val="000000" w:themeColor="text1"/>
          <w:sz w:val="28"/>
          <w:szCs w:val="28"/>
          <w14:textFill>
            <w14:solidFill>
              <w14:schemeClr w14:val="tx1"/>
            </w14:solidFill>
          </w14:textFill>
        </w:rPr>
        <w:t>防雷与接地系统</w:t>
      </w:r>
      <w:bookmarkEnd w:id="118"/>
      <w:bookmarkEnd w:id="119"/>
      <w:bookmarkEnd w:id="120"/>
      <w:bookmarkEnd w:id="121"/>
      <w:bookmarkEnd w:id="122"/>
      <w:bookmarkEnd w:id="123"/>
    </w:p>
    <w:p w14:paraId="65B7AE4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24" w:name="_Toc19087191"/>
      <w:bookmarkStart w:id="125" w:name="_Toc132902839"/>
      <w:bookmarkStart w:id="126" w:name="_Toc22324023"/>
      <w:bookmarkStart w:id="127" w:name="_Toc132689596"/>
      <w:bookmarkStart w:id="128" w:name="_Toc396384310"/>
      <w:bookmarkStart w:id="129" w:name="_Toc429313762"/>
      <w:r>
        <w:rPr>
          <w:rFonts w:ascii="黑体" w:hAnsi="黑体" w:eastAsia="黑体" w:cs="Times New Roman"/>
          <w:color w:val="000000" w:themeColor="text1"/>
          <w:sz w:val="28"/>
          <w:szCs w:val="28"/>
          <w14:textFill>
            <w14:solidFill>
              <w14:schemeClr w14:val="tx1"/>
            </w14:solidFill>
          </w14:textFill>
        </w:rPr>
        <w:t>概述</w:t>
      </w:r>
      <w:bookmarkEnd w:id="124"/>
      <w:bookmarkEnd w:id="125"/>
      <w:bookmarkEnd w:id="126"/>
      <w:bookmarkEnd w:id="127"/>
      <w:bookmarkEnd w:id="128"/>
      <w:bookmarkEnd w:id="129"/>
    </w:p>
    <w:p w14:paraId="52A5687A">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雷击分为直击雷和感应雷两种。直击雷击中线路并沿导线或电缆流过大量的雷电流，同时引起几万伏的过电压直接加到线路装置和电源设备上，持续时间达若干微秒，电流值达几十KA；感应雷通过雷云之间或雷云对地的放电或雷击建筑物时，容易在附近的线缆或用电设备等导体上产生感应过电压，危害设备安全。</w:t>
      </w:r>
    </w:p>
    <w:p w14:paraId="2EA6013D">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据统计，在造成移动通信基站的事故中，被损坏的设备基本上是感应雷引起的电力线、电源设备、与外界有线缆联系的信号电路及接口设备。针对此类情况，除设立较为完善的建筑物防雷地网之外，还应在联合接地的基础上，按照整体防护原则，做到全方位防护，综合治理，层层设防，做好基站内外的过电压保护和接地。</w:t>
      </w:r>
    </w:p>
    <w:p w14:paraId="318A50BC">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0" w:name="_Toc132689597"/>
      <w:bookmarkStart w:id="131" w:name="_Toc132902840"/>
      <w:bookmarkStart w:id="132" w:name="_Toc429313763"/>
      <w:bookmarkStart w:id="133" w:name="_Toc22324024"/>
      <w:bookmarkStart w:id="134" w:name="_Toc19087192"/>
      <w:bookmarkStart w:id="135" w:name="_Toc396384311"/>
      <w:r>
        <w:rPr>
          <w:rFonts w:ascii="黑体" w:hAnsi="黑体" w:eastAsia="黑体" w:cs="Times New Roman"/>
          <w:color w:val="000000" w:themeColor="text1"/>
          <w:sz w:val="28"/>
          <w:szCs w:val="28"/>
          <w14:textFill>
            <w14:solidFill>
              <w14:schemeClr w14:val="tx1"/>
            </w14:solidFill>
          </w14:textFill>
        </w:rPr>
        <w:t>供电系统的防雷和接地</w:t>
      </w:r>
      <w:bookmarkEnd w:id="130"/>
      <w:bookmarkEnd w:id="131"/>
      <w:bookmarkEnd w:id="132"/>
      <w:bookmarkEnd w:id="133"/>
      <w:bookmarkEnd w:id="134"/>
      <w:bookmarkEnd w:id="135"/>
    </w:p>
    <w:p w14:paraId="22481264">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交流电源引入部分</w:t>
      </w:r>
    </w:p>
    <w:p w14:paraId="41F654DA">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根据统计，约有60~80%的感应雷和雷电入侵波来自于电力传输线，因此对电源系统的防雷应采取多重保护、层层设防的原则，采取两级防护措施：第一级采用氧化锌避雷器，安装在基站交流配电箱旁；第二级由开关电源设备厂商提供，安装在其设备内部。</w:t>
      </w:r>
    </w:p>
    <w:p w14:paraId="222216D3">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过电压保护装置（SPD）的容量选择</w:t>
      </w:r>
    </w:p>
    <w:p w14:paraId="10D25826">
      <w:pPr>
        <w:spacing w:line="360" w:lineRule="auto"/>
        <w:ind w:left="-31" w:leftChars="-15"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第一级SPD的容量应根据具体基站所处地区以及周边地形地貌等因素综合确定。原则上将基站可分成两个档次：第一类</w:t>
      </w:r>
      <w:r>
        <w:rPr>
          <w:rFonts w:hint="eastAsia" w:ascii="宋体" w:hAnsi="宋体" w:cs="宋体"/>
          <w:bCs/>
          <w:color w:val="000000" w:themeColor="text1"/>
          <w:sz w:val="24"/>
          <w14:textFill>
            <w14:solidFill>
              <w14:schemeClr w14:val="tx1"/>
            </w14:solidFill>
          </w14:textFill>
        </w:rPr>
        <w:t>①</w:t>
      </w:r>
      <w:r>
        <w:rPr>
          <w:bCs/>
          <w:color w:val="000000" w:themeColor="text1"/>
          <w:sz w:val="24"/>
          <w14:textFill>
            <w14:solidFill>
              <w14:schemeClr w14:val="tx1"/>
            </w14:solidFill>
          </w14:textFill>
        </w:rPr>
        <w:t>雷击高发地区</w:t>
      </w:r>
      <w:r>
        <w:rPr>
          <w:rFonts w:hint="eastAsia" w:ascii="宋体" w:hAnsi="宋体" w:cs="宋体"/>
          <w:bCs/>
          <w:color w:val="000000" w:themeColor="text1"/>
          <w:sz w:val="24"/>
          <w14:textFill>
            <w14:solidFill>
              <w14:schemeClr w14:val="tx1"/>
            </w14:solidFill>
          </w14:textFill>
        </w:rPr>
        <w:t>②</w:t>
      </w:r>
      <w:r>
        <w:rPr>
          <w:bCs/>
          <w:color w:val="000000" w:themeColor="text1"/>
          <w:sz w:val="24"/>
          <w14:textFill>
            <w14:solidFill>
              <w14:schemeClr w14:val="tx1"/>
            </w14:solidFill>
          </w14:textFill>
        </w:rPr>
        <w:t>高山站</w:t>
      </w:r>
      <w:r>
        <w:rPr>
          <w:rFonts w:hint="eastAsia" w:ascii="宋体" w:hAnsi="宋体" w:cs="宋体"/>
          <w:bCs/>
          <w:color w:val="000000" w:themeColor="text1"/>
          <w:sz w:val="24"/>
          <w14:textFill>
            <w14:solidFill>
              <w14:schemeClr w14:val="tx1"/>
            </w14:solidFill>
          </w14:textFill>
        </w:rPr>
        <w:t>③</w:t>
      </w:r>
      <w:r>
        <w:rPr>
          <w:bCs/>
          <w:color w:val="000000" w:themeColor="text1"/>
          <w:sz w:val="24"/>
          <w14:textFill>
            <w14:solidFill>
              <w14:schemeClr w14:val="tx1"/>
            </w14:solidFill>
          </w14:textFill>
        </w:rPr>
        <w:t>有长距离架空线引入的站</w:t>
      </w:r>
      <w:r>
        <w:rPr>
          <w:rFonts w:hint="eastAsia" w:ascii="宋体" w:hAnsi="宋体" w:cs="宋体"/>
          <w:bCs/>
          <w:color w:val="000000" w:themeColor="text1"/>
          <w:sz w:val="24"/>
          <w14:textFill>
            <w14:solidFill>
              <w14:schemeClr w14:val="tx1"/>
            </w14:solidFill>
          </w14:textFill>
        </w:rPr>
        <w:t>④</w:t>
      </w:r>
      <w:r>
        <w:rPr>
          <w:bCs/>
          <w:color w:val="000000" w:themeColor="text1"/>
          <w:sz w:val="24"/>
          <w14:textFill>
            <w14:solidFill>
              <w14:schemeClr w14:val="tx1"/>
            </w14:solidFill>
          </w14:textFill>
        </w:rPr>
        <w:t>周边地形地貌较为开阔、空旷、孤立的站：采用100KA（最大放电电流）；其余均属第二类，采用60KA（最大放电电流）。本期工程新建基站根据需要采用100KA的避雷器。第二级SPD的容量一般取15KA。</w:t>
      </w:r>
    </w:p>
    <w:p w14:paraId="708C65D2">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另外，还应注意以下几个问题：</w:t>
      </w:r>
    </w:p>
    <w:p w14:paraId="552B1615">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A、引入基站的电力电缆宜采用金属护套（铠装）或敷设在金属管内。且电缆铠装层或金属管两端应作良好接地。</w:t>
      </w:r>
    </w:p>
    <w:p w14:paraId="70FB19F0">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B、若采用地埋方式入局，则埋地长度不宜小于15m，深度应不小于0.7m。</w:t>
      </w:r>
    </w:p>
    <w:p w14:paraId="6C1F051F">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C、地埋电力电缆与地埋通信电缆平行间距不小于0.5m。</w:t>
      </w:r>
    </w:p>
    <w:p w14:paraId="7D1456B1">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在交流配电箱的输入端的三根相线及零线，零线对地应分别加装过电压保护装置（SPD）。</w:t>
      </w:r>
    </w:p>
    <w:p w14:paraId="104EBBD1">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D、SPD的安装要求：</w:t>
      </w:r>
    </w:p>
    <w:p w14:paraId="3787E99D">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a）SPD应就近接地，接地线应尽可能短直，应避免出现“V”形或“U”形弯，弯曲角度不得小于90°。</w:t>
      </w:r>
    </w:p>
    <w:p w14:paraId="7419F7B6">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b）在SPD回路中应串接空气开关，空气开关规格不宜大于上一级分路规格的1/1.6。</w:t>
      </w:r>
    </w:p>
    <w:p w14:paraId="2340EC7E">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c）由于本期工程采用的是氧化锌压敏电阻（MOV）。综合考虑两级SPD的类型、SPD对雷电流反映时间的快慢、连接线缆的材料，两级SPD之间的连接线要求大于5m。</w:t>
      </w:r>
    </w:p>
    <w:p w14:paraId="0CBD5C7E">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d）通信基站内的SPD应采用凯文式接线。</w:t>
      </w:r>
    </w:p>
    <w:p w14:paraId="57920286">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36" w:name="_Toc22324025"/>
      <w:bookmarkStart w:id="137" w:name="_Toc429313764"/>
      <w:bookmarkStart w:id="138" w:name="_Toc132689598"/>
      <w:bookmarkStart w:id="139" w:name="_Toc396384312"/>
      <w:bookmarkStart w:id="140" w:name="_Toc132902841"/>
      <w:bookmarkStart w:id="141" w:name="_Toc19087193"/>
      <w:r>
        <w:rPr>
          <w:rFonts w:ascii="黑体" w:hAnsi="黑体" w:eastAsia="黑体" w:cs="Times New Roman"/>
          <w:color w:val="000000" w:themeColor="text1"/>
          <w:sz w:val="28"/>
          <w:szCs w:val="28"/>
          <w14:textFill>
            <w14:solidFill>
              <w14:schemeClr w14:val="tx1"/>
            </w14:solidFill>
          </w14:textFill>
        </w:rPr>
        <w:t>天馈线系统的防雷和接地</w:t>
      </w:r>
      <w:bookmarkEnd w:id="136"/>
      <w:bookmarkEnd w:id="137"/>
      <w:bookmarkEnd w:id="138"/>
      <w:bookmarkEnd w:id="139"/>
      <w:bookmarkEnd w:id="140"/>
      <w:bookmarkEnd w:id="141"/>
    </w:p>
    <w:p w14:paraId="1777A3BA">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天馈线在室外部分采用三点接地方式，即将馈线的金属外护层在铁塔顶部平台处（A点）、馈线离开塔身至天桥转弯处上方0.5～1米范围内（B点）、进入机房入口处外侧（C点）作三点接地。其中A点馈线宜与塔身作可靠连接，B点与塔身作良好连接，C点接至馈线窗附近外墙上的室外接地排（EGB）上。EGB用导线通过铜铁焊接转换排直接与地网焊接连通，其位置要求见“基站室内接地系统图”。</w:t>
      </w:r>
    </w:p>
    <w:p w14:paraId="63D0D043">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铁塔上架设的馈线电缆金属外护层应分别在上、下端及进入机房入口处外侧就近接地，当铁塔高度大于60m时，其屏蔽层宜在塔的中间部位增加一个接地连接点，室外走线架始末两端均应作接地连接。</w:t>
      </w:r>
    </w:p>
    <w:p w14:paraId="5CD2954C">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馈线进入室内的接地应就近引接至专用的接地排上，再用截面积为35mm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的防火软电缆将此地线排与室内接地汇集排连接。</w:t>
      </w:r>
    </w:p>
    <w:p w14:paraId="15B6613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2" w:name="_Toc22324026"/>
      <w:bookmarkStart w:id="143" w:name="_Toc19087194"/>
      <w:bookmarkStart w:id="144" w:name="_Toc132902842"/>
      <w:bookmarkStart w:id="145" w:name="_Toc396384313"/>
      <w:bookmarkStart w:id="146" w:name="_Toc429313765"/>
      <w:bookmarkStart w:id="147" w:name="_Toc132689599"/>
      <w:r>
        <w:rPr>
          <w:rFonts w:ascii="黑体" w:hAnsi="黑体" w:eastAsia="黑体" w:cs="Times New Roman"/>
          <w:color w:val="000000" w:themeColor="text1"/>
          <w:sz w:val="28"/>
          <w:szCs w:val="28"/>
          <w14:textFill>
            <w14:solidFill>
              <w14:schemeClr w14:val="tx1"/>
            </w14:solidFill>
          </w14:textFill>
        </w:rPr>
        <w:t>信号线的防雷和接地</w:t>
      </w:r>
      <w:bookmarkEnd w:id="142"/>
      <w:bookmarkEnd w:id="143"/>
      <w:bookmarkEnd w:id="144"/>
      <w:bookmarkEnd w:id="145"/>
      <w:bookmarkEnd w:id="146"/>
      <w:bookmarkEnd w:id="147"/>
    </w:p>
    <w:p w14:paraId="10BC8EAB">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与移动交换局之间的中继一般采用光缆、电缆、微波三种传输方式。采用电缆作为中继线的基站，其雷击感应的过电压机理与电源线相同，也容易由此引入雷害。由于与中继线相连的终端设备的耐过压水平大大低于电源设备，造成中继接口设备、PCM设备、光传输设备、交换设备等损坏的雷击事故屡见不鲜。因此出入基站的传输中继线尽可能采用全线直埋方式，或者至少在入基站前直埋。埋地光（电）缆的金属屏蔽层或金属管道在两端接地，光缆金属加强芯也一并接地。</w:t>
      </w:r>
    </w:p>
    <w:p w14:paraId="2CB9EA1F">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48" w:name="_Toc132902843"/>
      <w:bookmarkStart w:id="149" w:name="_Toc429313766"/>
      <w:bookmarkStart w:id="150" w:name="_Toc132689600"/>
      <w:bookmarkStart w:id="151" w:name="_Toc396384314"/>
      <w:bookmarkStart w:id="152" w:name="_Toc19087195"/>
      <w:bookmarkStart w:id="153" w:name="_Toc22324027"/>
      <w:r>
        <w:rPr>
          <w:rFonts w:ascii="黑体" w:hAnsi="黑体" w:eastAsia="黑体" w:cs="Times New Roman"/>
          <w:color w:val="000000" w:themeColor="text1"/>
          <w:sz w:val="28"/>
          <w:szCs w:val="28"/>
          <w14:textFill>
            <w14:solidFill>
              <w14:schemeClr w14:val="tx1"/>
            </w14:solidFill>
          </w14:textFill>
        </w:rPr>
        <w:t>其他设施的防雷和接地</w:t>
      </w:r>
      <w:bookmarkEnd w:id="148"/>
      <w:bookmarkEnd w:id="149"/>
      <w:bookmarkEnd w:id="150"/>
      <w:bookmarkEnd w:id="151"/>
      <w:bookmarkEnd w:id="152"/>
      <w:bookmarkEnd w:id="153"/>
    </w:p>
    <w:p w14:paraId="73578359">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室外部分</w:t>
      </w:r>
    </w:p>
    <w:p w14:paraId="7F56D03C">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（1）铁塔的防雷与接地</w:t>
      </w:r>
    </w:p>
    <w:p w14:paraId="407F8502">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塔顶的接闪器采用40mm×4mm的热镀锌扁钢作为专用的雷电流引下线。</w:t>
      </w:r>
    </w:p>
    <w:p w14:paraId="771E7743">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为楼顶塔时，其四脚应在屋顶与避雷带就近不少于2处焊接连通。焊点作防腐处理，一定要保证连接点的数量和分散性，以利于分散引流雷电。铁塔为落地塔时，铁塔地网设置为封闭环形带且利用塔基地桩内两根以上主钢筋作为其垂直接地体。</w:t>
      </w:r>
    </w:p>
    <w:p w14:paraId="66D247DD">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铁塔的航标灯电源引线应自铁塔顶部至底部穿金属管，金属管两端分别与塔身连通接地。</w:t>
      </w:r>
    </w:p>
    <w:p w14:paraId="2C1BD34F">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（2）抱杆的接地</w:t>
      </w:r>
    </w:p>
    <w:p w14:paraId="4286585D">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当采用抱杆安装天线时，每根抱杆应分别接至楼顶避雷带，同时馈线也在这一点接地。可利用固定抱杆的膨胀螺栓接头加梅花垫圈连接，并作好防腐处理。</w:t>
      </w:r>
    </w:p>
    <w:p w14:paraId="36F8B962">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新建铁塔上抱杆的接地，抱杆与铁塔之间用镀锌螺栓连接，并作防锈处理即可，也即利用铁塔本身作防雷引下线。</w:t>
      </w:r>
    </w:p>
    <w:p w14:paraId="7EECB705">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（3）室外走线架的接地</w:t>
      </w:r>
    </w:p>
    <w:p w14:paraId="5A363386">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走线架的接地是采用镀锌扁钢与楼顶避雷带焊接连通，连接扁钢要求短、直。走线架与避雷带之间应每隔10～15米与避雷带做一次就近可靠焊接连通，且需要将每段走线架连接起来，可采用镀锌螺栓连接，并作防锈处理。</w:t>
      </w:r>
    </w:p>
    <w:p w14:paraId="6C638D7E">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室内部分</w:t>
      </w:r>
    </w:p>
    <w:p w14:paraId="4238179B">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按单点悬浮接地方式，即指设备与接地排直接连接，这个接地排称为隔离地线排IGB，无线基站、微波、光设备及电源机架、走线架等室内各种金属铁件均连接到该地线排上。它作为基站的接地窗口，是由铜排组成，安装在绝缘支架上。</w:t>
      </w:r>
    </w:p>
    <w:p w14:paraId="7CEE6075">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隔离地线排IGB仅与大楼总地线排或由地网引出的接地扁钢相连。由于地线排所使用的铜材料与扁钢直接焊接不牢靠，本期工程在扁钢与IGB之间加入铜铁转换排，转换排下端与扁钢焊接，上端与截面积为95mm</w:t>
      </w:r>
      <w:r>
        <w:rPr>
          <w:bCs/>
          <w:color w:val="000000" w:themeColor="text1"/>
          <w:sz w:val="24"/>
          <w:vertAlign w:val="superscript"/>
          <w14:textFill>
            <w14:solidFill>
              <w14:schemeClr w14:val="tx1"/>
            </w14:solidFill>
          </w14:textFill>
        </w:rPr>
        <w:t>2</w:t>
      </w:r>
      <w:r>
        <w:rPr>
          <w:bCs/>
          <w:color w:val="000000" w:themeColor="text1"/>
          <w:sz w:val="24"/>
          <w14:textFill>
            <w14:solidFill>
              <w14:schemeClr w14:val="tx1"/>
            </w14:solidFill>
          </w14:textFill>
        </w:rPr>
        <w:t>的多股电源线连接，电源线的另一端连接至IGB排。另外室内走线架应每隔5m接一次地，安装完成后需进行电气测量以保证接地可靠。</w:t>
      </w:r>
    </w:p>
    <w:p w14:paraId="5FF76FD3">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室内IGB引入线在地网上的引接点与防雷引下线与地网连接点应尽可能远，其距离不应小于5m。</w:t>
      </w:r>
    </w:p>
    <w:p w14:paraId="3289CD4A">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54" w:name="_Toc396384315"/>
      <w:bookmarkStart w:id="155" w:name="_Toc429313767"/>
      <w:bookmarkStart w:id="156" w:name="_Toc132902844"/>
      <w:bookmarkStart w:id="157" w:name="_Toc19087196"/>
      <w:bookmarkStart w:id="158" w:name="_Toc132689601"/>
      <w:bookmarkStart w:id="159" w:name="_Toc22324028"/>
      <w:r>
        <w:rPr>
          <w:rFonts w:ascii="黑体" w:hAnsi="黑体" w:eastAsia="黑体" w:cs="Times New Roman"/>
          <w:color w:val="000000" w:themeColor="text1"/>
          <w:sz w:val="28"/>
          <w:szCs w:val="28"/>
          <w14:textFill>
            <w14:solidFill>
              <w14:schemeClr w14:val="tx1"/>
            </w14:solidFill>
          </w14:textFill>
        </w:rPr>
        <w:t>接地网</w:t>
      </w:r>
      <w:bookmarkEnd w:id="154"/>
      <w:bookmarkEnd w:id="155"/>
      <w:bookmarkEnd w:id="156"/>
      <w:bookmarkEnd w:id="157"/>
      <w:bookmarkEnd w:id="158"/>
      <w:bookmarkEnd w:id="159"/>
    </w:p>
    <w:p w14:paraId="6B956F57">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（1）地网的组成和布置</w:t>
      </w:r>
    </w:p>
    <w:p w14:paraId="5EDD462E">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移动通信基站按均压、等电位的原理，将工作地、保护地、防雷地组成一个联合地网。站内各类接地线均从接地汇接线或接地网上分别引入。</w:t>
      </w:r>
    </w:p>
    <w:p w14:paraId="69DA2A00">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基站地网由机房地网、铁塔地网和变压器地网组成。地网之间进行连接时，必须有不少于2处的连接点，以利于均压、分流，连接距离不超过20m。连接材料使用40mm×4mm热镀锌扁钢，焊接处作防腐处理。</w:t>
      </w:r>
    </w:p>
    <w:p w14:paraId="718A334A">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为外租站时，应以设计资料为依据，找到房屋本身的接地引入线，或建筑物中起防雷作用的主钢筋，用镀锌扁钢焊接引入机房，作为机房接地线。因情况不明，无法利用房屋地线时，必须在房屋周围设一圈封闭接地环。</w:t>
      </w:r>
    </w:p>
    <w:p w14:paraId="5DDE904C">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如机房为城区房屋，设封闭接地环有很大困难时，应因地制宜沿房屋建C形或L形水平接地装置，其垂直接地体数量应相应增加。增设接地体施工时如挖出房屋原有接地网，应将接地体与房屋地网焊接连通。</w:t>
      </w:r>
    </w:p>
    <w:p w14:paraId="3E529B89">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（2）接地体</w:t>
      </w:r>
    </w:p>
    <w:p w14:paraId="0225AE24">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接地体材料应采用热镀锌钢材，垂直接地体可采用50mm×50mm×5mm的角钢；水平接地体和接地引入线可采用40mm×4mm的扁钢。</w:t>
      </w:r>
    </w:p>
    <w:p w14:paraId="7A96469C">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垂直接地体长度为1.5～2.5m，垂直接地体间隔为其自身长度的1.5～2倍。接地体上端距地面不小于0.7m，且应在冻土层之下。</w:t>
      </w:r>
    </w:p>
    <w:p w14:paraId="721FBCF7">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接地网的接地电阻近似与地网面积的平方根成反比而与土壤电阻率成正比。因此在砂砾、岩石、砂石、干土等高土壤电阻率地区；或是在城市拥挤等没有宽大地域人工地网的地区，要降低地网的接地电阻率是非常困难的。这里采用在接地体周围加降阻剂是最经济且降阻效果较佳的方法。</w:t>
      </w:r>
    </w:p>
    <w:p w14:paraId="46A14F0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0" w:name="_Toc19087197"/>
      <w:bookmarkStart w:id="161" w:name="_Toc429313768"/>
      <w:bookmarkStart w:id="162" w:name="_Toc22324029"/>
      <w:bookmarkStart w:id="163" w:name="_Toc132902845"/>
      <w:bookmarkStart w:id="164" w:name="_Toc396384316"/>
      <w:r>
        <w:rPr>
          <w:rFonts w:ascii="黑体" w:hAnsi="黑体" w:eastAsia="黑体" w:cs="Times New Roman"/>
          <w:color w:val="000000" w:themeColor="text1"/>
          <w:sz w:val="28"/>
          <w:szCs w:val="28"/>
          <w14:textFill>
            <w14:solidFill>
              <w14:schemeClr w14:val="tx1"/>
            </w14:solidFill>
          </w14:textFill>
        </w:rPr>
        <w:t>基站内接地排布置要求</w:t>
      </w:r>
      <w:bookmarkEnd w:id="160"/>
      <w:bookmarkEnd w:id="161"/>
      <w:bookmarkEnd w:id="162"/>
      <w:bookmarkEnd w:id="163"/>
      <w:bookmarkEnd w:id="164"/>
    </w:p>
    <w:p w14:paraId="3561D72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建议新建基站配置3个接地排。1个接地排位于室外，2个接地排位于室内。</w:t>
      </w:r>
    </w:p>
    <w:p w14:paraId="0586ABB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室外接地排：在机房馈线入口处设置1个室外接地排，做为馈线接地点，室外接地排应直接与地网相连。</w:t>
      </w:r>
    </w:p>
    <w:p w14:paraId="1A762AB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室内接地排：交流配电防雷箱处附近设置1个基站总接地汇流排，基站总接地汇流排应直流与地网相连做为交流配电防雷箱和光缆加强芯的接地。</w:t>
      </w:r>
    </w:p>
    <w:p w14:paraId="4251F19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在馈窗处，设置1个分接地排做为电源设备、无线及传输设备室内接地点，分接地排可从基站总接地汇流排引地，两个室内接地汇流排可用截面积为95mm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的多股铜缆相连。</w:t>
      </w:r>
    </w:p>
    <w:p w14:paraId="5CAE2DC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室内接地排和室外接地排接地引入线的长度不宜超过30米，材料为40mm</w:t>
      </w:r>
      <w:r>
        <w:rPr>
          <w:bCs/>
          <w:color w:val="000000" w:themeColor="text1"/>
          <w:sz w:val="24"/>
          <w14:textFill>
            <w14:solidFill>
              <w14:schemeClr w14:val="tx1"/>
            </w14:solidFill>
          </w14:textFill>
        </w:rPr>
        <w:t>×</w:t>
      </w:r>
      <w:r>
        <w:rPr>
          <w:color w:val="000000" w:themeColor="text1"/>
          <w:sz w:val="24"/>
          <w14:textFill>
            <w14:solidFill>
              <w14:schemeClr w14:val="tx1"/>
            </w14:solidFill>
          </w14:textFill>
        </w:rPr>
        <w:t>4mm的热镀锌扁钢或95mm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的多股铜缆。</w:t>
      </w:r>
    </w:p>
    <w:p w14:paraId="211E47A4">
      <w:pPr>
        <w:spacing w:line="360" w:lineRule="auto"/>
        <w:ind w:firstLine="480"/>
        <w:rPr>
          <w:bCs/>
          <w:color w:val="000000" w:themeColor="text1"/>
          <w:sz w:val="24"/>
          <w14:textFill>
            <w14:solidFill>
              <w14:schemeClr w14:val="tx1"/>
            </w14:solidFill>
          </w14:textFill>
        </w:rPr>
      </w:pPr>
      <w:r>
        <w:rPr>
          <w:color w:val="000000" w:themeColor="text1"/>
          <w:sz w:val="24"/>
          <w14:textFill>
            <w14:solidFill>
              <w14:schemeClr w14:val="tx1"/>
            </w14:solidFill>
          </w14:textFill>
        </w:rPr>
        <w:t>接地引入线引自机房地网环形接地体，引入线与地网的连接线应避开避雷针的雷电引下线及铁塔塔脚。接地引入线出土部分应有防机械损伤和绝缘腐蚀的措施。</w:t>
      </w:r>
    </w:p>
    <w:p w14:paraId="21AF221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65" w:name="_Toc132689602"/>
      <w:bookmarkStart w:id="166" w:name="_Toc22324030"/>
      <w:bookmarkStart w:id="167" w:name="_Toc396384317"/>
      <w:bookmarkStart w:id="168" w:name="_Toc132902846"/>
      <w:bookmarkStart w:id="169" w:name="_Toc429313769"/>
      <w:bookmarkStart w:id="170" w:name="_Toc19087198"/>
      <w:r>
        <w:rPr>
          <w:rFonts w:ascii="黑体" w:hAnsi="黑体" w:eastAsia="黑体" w:cs="Times New Roman"/>
          <w:color w:val="000000" w:themeColor="text1"/>
          <w:sz w:val="28"/>
          <w:szCs w:val="28"/>
          <w14:textFill>
            <w14:solidFill>
              <w14:schemeClr w14:val="tx1"/>
            </w14:solidFill>
          </w14:textFill>
        </w:rPr>
        <w:t>其它需要说明的问题</w:t>
      </w:r>
      <w:bookmarkEnd w:id="165"/>
      <w:bookmarkEnd w:id="166"/>
      <w:bookmarkEnd w:id="167"/>
      <w:bookmarkEnd w:id="168"/>
      <w:bookmarkEnd w:id="169"/>
      <w:bookmarkEnd w:id="170"/>
    </w:p>
    <w:p w14:paraId="56BB9915">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（1）移动通信基站所在地区土壤电阻率低于700Ω·m时，基站地网的工频接地电阻宜控制在10Ω以内；当基站的土壤电阻率大于700Ω·m时，可不对基站的工频接地电阻予以限制，此时地网的等效半径应 ≥20m，并在地网四角敷设20m～30m的辐射型水平接地体。</w:t>
      </w:r>
    </w:p>
    <w:p w14:paraId="75EC9477">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（2）敷设接地线不得有急剧弯曲、凹凸不平的现象，且应对所有接地连接线用标签或标牌加以标明。</w:t>
      </w:r>
    </w:p>
    <w:p w14:paraId="10089145">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（3）室内隔离地线排IGB与接线铜鼻子应作涂锡处理。</w:t>
      </w:r>
    </w:p>
    <w:p w14:paraId="33B9B73E">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（4）室外各设施的接地与楼顶避雷带连接的前提条件是避雷带无严重锈蚀和损坏，如不符合条件，应采用40mm×4mm的热镀锌扁钢重新做防雷引下线。</w:t>
      </w:r>
    </w:p>
    <w:p w14:paraId="76B7A1AF">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5）室外部分接地连接用的扁钢均采用40mm×4mm的热镀锌扁钢。扁钢与扁钢、走线架及避雷带等其他铁件的焊接原则是：焊接牢固，搭接长度至少一倍以上扁钢宽度，且三面棱边焊接，并作防锈处理。如无法三面焊接，搭接长度宜在二倍扁钢宽度以上。</w:t>
      </w:r>
    </w:p>
    <w:p w14:paraId="7DC2A072">
      <w:pPr>
        <w:spacing w:line="360" w:lineRule="auto"/>
        <w:ind w:firstLine="360" w:firstLineChars="15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（6）浪涌避雷器接地线的连接位置、线径大小要求</w:t>
      </w:r>
    </w:p>
    <w:p w14:paraId="2E922895">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a）移动基站交流第一级SPD（也称为B级浪涌保护器），可安装在交流配电箱内（模块式）或交流配电箱附近（箱式），引接线接地线线径大小要求见下表：</w:t>
      </w:r>
    </w:p>
    <w:p w14:paraId="382B96A6">
      <w:pPr>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表4.8                     B级浪涌保护器配线要求</w:t>
      </w:r>
    </w:p>
    <w:tbl>
      <w:tblPr>
        <w:tblStyle w:val="31"/>
        <w:tblW w:w="8613" w:type="dxa"/>
        <w:tblInd w:w="108" w:type="dxa"/>
        <w:tblLayout w:type="fixed"/>
        <w:tblCellMar>
          <w:top w:w="0" w:type="dxa"/>
          <w:left w:w="108" w:type="dxa"/>
          <w:bottom w:w="0" w:type="dxa"/>
          <w:right w:w="108" w:type="dxa"/>
        </w:tblCellMar>
      </w:tblPr>
      <w:tblGrid>
        <w:gridCol w:w="2526"/>
        <w:gridCol w:w="2029"/>
        <w:gridCol w:w="2029"/>
        <w:gridCol w:w="2029"/>
      </w:tblGrid>
      <w:tr w14:paraId="5552B699">
        <w:tblPrEx>
          <w:tblCellMar>
            <w:top w:w="0" w:type="dxa"/>
            <w:left w:w="108" w:type="dxa"/>
            <w:bottom w:w="0" w:type="dxa"/>
            <w:right w:w="108" w:type="dxa"/>
          </w:tblCellMar>
        </w:tblPrEx>
        <w:trPr>
          <w:trHeight w:val="285" w:hRule="atLeast"/>
        </w:trPr>
        <w:tc>
          <w:tcPr>
            <w:tcW w:w="2526" w:type="dxa"/>
            <w:tcBorders>
              <w:top w:val="single" w:color="auto" w:sz="4" w:space="0"/>
              <w:left w:val="single" w:color="auto" w:sz="4" w:space="0"/>
              <w:bottom w:val="single" w:color="auto" w:sz="4" w:space="0"/>
              <w:right w:val="single" w:color="auto" w:sz="4" w:space="0"/>
            </w:tcBorders>
            <w:shd w:val="clear" w:color="auto" w:fill="auto"/>
            <w:vAlign w:val="center"/>
          </w:tcPr>
          <w:p w14:paraId="7B3F32D2">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配电电源线</w:t>
            </w:r>
          </w:p>
        </w:tc>
        <w:tc>
          <w:tcPr>
            <w:tcW w:w="2029" w:type="dxa"/>
            <w:tcBorders>
              <w:top w:val="single" w:color="auto" w:sz="4" w:space="0"/>
              <w:left w:val="nil"/>
              <w:bottom w:val="single" w:color="auto" w:sz="4" w:space="0"/>
              <w:right w:val="single" w:color="auto" w:sz="4" w:space="0"/>
            </w:tcBorders>
            <w:shd w:val="clear" w:color="auto" w:fill="auto"/>
            <w:vAlign w:val="center"/>
          </w:tcPr>
          <w:p w14:paraId="428D9E4C">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S≤16</w:t>
            </w:r>
          </w:p>
        </w:tc>
        <w:tc>
          <w:tcPr>
            <w:tcW w:w="2029" w:type="dxa"/>
            <w:tcBorders>
              <w:top w:val="single" w:color="auto" w:sz="4" w:space="0"/>
              <w:left w:val="nil"/>
              <w:bottom w:val="single" w:color="auto" w:sz="4" w:space="0"/>
              <w:right w:val="single" w:color="auto" w:sz="4" w:space="0"/>
            </w:tcBorders>
            <w:shd w:val="clear" w:color="auto" w:fill="auto"/>
            <w:vAlign w:val="center"/>
          </w:tcPr>
          <w:p w14:paraId="4DFE94C3">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S≤70</w:t>
            </w:r>
          </w:p>
        </w:tc>
        <w:tc>
          <w:tcPr>
            <w:tcW w:w="2029" w:type="dxa"/>
            <w:tcBorders>
              <w:top w:val="single" w:color="auto" w:sz="4" w:space="0"/>
              <w:left w:val="nil"/>
              <w:bottom w:val="single" w:color="auto" w:sz="4" w:space="0"/>
              <w:right w:val="single" w:color="auto" w:sz="4" w:space="0"/>
            </w:tcBorders>
            <w:shd w:val="clear" w:color="auto" w:fill="auto"/>
            <w:vAlign w:val="center"/>
          </w:tcPr>
          <w:p w14:paraId="3A9DDDCC">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S&gt;70</w:t>
            </w:r>
          </w:p>
        </w:tc>
      </w:tr>
      <w:tr w14:paraId="00C3ADFE">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14:paraId="6133DD1A">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引接线</w:t>
            </w:r>
          </w:p>
        </w:tc>
        <w:tc>
          <w:tcPr>
            <w:tcW w:w="2029" w:type="dxa"/>
            <w:tcBorders>
              <w:top w:val="nil"/>
              <w:left w:val="nil"/>
              <w:bottom w:val="single" w:color="auto" w:sz="4" w:space="0"/>
              <w:right w:val="single" w:color="auto" w:sz="4" w:space="0"/>
            </w:tcBorders>
            <w:shd w:val="clear" w:color="auto" w:fill="auto"/>
            <w:vAlign w:val="center"/>
          </w:tcPr>
          <w:p w14:paraId="1DB62044">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14:paraId="6F0080CE">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14:paraId="015A5035">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r>
      <w:tr w14:paraId="5C5E642E">
        <w:tblPrEx>
          <w:tblCellMar>
            <w:top w:w="0" w:type="dxa"/>
            <w:left w:w="108" w:type="dxa"/>
            <w:bottom w:w="0" w:type="dxa"/>
            <w:right w:w="108" w:type="dxa"/>
          </w:tblCellMar>
        </w:tblPrEx>
        <w:trPr>
          <w:trHeight w:val="285" w:hRule="atLeast"/>
        </w:trPr>
        <w:tc>
          <w:tcPr>
            <w:tcW w:w="2526" w:type="dxa"/>
            <w:tcBorders>
              <w:top w:val="nil"/>
              <w:left w:val="single" w:color="auto" w:sz="4" w:space="0"/>
              <w:bottom w:val="single" w:color="auto" w:sz="4" w:space="0"/>
              <w:right w:val="single" w:color="auto" w:sz="4" w:space="0"/>
            </w:tcBorders>
            <w:shd w:val="clear" w:color="auto" w:fill="auto"/>
            <w:vAlign w:val="center"/>
          </w:tcPr>
          <w:p w14:paraId="6DF6873E">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接地线</w:t>
            </w:r>
          </w:p>
        </w:tc>
        <w:tc>
          <w:tcPr>
            <w:tcW w:w="2029" w:type="dxa"/>
            <w:tcBorders>
              <w:top w:val="nil"/>
              <w:left w:val="nil"/>
              <w:bottom w:val="single" w:color="auto" w:sz="4" w:space="0"/>
              <w:right w:val="single" w:color="auto" w:sz="4" w:space="0"/>
            </w:tcBorders>
            <w:shd w:val="clear" w:color="auto" w:fill="auto"/>
            <w:vAlign w:val="center"/>
          </w:tcPr>
          <w:p w14:paraId="25AF540A">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S</w:t>
            </w:r>
          </w:p>
        </w:tc>
        <w:tc>
          <w:tcPr>
            <w:tcW w:w="2029" w:type="dxa"/>
            <w:tcBorders>
              <w:top w:val="nil"/>
              <w:left w:val="nil"/>
              <w:bottom w:val="single" w:color="auto" w:sz="4" w:space="0"/>
              <w:right w:val="single" w:color="auto" w:sz="4" w:space="0"/>
            </w:tcBorders>
            <w:shd w:val="clear" w:color="auto" w:fill="auto"/>
            <w:vAlign w:val="center"/>
          </w:tcPr>
          <w:p w14:paraId="5237CE30">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≥16</w:t>
            </w:r>
          </w:p>
        </w:tc>
        <w:tc>
          <w:tcPr>
            <w:tcW w:w="2029" w:type="dxa"/>
            <w:tcBorders>
              <w:top w:val="nil"/>
              <w:left w:val="nil"/>
              <w:bottom w:val="single" w:color="auto" w:sz="4" w:space="0"/>
              <w:right w:val="single" w:color="auto" w:sz="4" w:space="0"/>
            </w:tcBorders>
            <w:shd w:val="clear" w:color="auto" w:fill="auto"/>
            <w:vAlign w:val="center"/>
          </w:tcPr>
          <w:p w14:paraId="41EDD703">
            <w:pPr>
              <w:widowControl/>
              <w:spacing w:line="360" w:lineRule="auto"/>
              <w:ind w:firstLine="480"/>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w:t>
            </w:r>
          </w:p>
        </w:tc>
      </w:tr>
    </w:tbl>
    <w:p w14:paraId="2C362D9A">
      <w:pPr>
        <w:spacing w:line="360" w:lineRule="auto"/>
        <w:ind w:firstLine="420"/>
        <w:rPr>
          <w:color w:val="000000" w:themeColor="text1"/>
          <w:sz w:val="24"/>
          <w14:textFill>
            <w14:solidFill>
              <w14:schemeClr w14:val="tx1"/>
            </w14:solidFill>
          </w14:textFill>
        </w:rPr>
      </w:pPr>
      <w:r>
        <w:rPr>
          <w:color w:val="000000" w:themeColor="text1"/>
          <w:sz w:val="24"/>
          <w14:textFill>
            <w14:solidFill>
              <w14:schemeClr w14:val="tx1"/>
            </w14:solidFill>
          </w14:textFill>
        </w:rPr>
        <w:t>S为铜线截面积（mm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14:paraId="35802E3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使用模块式SPD时，引接线长度应小于1米，SPD接地线的长度应小于1.5米。</w:t>
      </w:r>
    </w:p>
    <w:p w14:paraId="1179891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使用箱式SPD时，引接线长度和SPD接地线的长度均应小于1.5米。</w:t>
      </w:r>
    </w:p>
    <w:p w14:paraId="7E8DD98D">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b）交流次级SPD，既开关电源中配置的40KA SPD，SPD设备及相关连接线均为开关电源厂家随设备安装到位。</w:t>
      </w:r>
    </w:p>
    <w:p w14:paraId="22DFE305">
      <w:pPr>
        <w:spacing w:line="360" w:lineRule="auto"/>
        <w:ind w:firstLine="600" w:firstLineChars="250"/>
        <w:rPr>
          <w:color w:val="000000" w:themeColor="text1"/>
          <w:sz w:val="24"/>
          <w14:textFill>
            <w14:solidFill>
              <w14:schemeClr w14:val="tx1"/>
            </w14:solidFill>
          </w14:textFill>
        </w:rPr>
      </w:pPr>
      <w:r>
        <w:rPr>
          <w:color w:val="000000" w:themeColor="text1"/>
          <w:sz w:val="24"/>
          <w14:textFill>
            <w14:solidFill>
              <w14:schemeClr w14:val="tx1"/>
            </w14:solidFill>
          </w14:textFill>
        </w:rPr>
        <w:t>c）移动基站的馈线SPD，最大放电电流应不小于15KA（8/20μs），其接地端子应就近连接到室外接地排上。建议馈线避雷器接地距离不小于1.5米，馈线避雷器接地线径不小于16mm2。</w:t>
      </w:r>
    </w:p>
    <w:p w14:paraId="021506C5">
      <w:pPr>
        <w:pStyle w:val="45"/>
        <w:numPr>
          <w:ilvl w:val="0"/>
          <w:numId w:val="1"/>
        </w:numPr>
        <w:rPr>
          <w:rFonts w:cs="Times New Roman"/>
          <w:color w:val="000000" w:themeColor="text1"/>
          <w:sz w:val="28"/>
          <w:szCs w:val="28"/>
          <w14:textFill>
            <w14:solidFill>
              <w14:schemeClr w14:val="tx1"/>
            </w14:solidFill>
          </w14:textFill>
        </w:rPr>
      </w:pPr>
      <w:bookmarkStart w:id="171" w:name="_Toc22324031"/>
      <w:bookmarkStart w:id="172" w:name="_Toc132902847"/>
      <w:bookmarkStart w:id="173" w:name="_Toc524727031"/>
      <w:r>
        <w:rPr>
          <w:rFonts w:cs="Times New Roman"/>
          <w:color w:val="000000" w:themeColor="text1"/>
          <w:sz w:val="28"/>
          <w:szCs w:val="28"/>
          <w14:textFill>
            <w14:solidFill>
              <w14:schemeClr w14:val="tx1"/>
            </w14:solidFill>
          </w14:textFill>
        </w:rPr>
        <w:t>运行维护、劳动定员与培训、仪表配置</w:t>
      </w:r>
      <w:bookmarkEnd w:id="171"/>
      <w:bookmarkEnd w:id="172"/>
      <w:bookmarkEnd w:id="173"/>
    </w:p>
    <w:p w14:paraId="7BB15FC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74" w:name="_Toc132902848"/>
      <w:bookmarkStart w:id="175" w:name="_Toc524727032"/>
      <w:bookmarkStart w:id="176" w:name="_Toc22324032"/>
      <w:bookmarkStart w:id="177" w:name="_Toc362620954"/>
      <w:bookmarkStart w:id="178" w:name="_Toc272155634"/>
      <w:r>
        <w:rPr>
          <w:rFonts w:ascii="黑体" w:hAnsi="黑体" w:eastAsia="黑体" w:cs="Times New Roman"/>
          <w:color w:val="000000" w:themeColor="text1"/>
          <w:sz w:val="28"/>
          <w:szCs w:val="28"/>
          <w14:textFill>
            <w14:solidFill>
              <w14:schemeClr w14:val="tx1"/>
            </w14:solidFill>
          </w14:textFill>
        </w:rPr>
        <w:t>运行维护</w:t>
      </w:r>
      <w:bookmarkEnd w:id="174"/>
      <w:bookmarkEnd w:id="175"/>
      <w:bookmarkEnd w:id="176"/>
    </w:p>
    <w:p w14:paraId="5EB40F37">
      <w:pPr>
        <w:autoSpaceDE w:val="0"/>
        <w:autoSpaceDN w:val="0"/>
        <w:adjustRightInd w:val="0"/>
        <w:spacing w:line="360" w:lineRule="auto"/>
        <w:ind w:firstLine="480" w:firstLineChars="200"/>
        <w:rPr>
          <w:color w:val="000000" w:themeColor="text1"/>
          <w:sz w:val="24"/>
          <w14:textFill>
            <w14:solidFill>
              <w14:schemeClr w14:val="tx1"/>
            </w14:solidFill>
          </w14:textFill>
        </w:rPr>
      </w:pPr>
      <w:bookmarkStart w:id="179" w:name="_Toc207451535"/>
      <w:bookmarkEnd w:id="179"/>
      <w:bookmarkStart w:id="180" w:name="_Toc207451738"/>
      <w:bookmarkEnd w:id="180"/>
      <w:bookmarkStart w:id="181" w:name="_Toc207355559"/>
      <w:bookmarkEnd w:id="181"/>
      <w:r>
        <w:rPr>
          <w:color w:val="000000" w:themeColor="text1"/>
          <w:sz w:val="24"/>
          <w14:textFill>
            <w14:solidFill>
              <w14:schemeClr w14:val="tx1"/>
            </w14:solidFill>
          </w14:textFill>
        </w:rPr>
        <w:t>根据设备维护规程，对</w:t>
      </w:r>
      <w:r>
        <w:rPr>
          <w:rFonts w:hint="eastAsia"/>
          <w:color w:val="000000" w:themeColor="text1"/>
          <w:sz w:val="24"/>
          <w14:textFill>
            <w14:solidFill>
              <w14:schemeClr w14:val="tx1"/>
            </w14:solidFill>
          </w14:textFill>
        </w:rPr>
        <w:t>基站环境、供电</w:t>
      </w:r>
      <w:r>
        <w:rPr>
          <w:color w:val="000000" w:themeColor="text1"/>
          <w:sz w:val="24"/>
          <w14:textFill>
            <w14:solidFill>
              <w14:schemeClr w14:val="tx1"/>
            </w14:solidFill>
          </w14:textFill>
        </w:rPr>
        <w:t>及网路运行进行监控、优化、维护和故障处理，保证设备完好和通信畅通。无线基站设备、电源设备原则上要求实行无人值守。</w:t>
      </w:r>
    </w:p>
    <w:p w14:paraId="3CB88B1F">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2" w:name="_Toc438374468"/>
      <w:bookmarkStart w:id="183" w:name="_Toc132902849"/>
      <w:bookmarkStart w:id="184" w:name="_Toc22324033"/>
      <w:bookmarkStart w:id="185" w:name="_Toc524727033"/>
      <w:r>
        <w:rPr>
          <w:rFonts w:ascii="黑体" w:hAnsi="黑体" w:eastAsia="黑体" w:cs="Times New Roman"/>
          <w:color w:val="000000" w:themeColor="text1"/>
          <w:sz w:val="28"/>
          <w:szCs w:val="28"/>
          <w14:textFill>
            <w14:solidFill>
              <w14:schemeClr w14:val="tx1"/>
            </w14:solidFill>
          </w14:textFill>
        </w:rPr>
        <w:t>劳动定员与培训</w:t>
      </w:r>
      <w:bookmarkEnd w:id="177"/>
      <w:bookmarkEnd w:id="178"/>
      <w:bookmarkEnd w:id="182"/>
      <w:bookmarkEnd w:id="183"/>
      <w:bookmarkEnd w:id="184"/>
      <w:bookmarkEnd w:id="185"/>
    </w:p>
    <w:p w14:paraId="0EBDEB72">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根据项目具体情况，本项目维护管理人员与基站维护人员一并设置，不再另外增加。</w:t>
      </w:r>
    </w:p>
    <w:p w14:paraId="26FE3D52">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本工程为</w:t>
      </w:r>
      <w:r>
        <w:rPr>
          <w:rFonts w:hint="eastAsia"/>
          <w:color w:val="000000" w:themeColor="text1"/>
          <w:sz w:val="24"/>
          <w14:textFill>
            <w14:solidFill>
              <w14:schemeClr w14:val="tx1"/>
            </w14:solidFill>
          </w14:textFill>
        </w:rPr>
        <w:t>基站动力配套</w:t>
      </w:r>
      <w:r>
        <w:rPr>
          <w:color w:val="000000" w:themeColor="text1"/>
          <w:sz w:val="24"/>
          <w14:textFill>
            <w14:solidFill>
              <w14:schemeClr w14:val="tx1"/>
            </w14:solidFill>
          </w14:textFill>
        </w:rPr>
        <w:t>工程，建议对上岗人员，尤其是工程技术人员加强技术培训，提高</w:t>
      </w:r>
      <w:r>
        <w:rPr>
          <w:rFonts w:hint="eastAsia"/>
          <w:color w:val="000000" w:themeColor="text1"/>
          <w:sz w:val="24"/>
          <w14:textFill>
            <w14:solidFill>
              <w14:schemeClr w14:val="tx1"/>
            </w14:solidFill>
          </w14:textFill>
        </w:rPr>
        <w:t>电源设备安装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接地系统安装</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监控设备安装、空调设备安装等</w:t>
      </w:r>
      <w:r>
        <w:rPr>
          <w:color w:val="000000" w:themeColor="text1"/>
          <w:sz w:val="24"/>
          <w14:textFill>
            <w14:solidFill>
              <w14:schemeClr w14:val="tx1"/>
            </w14:solidFill>
          </w14:textFill>
        </w:rPr>
        <w:t>方面的专业水平。培训方式可采用集中授课和现场指导相结合的方式进行。</w:t>
      </w:r>
    </w:p>
    <w:p w14:paraId="02834284">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86" w:name="_Toc524727034"/>
      <w:bookmarkStart w:id="187" w:name="_Toc132902850"/>
      <w:bookmarkStart w:id="188" w:name="_Toc22324034"/>
      <w:r>
        <w:rPr>
          <w:rFonts w:ascii="黑体" w:hAnsi="黑体" w:eastAsia="黑体" w:cs="Times New Roman"/>
          <w:color w:val="000000" w:themeColor="text1"/>
          <w:sz w:val="28"/>
          <w:szCs w:val="28"/>
          <w14:textFill>
            <w14:solidFill>
              <w14:schemeClr w14:val="tx1"/>
            </w14:solidFill>
          </w14:textFill>
        </w:rPr>
        <w:t>仪表配置</w:t>
      </w:r>
      <w:bookmarkEnd w:id="186"/>
      <w:bookmarkEnd w:id="187"/>
      <w:bookmarkEnd w:id="188"/>
    </w:p>
    <w:p w14:paraId="009B7FA0">
      <w:pPr>
        <w:autoSpaceDE w:val="0"/>
        <w:autoSpaceDN w:val="0"/>
        <w:adjustRightInd w:val="0"/>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本工程可利用</w:t>
      </w:r>
      <w:r>
        <w:rPr>
          <w:rFonts w:hint="eastAsia"/>
          <w:color w:val="000000" w:themeColor="text1"/>
          <w:sz w:val="24"/>
          <w14:textFill>
            <w14:solidFill>
              <w14:schemeClr w14:val="tx1"/>
            </w14:solidFill>
          </w14:textFill>
        </w:rPr>
        <w:t>现有</w:t>
      </w:r>
      <w:r>
        <w:rPr>
          <w:color w:val="000000" w:themeColor="text1"/>
          <w:sz w:val="24"/>
          <w14:textFill>
            <w14:solidFill>
              <w14:schemeClr w14:val="tx1"/>
            </w14:solidFill>
          </w14:textFill>
        </w:rPr>
        <w:t>测试、维护等仪表，不再另外增加。</w:t>
      </w:r>
    </w:p>
    <w:p w14:paraId="687BBD0B">
      <w:pPr>
        <w:pStyle w:val="45"/>
        <w:numPr>
          <w:ilvl w:val="0"/>
          <w:numId w:val="1"/>
        </w:numPr>
        <w:rPr>
          <w:rFonts w:cs="Times New Roman"/>
          <w:color w:val="000000" w:themeColor="text1"/>
          <w:sz w:val="28"/>
          <w:szCs w:val="28"/>
          <w14:textFill>
            <w14:solidFill>
              <w14:schemeClr w14:val="tx1"/>
            </w14:solidFill>
          </w14:textFill>
        </w:rPr>
      </w:pPr>
      <w:bookmarkStart w:id="189" w:name="_Toc22324035"/>
      <w:bookmarkStart w:id="190" w:name="_Toc132902851"/>
      <w:r>
        <w:rPr>
          <w:rFonts w:hint="eastAsia" w:cs="Times New Roman"/>
          <w:color w:val="000000" w:themeColor="text1"/>
          <w:sz w:val="28"/>
          <w:szCs w:val="28"/>
          <w14:textFill>
            <w14:solidFill>
              <w14:schemeClr w14:val="tx1"/>
            </w14:solidFill>
          </w14:textFill>
        </w:rPr>
        <w:t>共建共享</w:t>
      </w:r>
      <w:bookmarkEnd w:id="189"/>
      <w:bookmarkEnd w:id="190"/>
    </w:p>
    <w:p w14:paraId="6E104E5E">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1" w:name="_Toc132902852"/>
      <w:bookmarkStart w:id="192" w:name="_Toc22324036"/>
      <w:r>
        <w:rPr>
          <w:rFonts w:hint="eastAsia" w:ascii="黑体" w:hAnsi="黑体" w:eastAsia="黑体" w:cs="Times New Roman"/>
          <w:color w:val="000000" w:themeColor="text1"/>
          <w:sz w:val="28"/>
          <w:szCs w:val="28"/>
          <w14:textFill>
            <w14:solidFill>
              <w14:schemeClr w14:val="tx1"/>
            </w14:solidFill>
          </w14:textFill>
        </w:rPr>
        <w:t>指导原则</w:t>
      </w:r>
      <w:bookmarkEnd w:id="191"/>
      <w:bookmarkEnd w:id="192"/>
    </w:p>
    <w:p w14:paraId="029B5128">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共建共享的指导原则主要依据工信部和中国铁塔的相关政策法规、规章制度和技术规范：</w:t>
      </w:r>
    </w:p>
    <w:p w14:paraId="1B851951">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（1）中华人民共和国通信行业标准《电信基础设施共建共享工程技术暂行规定》（YD 5191-2009）；</w:t>
      </w:r>
    </w:p>
    <w:p w14:paraId="5C28EB3A">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（2）中华人民共和国通信行业标准《电信基础设施共建共享技术要求第2部分：基站设施》（YD/T 2164.2-2010）；</w:t>
      </w:r>
    </w:p>
    <w:p w14:paraId="28D506C2">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（3）《关于推进电信基础设施共建共享的紧急通知》（工信部联通【2008】235号）；</w:t>
      </w:r>
    </w:p>
    <w:p w14:paraId="0F710F87">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（4）《关于2009年电信基础设施共建共享考核工作的通知》（工信部联通【2009】386号）；</w:t>
      </w:r>
    </w:p>
    <w:p w14:paraId="7F6D79B8">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（5）《关于电信基础设施共建共享中供电有关问题的通知》（电监办【2009】 26号）；</w:t>
      </w:r>
    </w:p>
    <w:p w14:paraId="25E37338">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（6）《工业和信息化部 国务院国有资产监督管理委员会关于2015年推进电信基础设施共建共享的实施意见》工信部联通【2014】586号；</w:t>
      </w:r>
    </w:p>
    <w:p w14:paraId="21C7EA10">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（7）《工业和信息化部 国务院国有资产监督管理委员会关于2016年推进电信基础设施共建共享的实施意见》工信部联通信【2016】142号；</w:t>
      </w:r>
    </w:p>
    <w:p w14:paraId="0D6B1C91">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2号；</w:t>
      </w:r>
    </w:p>
    <w:p w14:paraId="6133955B">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2号；</w:t>
      </w:r>
    </w:p>
    <w:p w14:paraId="12F5A41F">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）《工业和信息化部 国务院国有资产监督管理委员会关于201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年推进电信基础设施共建共享的实施意见》工信部联通信【201</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123</w:t>
      </w:r>
      <w:r>
        <w:rPr>
          <w:rFonts w:hint="eastAsia"/>
          <w:color w:val="000000" w:themeColor="text1"/>
          <w:sz w:val="24"/>
          <w14:textFill>
            <w14:solidFill>
              <w14:schemeClr w14:val="tx1"/>
            </w14:solidFill>
          </w14:textFill>
        </w:rPr>
        <w:t>号；</w:t>
      </w:r>
    </w:p>
    <w:p w14:paraId="74A5E77D">
      <w:pPr>
        <w:autoSpaceDE w:val="0"/>
        <w:autoSpaceDN w:val="0"/>
        <w:adjustRightInd w:val="0"/>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w:t>
      </w:r>
    </w:p>
    <w:p w14:paraId="1BAEA963">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193" w:name="_Toc132902853"/>
      <w:bookmarkStart w:id="194" w:name="_Toc22324037"/>
      <w:r>
        <w:rPr>
          <w:rFonts w:hint="eastAsia" w:ascii="黑体" w:hAnsi="黑体" w:eastAsia="黑体" w:cs="Times New Roman"/>
          <w:color w:val="000000" w:themeColor="text1"/>
          <w:sz w:val="28"/>
          <w:szCs w:val="28"/>
          <w14:textFill>
            <w14:solidFill>
              <w14:schemeClr w14:val="tx1"/>
            </w14:solidFill>
          </w14:textFill>
        </w:rPr>
        <w:t>具体要求</w:t>
      </w:r>
      <w:bookmarkEnd w:id="193"/>
      <w:bookmarkEnd w:id="194"/>
    </w:p>
    <w:p w14:paraId="16A501ED">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根据《工业和信息化部、国务院国有资产监督管理委员会关于推进电信基础设施共建共享 支撑5G网络加快建设发展的实施意见》工信部联通信函【20</w:t>
      </w:r>
      <w:r>
        <w:rPr>
          <w:color w:val="000000" w:themeColor="text1"/>
          <w:sz w:val="24"/>
          <w14:textFill>
            <w14:solidFill>
              <w14:schemeClr w14:val="tx1"/>
            </w14:solidFill>
          </w14:textFill>
        </w:rPr>
        <w:t>20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78</w:t>
      </w:r>
      <w:r>
        <w:rPr>
          <w:rFonts w:hint="eastAsia"/>
          <w:color w:val="000000" w:themeColor="text1"/>
          <w:sz w:val="24"/>
          <w14:textFill>
            <w14:solidFill>
              <w14:schemeClr w14:val="tx1"/>
            </w14:solidFill>
          </w14:textFill>
        </w:rPr>
        <w:t>号文件，以深入推进5G共建共享为重点，强化统筹集约建设和存量资源共享，继续推进杆路、管道等传输资源共建共享，杜绝住宅区和商务楼宇宽带垄断，保障电信基础设施建设通行权和公平进入。</w:t>
      </w:r>
    </w:p>
    <w:p w14:paraId="53479519">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深入推进铁塔等站址设施共建共享。加强5G网络规划布局，各地通管局会同地方有关部门完成地市主城区5G移动通信基础设施规划，并做好与市政等基础设施规划的衔接；统筹铁塔设施建设需求，各地通管局要本着“集约利用存量资源、能共享不新建”的原则，组织运营商及中国铁塔省级公司及相关企业进一步完善共建共享机制，统筹铁塔等基站配套设施建设需求；严格控制站址新建独享；推进重点场所共同进入；完善建筑物相关标准规范，推动将5G基站等设施纳入建筑物的必备配套，与建筑物同步设计、同步施工、同步验收；鼓励5G网络共建共享。</w:t>
      </w:r>
    </w:p>
    <w:p w14:paraId="7C2FBC2A">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加强杆路、管道等传输资源共建共享。强化干线光缆共建共享；严格重点区域共建共享；鼓励跨行业共建共享，鼓励基础电信企业加强与军队有关部门的合作，促进军民融合基础设施共建共享。</w:t>
      </w:r>
    </w:p>
    <w:p w14:paraId="4E52A087">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加强住宅区和商务楼宇共建共享。新建住宅区、商务楼宇、公共建筑内的通信管道、管线、机房等配套设施建设应严格执行国家和地方相关工程建设标准；保障用户自由选择权，完善共建共享共维机制。</w:t>
      </w:r>
    </w:p>
    <w:p w14:paraId="52E52BE4">
      <w:pPr>
        <w:spacing w:line="360" w:lineRule="auto"/>
        <w:ind w:firstLine="480"/>
        <w:rPr>
          <w:color w:val="000000" w:themeColor="text1"/>
          <w:sz w:val="24"/>
          <w14:textFill>
            <w14:solidFill>
              <w14:schemeClr w14:val="tx1"/>
            </w14:solidFill>
          </w14:textFill>
        </w:rPr>
      </w:pPr>
    </w:p>
    <w:p w14:paraId="3CD1A34B">
      <w:pPr>
        <w:pStyle w:val="45"/>
        <w:numPr>
          <w:ilvl w:val="0"/>
          <w:numId w:val="1"/>
        </w:numPr>
        <w:rPr>
          <w:rFonts w:cs="Times New Roman"/>
          <w:color w:val="000000" w:themeColor="text1"/>
          <w:sz w:val="28"/>
          <w:szCs w:val="28"/>
          <w14:textFill>
            <w14:solidFill>
              <w14:schemeClr w14:val="tx1"/>
            </w14:solidFill>
          </w14:textFill>
        </w:rPr>
      </w:pPr>
      <w:bookmarkStart w:id="195" w:name="_Toc417651978"/>
      <w:bookmarkStart w:id="196" w:name="_Toc429313770"/>
      <w:bookmarkStart w:id="197" w:name="_Toc22324038"/>
      <w:bookmarkStart w:id="198" w:name="_Toc132902854"/>
      <w:bookmarkStart w:id="199" w:name="_Toc19087199"/>
      <w:r>
        <w:rPr>
          <w:rFonts w:cs="Times New Roman"/>
          <w:color w:val="000000" w:themeColor="text1"/>
          <w:sz w:val="28"/>
          <w:szCs w:val="28"/>
          <w14:textFill>
            <w14:solidFill>
              <w14:schemeClr w14:val="tx1"/>
            </w14:solidFill>
          </w14:textFill>
        </w:rPr>
        <w:t>环境保护</w:t>
      </w:r>
      <w:bookmarkEnd w:id="195"/>
      <w:bookmarkEnd w:id="196"/>
      <w:bookmarkEnd w:id="197"/>
      <w:bookmarkEnd w:id="198"/>
      <w:bookmarkEnd w:id="199"/>
    </w:p>
    <w:p w14:paraId="5172497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通信工程建设应符合</w:t>
      </w:r>
      <w:r>
        <w:rPr>
          <w:rFonts w:hint="eastAsia"/>
        </w:rPr>
        <w:fldChar w:fldCharType="begin"/>
      </w:r>
      <w:r>
        <w:instrText xml:space="preserve"> HYPERLINK "javascript:__doPostBack('ctl00$ctl00$ContentPlaceHolder1$ContentPlaceHolder1$rptStandard$ctl00$lbtnDetail','')" \o "点击查看标准详细信息" </w:instrText>
      </w:r>
      <w:r>
        <w:rPr>
          <w:rFonts w:hint="eastAsia"/>
        </w:rPr>
        <w:fldChar w:fldCharType="separate"/>
      </w:r>
      <w:r>
        <w:rPr>
          <w:rFonts w:hint="eastAsia"/>
          <w:color w:val="000000" w:themeColor="text1"/>
          <w:sz w:val="24"/>
          <w14:textFill>
            <w14:solidFill>
              <w14:schemeClr w14:val="tx1"/>
            </w14:solidFill>
          </w14:textFill>
        </w:rPr>
        <w:t>GB/T 51391-2019</w:t>
      </w:r>
      <w:r>
        <w:rPr>
          <w:rFonts w:hint="eastAsia"/>
          <w:color w:val="000000" w:themeColor="text1"/>
          <w:sz w:val="24"/>
          <w14:textFill>
            <w14:solidFill>
              <w14:schemeClr w14:val="tx1"/>
            </w14:solidFill>
          </w14:textFill>
        </w:rPr>
        <w:fldChar w:fldCharType="end"/>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通信工程建设环境保护技术标准</w:t>
      </w:r>
      <w:r>
        <w:rPr>
          <w:color w:val="000000" w:themeColor="text1"/>
          <w:sz w:val="24"/>
          <w14:textFill>
            <w14:solidFill>
              <w14:schemeClr w14:val="tx1"/>
            </w14:solidFill>
          </w14:textFill>
        </w:rPr>
        <w:t>》的相关要求。</w:t>
      </w:r>
    </w:p>
    <w:p w14:paraId="28783BAF">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0" w:name="_Toc417651979"/>
      <w:bookmarkStart w:id="201" w:name="_Toc429313771"/>
      <w:bookmarkStart w:id="202" w:name="_Toc19087200"/>
      <w:bookmarkStart w:id="203" w:name="_Toc132902855"/>
      <w:bookmarkStart w:id="204" w:name="_Toc22324039"/>
      <w:r>
        <w:rPr>
          <w:rFonts w:ascii="黑体" w:hAnsi="黑体" w:eastAsia="黑体" w:cs="Times New Roman"/>
          <w:color w:val="000000" w:themeColor="text1"/>
          <w:sz w:val="28"/>
          <w:szCs w:val="28"/>
          <w14:textFill>
            <w14:solidFill>
              <w14:schemeClr w14:val="tx1"/>
            </w14:solidFill>
          </w14:textFill>
        </w:rPr>
        <w:t>电磁辐射</w:t>
      </w:r>
      <w:bookmarkEnd w:id="200"/>
      <w:bookmarkEnd w:id="201"/>
      <w:bookmarkEnd w:id="202"/>
      <w:bookmarkEnd w:id="203"/>
      <w:bookmarkEnd w:id="204"/>
    </w:p>
    <w:p w14:paraId="279674EE">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电磁兼容分析</w:t>
      </w:r>
    </w:p>
    <w:p w14:paraId="5210857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为了使网络达到良好的电磁兼容性，应作好主要以下四方面的干扰协调工作：</w:t>
      </w:r>
    </w:p>
    <w:p w14:paraId="5EDCBFC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（1）系统内干扰协调</w:t>
      </w:r>
    </w:p>
    <w:p w14:paraId="55B6332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各制式系统内主要存在同频干扰、邻频干扰、互调干扰，要求在做频率规划、设计小区参数时协调好以上干扰因素。</w:t>
      </w:r>
    </w:p>
    <w:p w14:paraId="49D5FED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（2）系统间的干扰协调</w:t>
      </w:r>
    </w:p>
    <w:p w14:paraId="75A2C820">
      <w:pPr>
        <w:spacing w:line="360" w:lineRule="auto"/>
        <w:ind w:firstLine="480"/>
        <w:rPr>
          <w:color w:val="000000" w:themeColor="text1"/>
          <w:sz w:val="24"/>
          <w14:textFill>
            <w14:solidFill>
              <w14:schemeClr w14:val="tx1"/>
            </w14:solidFill>
          </w14:textFill>
        </w:rPr>
        <w:sectPr>
          <w:pgSz w:w="11907" w:h="16840"/>
          <w:pgMar w:top="1588" w:right="1701" w:bottom="1361" w:left="1701" w:header="1021" w:footer="1134" w:gutter="0"/>
          <w:pgNumType w:start="1"/>
          <w:cols w:space="425" w:num="1"/>
          <w:docGrid w:linePitch="380" w:charSpace="0"/>
        </w:sectPr>
      </w:pPr>
    </w:p>
    <w:p w14:paraId="01F6C8C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各制式系统间的隔离度要求如下：</w:t>
      </w:r>
    </w:p>
    <w:p w14:paraId="7381FFF1">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表7.1.1-1  </w:t>
      </w:r>
      <w:r>
        <w:rPr>
          <w:rFonts w:hint="eastAsia"/>
          <w:color w:val="000000" w:themeColor="text1"/>
          <w:sz w:val="24"/>
          <w14:textFill>
            <w14:solidFill>
              <w14:schemeClr w14:val="tx1"/>
            </w14:solidFill>
          </w14:textFill>
        </w:rPr>
        <w:t xml:space="preserve">                      各制式间的隔离度要求</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单位：dB</w:t>
      </w:r>
      <w:r>
        <w:rPr>
          <w:color w:val="000000" w:themeColor="text1"/>
          <w:sz w:val="24"/>
          <w14:textFill>
            <w14:solidFill>
              <w14:schemeClr w14:val="tx1"/>
            </w14:solidFill>
          </w14:textFill>
        </w:rPr>
        <w:t>）</w:t>
      </w:r>
    </w:p>
    <w:tbl>
      <w:tblPr>
        <w:tblStyle w:val="31"/>
        <w:tblW w:w="1410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38"/>
        <w:gridCol w:w="709"/>
        <w:gridCol w:w="709"/>
        <w:gridCol w:w="708"/>
        <w:gridCol w:w="709"/>
        <w:gridCol w:w="851"/>
        <w:gridCol w:w="850"/>
        <w:gridCol w:w="851"/>
        <w:gridCol w:w="1134"/>
        <w:gridCol w:w="1134"/>
        <w:gridCol w:w="1134"/>
        <w:gridCol w:w="590"/>
        <w:gridCol w:w="544"/>
        <w:gridCol w:w="567"/>
        <w:gridCol w:w="567"/>
        <w:gridCol w:w="1212"/>
      </w:tblGrid>
      <w:tr w14:paraId="2ED0B6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4" w:hRule="atLeast"/>
          <w:tblHeader/>
        </w:trPr>
        <w:tc>
          <w:tcPr>
            <w:tcW w:w="1838" w:type="dxa"/>
            <w:shd w:val="clear" w:color="auto" w:fill="auto"/>
            <w:vAlign w:val="center"/>
          </w:tcPr>
          <w:p w14:paraId="5D44A57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系统名称</w:t>
            </w:r>
          </w:p>
        </w:tc>
        <w:tc>
          <w:tcPr>
            <w:tcW w:w="709" w:type="dxa"/>
            <w:shd w:val="clear" w:color="auto" w:fill="auto"/>
            <w:vAlign w:val="center"/>
          </w:tcPr>
          <w:p w14:paraId="2D8D43D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w:t>
            </w:r>
          </w:p>
        </w:tc>
        <w:tc>
          <w:tcPr>
            <w:tcW w:w="709" w:type="dxa"/>
            <w:shd w:val="clear" w:color="auto" w:fill="auto"/>
            <w:vAlign w:val="center"/>
          </w:tcPr>
          <w:p w14:paraId="1F71498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w:t>
            </w:r>
          </w:p>
        </w:tc>
        <w:tc>
          <w:tcPr>
            <w:tcW w:w="708" w:type="dxa"/>
            <w:shd w:val="clear" w:color="auto" w:fill="auto"/>
            <w:vAlign w:val="center"/>
          </w:tcPr>
          <w:p w14:paraId="581DB9FF">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w:t>
            </w:r>
          </w:p>
        </w:tc>
        <w:tc>
          <w:tcPr>
            <w:tcW w:w="709" w:type="dxa"/>
            <w:shd w:val="clear" w:color="auto" w:fill="auto"/>
            <w:vAlign w:val="center"/>
          </w:tcPr>
          <w:p w14:paraId="0775473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w:t>
            </w:r>
          </w:p>
        </w:tc>
        <w:tc>
          <w:tcPr>
            <w:tcW w:w="851" w:type="dxa"/>
            <w:shd w:val="clear" w:color="auto" w:fill="auto"/>
            <w:vAlign w:val="center"/>
          </w:tcPr>
          <w:p w14:paraId="3939480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850" w:type="dxa"/>
            <w:shd w:val="clear" w:color="auto" w:fill="auto"/>
            <w:vAlign w:val="center"/>
          </w:tcPr>
          <w:p w14:paraId="658CAF2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851" w:type="dxa"/>
            <w:shd w:val="clear" w:color="auto" w:fill="auto"/>
            <w:vAlign w:val="center"/>
          </w:tcPr>
          <w:p w14:paraId="61281BA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w:t>
            </w:r>
          </w:p>
          <w:p w14:paraId="5AB976C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2100</w:t>
            </w:r>
          </w:p>
        </w:tc>
        <w:tc>
          <w:tcPr>
            <w:tcW w:w="1134" w:type="dxa"/>
            <w:shd w:val="clear" w:color="auto" w:fill="auto"/>
            <w:vAlign w:val="center"/>
          </w:tcPr>
          <w:p w14:paraId="180EE1C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p>
          <w:p w14:paraId="0DF934B7">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(2GHz/2.3GHz)</w:t>
            </w:r>
          </w:p>
        </w:tc>
        <w:tc>
          <w:tcPr>
            <w:tcW w:w="1134" w:type="dxa"/>
            <w:shd w:val="clear" w:color="auto" w:fill="auto"/>
            <w:vAlign w:val="center"/>
          </w:tcPr>
          <w:p w14:paraId="2C680FA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w:t>
            </w:r>
          </w:p>
          <w:p w14:paraId="2F2D0B81">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(1.9GHz)</w:t>
            </w:r>
          </w:p>
        </w:tc>
        <w:tc>
          <w:tcPr>
            <w:tcW w:w="1134" w:type="dxa"/>
            <w:shd w:val="clear" w:color="auto" w:fill="auto"/>
            <w:vAlign w:val="center"/>
          </w:tcPr>
          <w:p w14:paraId="6E1F102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p>
          <w:p w14:paraId="38BC970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(1.8GHz)</w:t>
            </w:r>
          </w:p>
        </w:tc>
        <w:tc>
          <w:tcPr>
            <w:tcW w:w="1134" w:type="dxa"/>
            <w:gridSpan w:val="2"/>
            <w:shd w:val="clear" w:color="auto" w:fill="auto"/>
            <w:vAlign w:val="center"/>
          </w:tcPr>
          <w:p w14:paraId="35FA5A4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w:t>
            </w:r>
          </w:p>
          <w:p w14:paraId="6066503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(2.1GHz)</w:t>
            </w:r>
          </w:p>
        </w:tc>
        <w:tc>
          <w:tcPr>
            <w:tcW w:w="1134" w:type="dxa"/>
            <w:gridSpan w:val="2"/>
            <w:shd w:val="clear" w:color="auto" w:fill="auto"/>
            <w:vAlign w:val="center"/>
          </w:tcPr>
          <w:p w14:paraId="5020934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p>
          <w:p w14:paraId="0CBE7B83">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(1.9GHz)</w:t>
            </w:r>
          </w:p>
        </w:tc>
        <w:tc>
          <w:tcPr>
            <w:tcW w:w="1212" w:type="dxa"/>
            <w:shd w:val="clear" w:color="auto" w:fill="auto"/>
            <w:vAlign w:val="center"/>
          </w:tcPr>
          <w:p w14:paraId="029501F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w:t>
            </w:r>
          </w:p>
          <w:p w14:paraId="2979557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（2.6GHz/2.3GHz）</w:t>
            </w:r>
          </w:p>
        </w:tc>
      </w:tr>
      <w:tr w14:paraId="619EC8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17EDE943">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709" w:type="dxa"/>
            <w:shd w:val="clear" w:color="auto" w:fill="auto"/>
            <w:vAlign w:val="center"/>
          </w:tcPr>
          <w:p w14:paraId="1D1A618B">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181CDFCD">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26C267D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14:paraId="0B161E3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14:paraId="6A92C50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14:paraId="1B9E7B1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851" w:type="dxa"/>
            <w:shd w:val="clear" w:color="auto" w:fill="auto"/>
            <w:vAlign w:val="center"/>
          </w:tcPr>
          <w:p w14:paraId="29E4BC0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14:paraId="470E4BD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14:paraId="0A80FF4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35</w:t>
            </w:r>
          </w:p>
        </w:tc>
        <w:tc>
          <w:tcPr>
            <w:tcW w:w="1134" w:type="dxa"/>
            <w:shd w:val="clear" w:color="auto" w:fill="auto"/>
            <w:vAlign w:val="center"/>
          </w:tcPr>
          <w:p w14:paraId="11CF18A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14:paraId="50F14C7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134" w:type="dxa"/>
            <w:gridSpan w:val="2"/>
            <w:shd w:val="clear" w:color="auto" w:fill="auto"/>
            <w:vAlign w:val="center"/>
          </w:tcPr>
          <w:p w14:paraId="540EE82A">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212" w:type="dxa"/>
            <w:shd w:val="clear" w:color="auto" w:fill="auto"/>
            <w:vAlign w:val="center"/>
          </w:tcPr>
          <w:p w14:paraId="5AED6DE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r>
      <w:tr w14:paraId="509D37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2378374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709" w:type="dxa"/>
            <w:shd w:val="clear" w:color="auto" w:fill="auto"/>
            <w:vAlign w:val="center"/>
          </w:tcPr>
          <w:p w14:paraId="55EE5751">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3398B02B">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03AB3120">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709" w:type="dxa"/>
            <w:shd w:val="clear" w:color="auto" w:fill="auto"/>
            <w:vAlign w:val="center"/>
          </w:tcPr>
          <w:p w14:paraId="5988416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14:paraId="5B41459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850" w:type="dxa"/>
            <w:shd w:val="clear" w:color="auto" w:fill="auto"/>
            <w:vAlign w:val="center"/>
          </w:tcPr>
          <w:p w14:paraId="721858E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14:paraId="2B183B1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5BA0983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3AFD0153">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1728AA97">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0E2529B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42BF0B0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14:paraId="3617F84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50CF90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rPr>
        <w:tc>
          <w:tcPr>
            <w:tcW w:w="1838" w:type="dxa"/>
            <w:shd w:val="clear" w:color="auto" w:fill="auto"/>
            <w:vAlign w:val="center"/>
          </w:tcPr>
          <w:p w14:paraId="3A71A1AA">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709" w:type="dxa"/>
            <w:shd w:val="clear" w:color="auto" w:fill="auto"/>
            <w:vAlign w:val="center"/>
          </w:tcPr>
          <w:p w14:paraId="3453BE77">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0BBEAE8E">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2D3B3077">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2BF0585">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05439351">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14:paraId="0C772F4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851" w:type="dxa"/>
            <w:shd w:val="clear" w:color="auto" w:fill="auto"/>
            <w:vAlign w:val="center"/>
          </w:tcPr>
          <w:p w14:paraId="535E11CF">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14:paraId="5ADE0990">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43</w:t>
            </w:r>
          </w:p>
        </w:tc>
        <w:tc>
          <w:tcPr>
            <w:tcW w:w="1134" w:type="dxa"/>
            <w:shd w:val="clear" w:color="auto" w:fill="auto"/>
            <w:vAlign w:val="center"/>
          </w:tcPr>
          <w:p w14:paraId="1321D193">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14:paraId="1371BC5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14:paraId="0D52F11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c>
          <w:tcPr>
            <w:tcW w:w="1134" w:type="dxa"/>
            <w:gridSpan w:val="2"/>
            <w:shd w:val="clear" w:color="auto" w:fill="auto"/>
            <w:vAlign w:val="center"/>
          </w:tcPr>
          <w:p w14:paraId="41F865AF">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212" w:type="dxa"/>
            <w:shd w:val="clear" w:color="auto" w:fill="auto"/>
            <w:vAlign w:val="center"/>
          </w:tcPr>
          <w:p w14:paraId="7161D25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46</w:t>
            </w:r>
          </w:p>
        </w:tc>
      </w:tr>
      <w:tr w14:paraId="4E6EAE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45D8F5C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709" w:type="dxa"/>
            <w:shd w:val="clear" w:color="auto" w:fill="auto"/>
            <w:vAlign w:val="center"/>
          </w:tcPr>
          <w:p w14:paraId="2F592763">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0A48C9E0">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25753FBD">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1E1AF354">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0AF5A3C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0" w:type="dxa"/>
            <w:shd w:val="clear" w:color="auto" w:fill="auto"/>
            <w:vAlign w:val="center"/>
          </w:tcPr>
          <w:p w14:paraId="0C99B17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14:paraId="7F3ABCD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0B6C237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4E9909C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74</w:t>
            </w:r>
          </w:p>
        </w:tc>
        <w:tc>
          <w:tcPr>
            <w:tcW w:w="1134" w:type="dxa"/>
            <w:shd w:val="clear" w:color="auto" w:fill="auto"/>
            <w:vAlign w:val="center"/>
          </w:tcPr>
          <w:p w14:paraId="6018318A">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1B3161B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507E502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1212" w:type="dxa"/>
            <w:shd w:val="clear" w:color="auto" w:fill="auto"/>
            <w:vAlign w:val="center"/>
          </w:tcPr>
          <w:p w14:paraId="18D56AC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511A76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0739E1B7">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709" w:type="dxa"/>
            <w:shd w:val="clear" w:color="auto" w:fill="auto"/>
            <w:vAlign w:val="center"/>
          </w:tcPr>
          <w:p w14:paraId="5294E99E">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35D33ED2">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041DD1C3">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0704E6A8">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2117313">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52789B0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851" w:type="dxa"/>
            <w:shd w:val="clear" w:color="auto" w:fill="auto"/>
            <w:vAlign w:val="center"/>
          </w:tcPr>
          <w:p w14:paraId="77DF864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552F108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0999266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53638C8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2D12A641">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3F80E09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14:paraId="4E348D3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4A4C8E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7F2FF9AF">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709" w:type="dxa"/>
            <w:shd w:val="clear" w:color="auto" w:fill="auto"/>
            <w:vAlign w:val="center"/>
          </w:tcPr>
          <w:p w14:paraId="6E8A9F6A">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71294A0">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7EDCA659">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71E69792">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3651A3F7">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750C122B">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B21FAD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11A1412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724D6BC7">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1F2C9FB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0DF8E59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208D643F">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14:paraId="6B4B7EC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3EFBCC3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75FD497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709" w:type="dxa"/>
            <w:shd w:val="clear" w:color="auto" w:fill="auto"/>
            <w:vAlign w:val="center"/>
          </w:tcPr>
          <w:p w14:paraId="10F92EDC">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42875782">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5D34E8CC">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1D3BA64">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42A277D4">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6DDBD043">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24D188C9">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157956F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6B0A3AAA">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02796C0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0732A53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567" w:type="dxa"/>
            <w:shd w:val="clear" w:color="auto" w:fill="auto"/>
            <w:vAlign w:val="center"/>
          </w:tcPr>
          <w:p w14:paraId="3CF8B97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67" w:type="dxa"/>
            <w:shd w:val="clear" w:color="auto" w:fill="auto"/>
            <w:vAlign w:val="center"/>
          </w:tcPr>
          <w:p w14:paraId="2CF031E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83</w:t>
            </w:r>
          </w:p>
        </w:tc>
        <w:tc>
          <w:tcPr>
            <w:tcW w:w="1212" w:type="dxa"/>
            <w:shd w:val="clear" w:color="auto" w:fill="auto"/>
            <w:vAlign w:val="center"/>
          </w:tcPr>
          <w:p w14:paraId="15B795D5">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3D7F4EA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5CD650E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709" w:type="dxa"/>
            <w:shd w:val="clear" w:color="auto" w:fill="auto"/>
            <w:vAlign w:val="center"/>
          </w:tcPr>
          <w:p w14:paraId="24EA1EC9">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44ABC455">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0C97DD61">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39148650">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3718E1E">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1665F3B0">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04251CB">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6B48D50D">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64223AA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shd w:val="clear" w:color="auto" w:fill="auto"/>
            <w:vAlign w:val="center"/>
          </w:tcPr>
          <w:p w14:paraId="1031C881">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60E5C58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69D846A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14:paraId="291C4B3E">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3D7C2ED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57FA5C2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709" w:type="dxa"/>
            <w:shd w:val="clear" w:color="auto" w:fill="auto"/>
            <w:vAlign w:val="center"/>
          </w:tcPr>
          <w:p w14:paraId="3AAE1012">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42AB5C74">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4306A6C8">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71391BEC">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36F121B3">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5BA69855">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212ED996">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1D5E07C4">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3B5CAD7D">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6D78729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590" w:type="dxa"/>
            <w:shd w:val="clear" w:color="auto" w:fill="auto"/>
            <w:vAlign w:val="center"/>
          </w:tcPr>
          <w:p w14:paraId="40D1176C">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75</w:t>
            </w:r>
          </w:p>
        </w:tc>
        <w:tc>
          <w:tcPr>
            <w:tcW w:w="544" w:type="dxa"/>
            <w:shd w:val="clear" w:color="auto" w:fill="auto"/>
            <w:vAlign w:val="center"/>
          </w:tcPr>
          <w:p w14:paraId="307C5AC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2DB38E9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212" w:type="dxa"/>
            <w:shd w:val="clear" w:color="auto" w:fill="auto"/>
            <w:vAlign w:val="center"/>
          </w:tcPr>
          <w:p w14:paraId="5C72DC59">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367925C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601D5574">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709" w:type="dxa"/>
            <w:shd w:val="clear" w:color="auto" w:fill="auto"/>
            <w:vAlign w:val="center"/>
          </w:tcPr>
          <w:p w14:paraId="60642632">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7D1A2AF2">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6FEE7D7F">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2B516D72">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DE06F13">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561222BD">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10CB89CD">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6B72287B">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1587DA91">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17D8A519">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6D42814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c>
          <w:tcPr>
            <w:tcW w:w="1134" w:type="dxa"/>
            <w:gridSpan w:val="2"/>
            <w:shd w:val="clear" w:color="auto" w:fill="auto"/>
            <w:vAlign w:val="center"/>
          </w:tcPr>
          <w:p w14:paraId="2B67634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14:paraId="385881D2">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1FAE0DA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60AA86D3">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709" w:type="dxa"/>
            <w:shd w:val="clear" w:color="auto" w:fill="auto"/>
            <w:vAlign w:val="center"/>
          </w:tcPr>
          <w:p w14:paraId="09033674">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B4CC5E6">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2B50E684">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9A82740">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22F69F2A">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6A44CAB9">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6C220B72">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711E185C">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2A997CAE">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5D50F168">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054A0697">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03EB803D">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50</w:t>
            </w:r>
          </w:p>
        </w:tc>
        <w:tc>
          <w:tcPr>
            <w:tcW w:w="1212" w:type="dxa"/>
            <w:shd w:val="clear" w:color="auto" w:fill="auto"/>
            <w:vAlign w:val="center"/>
          </w:tcPr>
          <w:p w14:paraId="7CA34C2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2C6C42C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734F69A8">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709" w:type="dxa"/>
            <w:shd w:val="clear" w:color="auto" w:fill="auto"/>
            <w:vAlign w:val="center"/>
          </w:tcPr>
          <w:p w14:paraId="48953AA2">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1FF72235">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66E81E6C">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71E406E6">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53E99473">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42F0D306">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2BDC5F74">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4046A98D">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71E359D7">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39FA8238">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5A627496">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0E1F7AF5">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14:paraId="68BCC206">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30</w:t>
            </w:r>
          </w:p>
        </w:tc>
      </w:tr>
      <w:tr w14:paraId="60FF46C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838" w:type="dxa"/>
            <w:shd w:val="clear" w:color="auto" w:fill="auto"/>
            <w:vAlign w:val="center"/>
          </w:tcPr>
          <w:p w14:paraId="504AF45B">
            <w:pPr>
              <w:widowControl/>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709" w:type="dxa"/>
            <w:shd w:val="clear" w:color="auto" w:fill="auto"/>
            <w:vAlign w:val="center"/>
          </w:tcPr>
          <w:p w14:paraId="668D3101">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519DED6C">
            <w:pPr>
              <w:widowControl/>
              <w:jc w:val="center"/>
              <w:rPr>
                <w:color w:val="000000" w:themeColor="text1"/>
                <w:kern w:val="0"/>
                <w:sz w:val="22"/>
                <w:szCs w:val="22"/>
                <w14:textFill>
                  <w14:solidFill>
                    <w14:schemeClr w14:val="tx1"/>
                  </w14:solidFill>
                </w14:textFill>
              </w:rPr>
            </w:pPr>
          </w:p>
        </w:tc>
        <w:tc>
          <w:tcPr>
            <w:tcW w:w="708" w:type="dxa"/>
            <w:shd w:val="clear" w:color="auto" w:fill="auto"/>
            <w:vAlign w:val="center"/>
          </w:tcPr>
          <w:p w14:paraId="32AA1DF4">
            <w:pPr>
              <w:widowControl/>
              <w:jc w:val="center"/>
              <w:rPr>
                <w:color w:val="000000" w:themeColor="text1"/>
                <w:kern w:val="0"/>
                <w:sz w:val="22"/>
                <w:szCs w:val="22"/>
                <w14:textFill>
                  <w14:solidFill>
                    <w14:schemeClr w14:val="tx1"/>
                  </w14:solidFill>
                </w14:textFill>
              </w:rPr>
            </w:pPr>
          </w:p>
        </w:tc>
        <w:tc>
          <w:tcPr>
            <w:tcW w:w="709" w:type="dxa"/>
            <w:shd w:val="clear" w:color="auto" w:fill="auto"/>
            <w:vAlign w:val="center"/>
          </w:tcPr>
          <w:p w14:paraId="434BEBB0">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529D94CE">
            <w:pPr>
              <w:widowControl/>
              <w:jc w:val="center"/>
              <w:rPr>
                <w:color w:val="000000" w:themeColor="text1"/>
                <w:kern w:val="0"/>
                <w:sz w:val="22"/>
                <w:szCs w:val="22"/>
                <w14:textFill>
                  <w14:solidFill>
                    <w14:schemeClr w14:val="tx1"/>
                  </w14:solidFill>
                </w14:textFill>
              </w:rPr>
            </w:pPr>
          </w:p>
        </w:tc>
        <w:tc>
          <w:tcPr>
            <w:tcW w:w="850" w:type="dxa"/>
            <w:shd w:val="clear" w:color="auto" w:fill="auto"/>
            <w:vAlign w:val="center"/>
          </w:tcPr>
          <w:p w14:paraId="026282D3">
            <w:pPr>
              <w:widowControl/>
              <w:jc w:val="center"/>
              <w:rPr>
                <w:color w:val="000000" w:themeColor="text1"/>
                <w:kern w:val="0"/>
                <w:sz w:val="22"/>
                <w:szCs w:val="22"/>
                <w14:textFill>
                  <w14:solidFill>
                    <w14:schemeClr w14:val="tx1"/>
                  </w14:solidFill>
                </w14:textFill>
              </w:rPr>
            </w:pPr>
          </w:p>
        </w:tc>
        <w:tc>
          <w:tcPr>
            <w:tcW w:w="851" w:type="dxa"/>
            <w:shd w:val="clear" w:color="auto" w:fill="auto"/>
            <w:vAlign w:val="center"/>
          </w:tcPr>
          <w:p w14:paraId="18417FEB">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23D514BF">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40899A9C">
            <w:pPr>
              <w:widowControl/>
              <w:jc w:val="center"/>
              <w:rPr>
                <w:color w:val="000000" w:themeColor="text1"/>
                <w:kern w:val="0"/>
                <w:sz w:val="22"/>
                <w:szCs w:val="22"/>
                <w14:textFill>
                  <w14:solidFill>
                    <w14:schemeClr w14:val="tx1"/>
                  </w14:solidFill>
                </w14:textFill>
              </w:rPr>
            </w:pPr>
          </w:p>
        </w:tc>
        <w:tc>
          <w:tcPr>
            <w:tcW w:w="1134" w:type="dxa"/>
            <w:shd w:val="clear" w:color="auto" w:fill="auto"/>
            <w:vAlign w:val="center"/>
          </w:tcPr>
          <w:p w14:paraId="79FD277D">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7FE0D7EC">
            <w:pPr>
              <w:widowControl/>
              <w:jc w:val="center"/>
              <w:rPr>
                <w:color w:val="000000" w:themeColor="text1"/>
                <w:kern w:val="0"/>
                <w:sz w:val="22"/>
                <w:szCs w:val="22"/>
                <w14:textFill>
                  <w14:solidFill>
                    <w14:schemeClr w14:val="tx1"/>
                  </w14:solidFill>
                </w14:textFill>
              </w:rPr>
            </w:pPr>
          </w:p>
        </w:tc>
        <w:tc>
          <w:tcPr>
            <w:tcW w:w="1134" w:type="dxa"/>
            <w:gridSpan w:val="2"/>
            <w:shd w:val="clear" w:color="auto" w:fill="auto"/>
            <w:vAlign w:val="center"/>
          </w:tcPr>
          <w:p w14:paraId="6FC88021">
            <w:pPr>
              <w:widowControl/>
              <w:jc w:val="center"/>
              <w:rPr>
                <w:color w:val="000000" w:themeColor="text1"/>
                <w:kern w:val="0"/>
                <w:sz w:val="22"/>
                <w:szCs w:val="22"/>
                <w14:textFill>
                  <w14:solidFill>
                    <w14:schemeClr w14:val="tx1"/>
                  </w14:solidFill>
                </w14:textFill>
              </w:rPr>
            </w:pPr>
          </w:p>
        </w:tc>
        <w:tc>
          <w:tcPr>
            <w:tcW w:w="1212" w:type="dxa"/>
            <w:shd w:val="clear" w:color="auto" w:fill="auto"/>
            <w:vAlign w:val="center"/>
          </w:tcPr>
          <w:p w14:paraId="79E85484">
            <w:pPr>
              <w:widowControl/>
              <w:jc w:val="center"/>
              <w:rPr>
                <w:color w:val="000000" w:themeColor="text1"/>
                <w:kern w:val="0"/>
                <w:sz w:val="22"/>
                <w:szCs w:val="22"/>
                <w14:textFill>
                  <w14:solidFill>
                    <w14:schemeClr w14:val="tx1"/>
                  </w14:solidFill>
                </w14:textFill>
              </w:rPr>
            </w:pPr>
          </w:p>
        </w:tc>
      </w:tr>
    </w:tbl>
    <w:p w14:paraId="3C4A759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应通过水平隔离度和垂直隔离度满足隔离要求，水平隔离度和垂直隔离度应满足如下要求：</w:t>
      </w:r>
    </w:p>
    <w:p w14:paraId="0F8DF807">
      <w:pPr>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不同通信系统间的垂直隔离度距离要求（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250"/>
        <w:gridCol w:w="2675"/>
        <w:gridCol w:w="564"/>
        <w:gridCol w:w="567"/>
        <w:gridCol w:w="846"/>
        <w:gridCol w:w="849"/>
        <w:gridCol w:w="987"/>
        <w:gridCol w:w="705"/>
        <w:gridCol w:w="759"/>
        <w:gridCol w:w="886"/>
        <w:gridCol w:w="886"/>
        <w:gridCol w:w="550"/>
        <w:gridCol w:w="550"/>
        <w:gridCol w:w="886"/>
        <w:gridCol w:w="550"/>
        <w:gridCol w:w="550"/>
        <w:gridCol w:w="940"/>
        <w:gridCol w:w="107"/>
      </w:tblGrid>
      <w:tr w14:paraId="73DE6C4D">
        <w:tblPrEx>
          <w:tblCellMar>
            <w:top w:w="0" w:type="dxa"/>
            <w:left w:w="108" w:type="dxa"/>
            <w:bottom w:w="0" w:type="dxa"/>
            <w:right w:w="108" w:type="dxa"/>
          </w:tblCellMar>
        </w:tblPrEx>
        <w:trPr>
          <w:trHeight w:val="810" w:hRule="atLeast"/>
          <w:tblHeader/>
        </w:trPr>
        <w:tc>
          <w:tcPr>
            <w:tcW w:w="2925" w:type="dxa"/>
            <w:gridSpan w:val="2"/>
            <w:tcBorders>
              <w:top w:val="single" w:color="auto" w:sz="4" w:space="0"/>
              <w:left w:val="single" w:color="auto" w:sz="4" w:space="0"/>
              <w:bottom w:val="single" w:color="auto" w:sz="4" w:space="0"/>
              <w:right w:val="single" w:color="auto" w:sz="4" w:space="0"/>
            </w:tcBorders>
            <w:shd w:val="clear" w:color="auto" w:fill="auto"/>
            <w:vAlign w:val="center"/>
          </w:tcPr>
          <w:p w14:paraId="5470D3A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系统名称</w:t>
            </w:r>
          </w:p>
        </w:tc>
        <w:tc>
          <w:tcPr>
            <w:tcW w:w="564" w:type="dxa"/>
            <w:tcBorders>
              <w:top w:val="single" w:color="auto" w:sz="4" w:space="0"/>
              <w:left w:val="nil"/>
              <w:bottom w:val="single" w:color="auto" w:sz="4" w:space="0"/>
              <w:right w:val="single" w:color="auto" w:sz="4" w:space="0"/>
            </w:tcBorders>
            <w:shd w:val="clear" w:color="auto" w:fill="auto"/>
            <w:vAlign w:val="center"/>
          </w:tcPr>
          <w:p w14:paraId="077550F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w:t>
            </w:r>
          </w:p>
        </w:tc>
        <w:tc>
          <w:tcPr>
            <w:tcW w:w="567" w:type="dxa"/>
            <w:tcBorders>
              <w:top w:val="single" w:color="auto" w:sz="4" w:space="0"/>
              <w:left w:val="nil"/>
              <w:bottom w:val="single" w:color="auto" w:sz="4" w:space="0"/>
              <w:right w:val="single" w:color="auto" w:sz="4" w:space="0"/>
            </w:tcBorders>
            <w:shd w:val="clear" w:color="auto" w:fill="auto"/>
            <w:vAlign w:val="center"/>
          </w:tcPr>
          <w:p w14:paraId="3AB0DC24">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w:t>
            </w:r>
          </w:p>
        </w:tc>
        <w:tc>
          <w:tcPr>
            <w:tcW w:w="846" w:type="dxa"/>
            <w:tcBorders>
              <w:top w:val="single" w:color="auto" w:sz="4" w:space="0"/>
              <w:left w:val="nil"/>
              <w:bottom w:val="single" w:color="auto" w:sz="4" w:space="0"/>
              <w:right w:val="single" w:color="auto" w:sz="4" w:space="0"/>
            </w:tcBorders>
            <w:shd w:val="clear" w:color="auto" w:fill="auto"/>
            <w:vAlign w:val="center"/>
          </w:tcPr>
          <w:p w14:paraId="2DFA2FF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w:t>
            </w:r>
          </w:p>
        </w:tc>
        <w:tc>
          <w:tcPr>
            <w:tcW w:w="849" w:type="dxa"/>
            <w:tcBorders>
              <w:top w:val="single" w:color="auto" w:sz="4" w:space="0"/>
              <w:left w:val="nil"/>
              <w:bottom w:val="single" w:color="auto" w:sz="4" w:space="0"/>
              <w:right w:val="single" w:color="auto" w:sz="4" w:space="0"/>
            </w:tcBorders>
            <w:shd w:val="clear" w:color="auto" w:fill="auto"/>
            <w:vAlign w:val="center"/>
          </w:tcPr>
          <w:p w14:paraId="720DE26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w:t>
            </w:r>
          </w:p>
        </w:tc>
        <w:tc>
          <w:tcPr>
            <w:tcW w:w="987" w:type="dxa"/>
            <w:tcBorders>
              <w:top w:val="single" w:color="auto" w:sz="4" w:space="0"/>
              <w:left w:val="nil"/>
              <w:bottom w:val="single" w:color="auto" w:sz="4" w:space="0"/>
              <w:right w:val="single" w:color="auto" w:sz="4" w:space="0"/>
            </w:tcBorders>
            <w:shd w:val="clear" w:color="auto" w:fill="auto"/>
            <w:vAlign w:val="center"/>
          </w:tcPr>
          <w:p w14:paraId="19B2751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705" w:type="dxa"/>
            <w:tcBorders>
              <w:top w:val="single" w:color="auto" w:sz="4" w:space="0"/>
              <w:left w:val="nil"/>
              <w:bottom w:val="single" w:color="auto" w:sz="4" w:space="0"/>
              <w:right w:val="single" w:color="auto" w:sz="4" w:space="0"/>
            </w:tcBorders>
            <w:shd w:val="clear" w:color="auto" w:fill="auto"/>
            <w:vAlign w:val="center"/>
          </w:tcPr>
          <w:p w14:paraId="6E41A7C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759" w:type="dxa"/>
            <w:tcBorders>
              <w:top w:val="single" w:color="auto" w:sz="4" w:space="0"/>
              <w:left w:val="nil"/>
              <w:bottom w:val="single" w:color="auto" w:sz="4" w:space="0"/>
              <w:right w:val="single" w:color="auto" w:sz="4" w:space="0"/>
            </w:tcBorders>
            <w:shd w:val="clear" w:color="auto" w:fill="auto"/>
            <w:vAlign w:val="center"/>
          </w:tcPr>
          <w:p w14:paraId="67CE434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886" w:type="dxa"/>
            <w:tcBorders>
              <w:top w:val="single" w:color="auto" w:sz="4" w:space="0"/>
              <w:left w:val="nil"/>
              <w:bottom w:val="single" w:color="auto" w:sz="4" w:space="0"/>
              <w:right w:val="single" w:color="auto" w:sz="4" w:space="0"/>
            </w:tcBorders>
            <w:shd w:val="clear" w:color="auto" w:fill="auto"/>
            <w:vAlign w:val="center"/>
          </w:tcPr>
          <w:p w14:paraId="6EF7C77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p>
          <w:p w14:paraId="32AB334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(2GHz/2.3GHz)</w:t>
            </w:r>
          </w:p>
        </w:tc>
        <w:tc>
          <w:tcPr>
            <w:tcW w:w="886" w:type="dxa"/>
            <w:tcBorders>
              <w:top w:val="single" w:color="auto" w:sz="4" w:space="0"/>
              <w:left w:val="nil"/>
              <w:bottom w:val="single" w:color="auto" w:sz="4" w:space="0"/>
              <w:right w:val="single" w:color="auto" w:sz="4" w:space="0"/>
            </w:tcBorders>
            <w:shd w:val="clear" w:color="auto" w:fill="auto"/>
            <w:vAlign w:val="center"/>
          </w:tcPr>
          <w:p w14:paraId="6CDB4D7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w:t>
            </w:r>
          </w:p>
          <w:p w14:paraId="34378ED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(1.9GHz)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526ED7F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p>
          <w:p w14:paraId="015F279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(1.8GHz)</w:t>
            </w:r>
          </w:p>
        </w:tc>
        <w:tc>
          <w:tcPr>
            <w:tcW w:w="886" w:type="dxa"/>
            <w:tcBorders>
              <w:top w:val="single" w:color="auto" w:sz="4" w:space="0"/>
              <w:left w:val="nil"/>
              <w:bottom w:val="single" w:color="auto" w:sz="4" w:space="0"/>
              <w:right w:val="single" w:color="auto" w:sz="4" w:space="0"/>
            </w:tcBorders>
            <w:shd w:val="clear" w:color="auto" w:fill="auto"/>
            <w:vAlign w:val="center"/>
          </w:tcPr>
          <w:p w14:paraId="3A7ED367">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w:t>
            </w:r>
          </w:p>
          <w:p w14:paraId="2E80E073">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(2.1GHz)</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212F6C67">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p>
          <w:p w14:paraId="335E6FF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(1.9GHz)</w:t>
            </w:r>
          </w:p>
        </w:tc>
        <w:tc>
          <w:tcPr>
            <w:tcW w:w="1047" w:type="dxa"/>
            <w:gridSpan w:val="2"/>
            <w:tcBorders>
              <w:top w:val="single" w:color="auto" w:sz="4" w:space="0"/>
              <w:left w:val="nil"/>
              <w:bottom w:val="single" w:color="auto" w:sz="4" w:space="0"/>
              <w:right w:val="single" w:color="auto" w:sz="4" w:space="0"/>
            </w:tcBorders>
            <w:shd w:val="clear" w:color="auto" w:fill="auto"/>
            <w:vAlign w:val="center"/>
          </w:tcPr>
          <w:p w14:paraId="48FAAB6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w:t>
            </w:r>
          </w:p>
          <w:p w14:paraId="538D6EB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（2.6GHz/2.3GHz）</w:t>
            </w:r>
          </w:p>
        </w:tc>
      </w:tr>
      <w:tr w14:paraId="03433960">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36EDBAC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GSM900（旧基站TS05.05）</w:t>
            </w:r>
          </w:p>
        </w:tc>
        <w:tc>
          <w:tcPr>
            <w:tcW w:w="564" w:type="dxa"/>
            <w:tcBorders>
              <w:top w:val="nil"/>
              <w:left w:val="nil"/>
              <w:bottom w:val="single" w:color="auto" w:sz="4" w:space="0"/>
              <w:right w:val="single" w:color="auto" w:sz="4" w:space="0"/>
            </w:tcBorders>
            <w:shd w:val="clear" w:color="auto" w:fill="auto"/>
            <w:vAlign w:val="center"/>
          </w:tcPr>
          <w:p w14:paraId="592391C0">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449B5FB2">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17B30D8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14:paraId="4B1BA48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987" w:type="dxa"/>
            <w:tcBorders>
              <w:top w:val="nil"/>
              <w:left w:val="nil"/>
              <w:bottom w:val="single" w:color="auto" w:sz="4" w:space="0"/>
              <w:right w:val="single" w:color="auto" w:sz="4" w:space="0"/>
            </w:tcBorders>
            <w:shd w:val="clear" w:color="auto" w:fill="auto"/>
            <w:vAlign w:val="center"/>
          </w:tcPr>
          <w:p w14:paraId="7E84964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14:paraId="3F851E1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759" w:type="dxa"/>
            <w:tcBorders>
              <w:top w:val="nil"/>
              <w:left w:val="nil"/>
              <w:bottom w:val="single" w:color="auto" w:sz="4" w:space="0"/>
              <w:right w:val="single" w:color="auto" w:sz="4" w:space="0"/>
            </w:tcBorders>
            <w:shd w:val="clear" w:color="auto" w:fill="auto"/>
            <w:vAlign w:val="center"/>
          </w:tcPr>
          <w:p w14:paraId="70DF661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14:paraId="455C5A1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886" w:type="dxa"/>
            <w:tcBorders>
              <w:top w:val="nil"/>
              <w:left w:val="nil"/>
              <w:bottom w:val="single" w:color="auto" w:sz="4" w:space="0"/>
              <w:right w:val="single" w:color="auto" w:sz="4" w:space="0"/>
            </w:tcBorders>
            <w:shd w:val="clear" w:color="auto" w:fill="auto"/>
            <w:vAlign w:val="center"/>
          </w:tcPr>
          <w:p w14:paraId="02FA221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50FB9DFB">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886" w:type="dxa"/>
            <w:tcBorders>
              <w:top w:val="nil"/>
              <w:left w:val="nil"/>
              <w:bottom w:val="single" w:color="auto" w:sz="4" w:space="0"/>
              <w:right w:val="single" w:color="auto" w:sz="4" w:space="0"/>
            </w:tcBorders>
            <w:shd w:val="clear" w:color="auto" w:fill="auto"/>
            <w:vAlign w:val="center"/>
          </w:tcPr>
          <w:p w14:paraId="5FE89228">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783BEF8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c>
          <w:tcPr>
            <w:tcW w:w="1047" w:type="dxa"/>
            <w:gridSpan w:val="2"/>
            <w:tcBorders>
              <w:top w:val="nil"/>
              <w:left w:val="nil"/>
              <w:bottom w:val="single" w:color="auto" w:sz="4" w:space="0"/>
              <w:right w:val="single" w:color="auto" w:sz="4" w:space="0"/>
            </w:tcBorders>
            <w:shd w:val="clear" w:color="auto" w:fill="auto"/>
            <w:vAlign w:val="center"/>
          </w:tcPr>
          <w:p w14:paraId="2E62116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0.27</w:t>
            </w:r>
          </w:p>
        </w:tc>
      </w:tr>
      <w:tr w14:paraId="0C6886FA">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44FCC2E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GSM900（新基站TS45.005）</w:t>
            </w:r>
          </w:p>
        </w:tc>
        <w:tc>
          <w:tcPr>
            <w:tcW w:w="564" w:type="dxa"/>
            <w:tcBorders>
              <w:top w:val="nil"/>
              <w:left w:val="nil"/>
              <w:bottom w:val="single" w:color="auto" w:sz="4" w:space="0"/>
              <w:right w:val="single" w:color="auto" w:sz="4" w:space="0"/>
            </w:tcBorders>
            <w:shd w:val="clear" w:color="auto" w:fill="auto"/>
            <w:vAlign w:val="center"/>
          </w:tcPr>
          <w:p w14:paraId="2FCD3BFC">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6F8301E5">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0FEC95B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49" w:type="dxa"/>
            <w:tcBorders>
              <w:top w:val="nil"/>
              <w:left w:val="nil"/>
              <w:bottom w:val="single" w:color="auto" w:sz="4" w:space="0"/>
              <w:right w:val="single" w:color="auto" w:sz="4" w:space="0"/>
            </w:tcBorders>
            <w:shd w:val="clear" w:color="auto" w:fill="auto"/>
            <w:vAlign w:val="center"/>
          </w:tcPr>
          <w:p w14:paraId="0239751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987" w:type="dxa"/>
            <w:tcBorders>
              <w:top w:val="nil"/>
              <w:left w:val="nil"/>
              <w:bottom w:val="single" w:color="auto" w:sz="4" w:space="0"/>
              <w:right w:val="single" w:color="auto" w:sz="4" w:space="0"/>
            </w:tcBorders>
            <w:shd w:val="clear" w:color="auto" w:fill="auto"/>
            <w:vAlign w:val="center"/>
          </w:tcPr>
          <w:p w14:paraId="714CB4E3">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705" w:type="dxa"/>
            <w:tcBorders>
              <w:top w:val="nil"/>
              <w:left w:val="nil"/>
              <w:bottom w:val="single" w:color="auto" w:sz="4" w:space="0"/>
              <w:right w:val="single" w:color="auto" w:sz="4" w:space="0"/>
            </w:tcBorders>
            <w:shd w:val="clear" w:color="auto" w:fill="auto"/>
            <w:vAlign w:val="center"/>
          </w:tcPr>
          <w:p w14:paraId="26C44CA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14:paraId="53BD412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1E79BF54">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3FADAF8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0534198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3AC4F69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3134B375">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14:paraId="4DD5569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7BA7252B">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210ED24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GSM1800（旧基站TS05.05）</w:t>
            </w:r>
          </w:p>
        </w:tc>
        <w:tc>
          <w:tcPr>
            <w:tcW w:w="564" w:type="dxa"/>
            <w:tcBorders>
              <w:top w:val="nil"/>
              <w:left w:val="nil"/>
              <w:bottom w:val="single" w:color="auto" w:sz="4" w:space="0"/>
              <w:right w:val="single" w:color="auto" w:sz="4" w:space="0"/>
            </w:tcBorders>
            <w:shd w:val="clear" w:color="auto" w:fill="auto"/>
            <w:vAlign w:val="center"/>
          </w:tcPr>
          <w:p w14:paraId="50A6B7A0">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26DF654B">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633DC4DD">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53B62B39">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0EA51AD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14:paraId="6F03DB4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759" w:type="dxa"/>
            <w:tcBorders>
              <w:top w:val="nil"/>
              <w:left w:val="nil"/>
              <w:bottom w:val="single" w:color="auto" w:sz="4" w:space="0"/>
              <w:right w:val="single" w:color="auto" w:sz="4" w:space="0"/>
            </w:tcBorders>
            <w:shd w:val="clear" w:color="auto" w:fill="auto"/>
            <w:vAlign w:val="center"/>
          </w:tcPr>
          <w:p w14:paraId="020155C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14:paraId="08451C6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0.36</w:t>
            </w:r>
          </w:p>
        </w:tc>
        <w:tc>
          <w:tcPr>
            <w:tcW w:w="886" w:type="dxa"/>
            <w:tcBorders>
              <w:top w:val="nil"/>
              <w:left w:val="nil"/>
              <w:bottom w:val="single" w:color="auto" w:sz="4" w:space="0"/>
              <w:right w:val="single" w:color="auto" w:sz="4" w:space="0"/>
            </w:tcBorders>
            <w:shd w:val="clear" w:color="auto" w:fill="auto"/>
            <w:vAlign w:val="center"/>
          </w:tcPr>
          <w:p w14:paraId="5E5F2BC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041E6C84">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886" w:type="dxa"/>
            <w:tcBorders>
              <w:top w:val="nil"/>
              <w:left w:val="nil"/>
              <w:bottom w:val="single" w:color="auto" w:sz="4" w:space="0"/>
              <w:right w:val="single" w:color="auto" w:sz="4" w:space="0"/>
            </w:tcBorders>
            <w:shd w:val="clear" w:color="auto" w:fill="auto"/>
            <w:vAlign w:val="center"/>
          </w:tcPr>
          <w:p w14:paraId="1E35AD3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0C43DA3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14:paraId="2217871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0.42</w:t>
            </w:r>
          </w:p>
        </w:tc>
      </w:tr>
      <w:tr w14:paraId="11A2BDD8">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5649E75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GSM1800（新基站TS45.005）</w:t>
            </w:r>
          </w:p>
        </w:tc>
        <w:tc>
          <w:tcPr>
            <w:tcW w:w="564" w:type="dxa"/>
            <w:tcBorders>
              <w:top w:val="nil"/>
              <w:left w:val="nil"/>
              <w:bottom w:val="single" w:color="auto" w:sz="4" w:space="0"/>
              <w:right w:val="single" w:color="auto" w:sz="4" w:space="0"/>
            </w:tcBorders>
            <w:shd w:val="clear" w:color="auto" w:fill="auto"/>
            <w:vAlign w:val="center"/>
          </w:tcPr>
          <w:p w14:paraId="6C3C02A3">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553E1CDA">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4AE5B7ED">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69CDEC0B">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1BE53FE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05" w:type="dxa"/>
            <w:tcBorders>
              <w:top w:val="nil"/>
              <w:left w:val="nil"/>
              <w:bottom w:val="single" w:color="auto" w:sz="4" w:space="0"/>
              <w:right w:val="single" w:color="auto" w:sz="4" w:space="0"/>
            </w:tcBorders>
            <w:shd w:val="clear" w:color="auto" w:fill="auto"/>
            <w:vAlign w:val="center"/>
          </w:tcPr>
          <w:p w14:paraId="44D08B6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14:paraId="0F81DBF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03E181B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7D3AB055">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4F8B9F1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3A62487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678399C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p>
        </w:tc>
        <w:tc>
          <w:tcPr>
            <w:tcW w:w="1047" w:type="dxa"/>
            <w:gridSpan w:val="2"/>
            <w:tcBorders>
              <w:top w:val="nil"/>
              <w:left w:val="nil"/>
              <w:bottom w:val="single" w:color="auto" w:sz="4" w:space="0"/>
              <w:right w:val="single" w:color="auto" w:sz="4" w:space="0"/>
            </w:tcBorders>
            <w:shd w:val="clear" w:color="auto" w:fill="auto"/>
            <w:vAlign w:val="center"/>
          </w:tcPr>
          <w:p w14:paraId="3EB06F18">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0DDCE544">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2B59BDF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CDMA1X/EVDO</w:t>
            </w:r>
          </w:p>
        </w:tc>
        <w:tc>
          <w:tcPr>
            <w:tcW w:w="564" w:type="dxa"/>
            <w:tcBorders>
              <w:top w:val="nil"/>
              <w:left w:val="nil"/>
              <w:bottom w:val="single" w:color="auto" w:sz="4" w:space="0"/>
              <w:right w:val="single" w:color="auto" w:sz="4" w:space="0"/>
            </w:tcBorders>
            <w:shd w:val="clear" w:color="auto" w:fill="auto"/>
            <w:vAlign w:val="center"/>
          </w:tcPr>
          <w:p w14:paraId="2CD8A26A">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0DDB8A83">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3A5D7A70">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2F2EF308">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372E334D">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0272F01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759" w:type="dxa"/>
            <w:tcBorders>
              <w:top w:val="nil"/>
              <w:left w:val="nil"/>
              <w:bottom w:val="single" w:color="auto" w:sz="4" w:space="0"/>
              <w:right w:val="single" w:color="auto" w:sz="4" w:space="0"/>
            </w:tcBorders>
            <w:shd w:val="clear" w:color="auto" w:fill="auto"/>
            <w:vAlign w:val="center"/>
          </w:tcPr>
          <w:p w14:paraId="0E70362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01DB6E8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5A2C56D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720D0EA3">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79F77674">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2588281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14:paraId="7375EB9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3C978FDF">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6E5425A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UMTS900</w:t>
            </w:r>
          </w:p>
        </w:tc>
        <w:tc>
          <w:tcPr>
            <w:tcW w:w="564" w:type="dxa"/>
            <w:tcBorders>
              <w:top w:val="nil"/>
              <w:left w:val="nil"/>
              <w:bottom w:val="single" w:color="auto" w:sz="4" w:space="0"/>
              <w:right w:val="single" w:color="auto" w:sz="4" w:space="0"/>
            </w:tcBorders>
            <w:shd w:val="clear" w:color="auto" w:fill="auto"/>
            <w:vAlign w:val="center"/>
          </w:tcPr>
          <w:p w14:paraId="2D35BAEF">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01512417">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20E241DA">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23050437">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127F83EB">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40F4869B">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7FDCBB4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5209F94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63ACC1C7">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7592D6D7">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1D48F75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auto" w:sz="4" w:space="0"/>
            </w:tcBorders>
            <w:shd w:val="clear" w:color="auto" w:fill="auto"/>
            <w:vAlign w:val="center"/>
          </w:tcPr>
          <w:p w14:paraId="134644A3">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14:paraId="09C3EE3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1274567D">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1D77459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UMTS2100</w:t>
            </w:r>
          </w:p>
        </w:tc>
        <w:tc>
          <w:tcPr>
            <w:tcW w:w="564" w:type="dxa"/>
            <w:tcBorders>
              <w:top w:val="nil"/>
              <w:left w:val="nil"/>
              <w:bottom w:val="single" w:color="auto" w:sz="4" w:space="0"/>
              <w:right w:val="single" w:color="auto" w:sz="4" w:space="0"/>
            </w:tcBorders>
            <w:shd w:val="clear" w:color="auto" w:fill="auto"/>
            <w:vAlign w:val="center"/>
          </w:tcPr>
          <w:p w14:paraId="03B48034">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3EA70B08">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295EF7F7">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3B5B9234">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430495B4">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21EFF8CD">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0E28A538">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48571987">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507B351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21B1C16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3B5454EB">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550" w:type="dxa"/>
            <w:tcBorders>
              <w:top w:val="nil"/>
              <w:left w:val="nil"/>
              <w:bottom w:val="single" w:color="auto" w:sz="4" w:space="0"/>
              <w:right w:val="single" w:color="auto" w:sz="4" w:space="0"/>
            </w:tcBorders>
            <w:shd w:val="clear" w:color="auto" w:fill="auto"/>
            <w:vAlign w:val="center"/>
          </w:tcPr>
          <w:p w14:paraId="2D4A9B6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auto" w:sz="4" w:space="0"/>
              <w:right w:val="single" w:color="auto" w:sz="4" w:space="0"/>
            </w:tcBorders>
            <w:shd w:val="clear" w:color="auto" w:fill="auto"/>
            <w:vAlign w:val="center"/>
          </w:tcPr>
          <w:p w14:paraId="22399F8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3.56</w:t>
            </w:r>
          </w:p>
        </w:tc>
        <w:tc>
          <w:tcPr>
            <w:tcW w:w="1047" w:type="dxa"/>
            <w:gridSpan w:val="2"/>
            <w:tcBorders>
              <w:top w:val="nil"/>
              <w:left w:val="nil"/>
              <w:bottom w:val="single" w:color="auto" w:sz="4" w:space="0"/>
              <w:right w:val="single" w:color="auto" w:sz="4" w:space="0"/>
            </w:tcBorders>
            <w:shd w:val="clear" w:color="auto" w:fill="auto"/>
            <w:vAlign w:val="center"/>
          </w:tcPr>
          <w:p w14:paraId="17AAE733">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25E09920">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1426AD6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TD-SCDMA(2GHz、2.3GHz)</w:t>
            </w:r>
          </w:p>
        </w:tc>
        <w:tc>
          <w:tcPr>
            <w:tcW w:w="564" w:type="dxa"/>
            <w:tcBorders>
              <w:top w:val="nil"/>
              <w:left w:val="nil"/>
              <w:bottom w:val="single" w:color="auto" w:sz="4" w:space="0"/>
              <w:right w:val="single" w:color="auto" w:sz="4" w:space="0"/>
            </w:tcBorders>
            <w:shd w:val="clear" w:color="auto" w:fill="auto"/>
            <w:vAlign w:val="center"/>
          </w:tcPr>
          <w:p w14:paraId="2AD7713C">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261FC757">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2C2F2574">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27BCAC9B">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0C368B81">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23929B7F">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4A64237D">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7EB24FC4">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19AB1ED9">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54CB1C0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886" w:type="dxa"/>
            <w:tcBorders>
              <w:top w:val="nil"/>
              <w:left w:val="nil"/>
              <w:bottom w:val="single" w:color="auto" w:sz="4" w:space="0"/>
              <w:right w:val="single" w:color="auto" w:sz="4" w:space="0"/>
            </w:tcBorders>
            <w:shd w:val="clear" w:color="auto" w:fill="auto"/>
            <w:vAlign w:val="center"/>
          </w:tcPr>
          <w:p w14:paraId="0F00524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1A60432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14:paraId="79FE250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092D0C15">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345F310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TD-SCDMA(1.9GHz)</w:t>
            </w:r>
          </w:p>
        </w:tc>
        <w:tc>
          <w:tcPr>
            <w:tcW w:w="564" w:type="dxa"/>
            <w:tcBorders>
              <w:top w:val="nil"/>
              <w:left w:val="nil"/>
              <w:bottom w:val="single" w:color="auto" w:sz="4" w:space="0"/>
              <w:right w:val="single" w:color="auto" w:sz="4" w:space="0"/>
            </w:tcBorders>
            <w:shd w:val="clear" w:color="auto" w:fill="auto"/>
            <w:vAlign w:val="center"/>
          </w:tcPr>
          <w:p w14:paraId="42E88933">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6DE43115">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663BDE60">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21CEEA82">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1A074AB4">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24C9AE30">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682C3643">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032A857B">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114F6AB2">
            <w:pPr>
              <w:widowControl/>
              <w:spacing w:line="276" w:lineRule="auto"/>
              <w:jc w:val="center"/>
              <w:rPr>
                <w:color w:val="000000" w:themeColor="text1"/>
                <w:kern w:val="0"/>
                <w:sz w:val="24"/>
                <w14:textFill>
                  <w14:solidFill>
                    <w14:schemeClr w14:val="tx1"/>
                  </w14:solidFill>
                </w14:textFill>
              </w:rPr>
            </w:pPr>
          </w:p>
        </w:tc>
        <w:tc>
          <w:tcPr>
            <w:tcW w:w="550" w:type="dxa"/>
            <w:tcBorders>
              <w:top w:val="nil"/>
              <w:left w:val="nil"/>
              <w:bottom w:val="single" w:color="000000" w:sz="4" w:space="0"/>
              <w:right w:val="single" w:color="000000" w:sz="4" w:space="0"/>
            </w:tcBorders>
            <w:shd w:val="clear" w:color="auto" w:fill="auto"/>
            <w:vAlign w:val="center"/>
          </w:tcPr>
          <w:p w14:paraId="2EBCEC2F">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550" w:type="dxa"/>
            <w:tcBorders>
              <w:top w:val="nil"/>
              <w:left w:val="nil"/>
              <w:bottom w:val="single" w:color="000000" w:sz="4" w:space="0"/>
              <w:right w:val="single" w:color="000000" w:sz="4" w:space="0"/>
            </w:tcBorders>
            <w:shd w:val="clear" w:color="auto" w:fill="auto"/>
            <w:vAlign w:val="center"/>
          </w:tcPr>
          <w:p w14:paraId="20BD966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2.24</w:t>
            </w:r>
          </w:p>
        </w:tc>
        <w:tc>
          <w:tcPr>
            <w:tcW w:w="886" w:type="dxa"/>
            <w:tcBorders>
              <w:top w:val="nil"/>
              <w:left w:val="nil"/>
              <w:bottom w:val="single" w:color="auto" w:sz="4" w:space="0"/>
              <w:right w:val="single" w:color="auto" w:sz="4" w:space="0"/>
            </w:tcBorders>
            <w:shd w:val="clear" w:color="auto" w:fill="auto"/>
            <w:vAlign w:val="center"/>
          </w:tcPr>
          <w:p w14:paraId="244094CA">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5C98BDE8">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047" w:type="dxa"/>
            <w:gridSpan w:val="2"/>
            <w:tcBorders>
              <w:top w:val="nil"/>
              <w:left w:val="nil"/>
              <w:bottom w:val="single" w:color="auto" w:sz="4" w:space="0"/>
              <w:right w:val="single" w:color="auto" w:sz="4" w:space="0"/>
            </w:tcBorders>
            <w:shd w:val="clear" w:color="auto" w:fill="auto"/>
            <w:vAlign w:val="center"/>
          </w:tcPr>
          <w:p w14:paraId="6ABA53C8">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0DCE3AD4">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20352EBD">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FDD(1.8GHz)</w:t>
            </w:r>
          </w:p>
        </w:tc>
        <w:tc>
          <w:tcPr>
            <w:tcW w:w="564" w:type="dxa"/>
            <w:tcBorders>
              <w:top w:val="nil"/>
              <w:left w:val="nil"/>
              <w:bottom w:val="single" w:color="auto" w:sz="4" w:space="0"/>
              <w:right w:val="single" w:color="auto" w:sz="4" w:space="0"/>
            </w:tcBorders>
            <w:shd w:val="clear" w:color="auto" w:fill="auto"/>
            <w:vAlign w:val="center"/>
          </w:tcPr>
          <w:p w14:paraId="334EC979">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7094055D">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799EBBE4">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599B0473">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2B069BE7">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3797A484">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4F8F2D40">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42C7CD29">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061680BB">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28552974">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6623FE5C">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0DE20A9B">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14:paraId="33BDA77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1533EC91">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3BB38C24">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LTE FDD(2.1GHz)</w:t>
            </w:r>
          </w:p>
        </w:tc>
        <w:tc>
          <w:tcPr>
            <w:tcW w:w="564" w:type="dxa"/>
            <w:tcBorders>
              <w:top w:val="nil"/>
              <w:left w:val="nil"/>
              <w:bottom w:val="single" w:color="auto" w:sz="4" w:space="0"/>
              <w:right w:val="single" w:color="auto" w:sz="4" w:space="0"/>
            </w:tcBorders>
            <w:shd w:val="clear" w:color="auto" w:fill="auto"/>
            <w:vAlign w:val="center"/>
          </w:tcPr>
          <w:p w14:paraId="72141299">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071A6967">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1B4A4499">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0B36738F">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42FBDD7C">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536CC226">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0E611F6C">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3EFF3020">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5EE616D0">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3C060593">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4E10B457">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71E34292">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w:t>
            </w:r>
          </w:p>
        </w:tc>
        <w:tc>
          <w:tcPr>
            <w:tcW w:w="1047" w:type="dxa"/>
            <w:gridSpan w:val="2"/>
            <w:tcBorders>
              <w:top w:val="nil"/>
              <w:left w:val="nil"/>
              <w:bottom w:val="single" w:color="auto" w:sz="4" w:space="0"/>
              <w:right w:val="single" w:color="auto" w:sz="4" w:space="0"/>
            </w:tcBorders>
            <w:shd w:val="clear" w:color="auto" w:fill="auto"/>
            <w:vAlign w:val="center"/>
          </w:tcPr>
          <w:p w14:paraId="367DDA7E">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00D126D6">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04073386">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TD-LTE(1.9GHz)</w:t>
            </w:r>
          </w:p>
        </w:tc>
        <w:tc>
          <w:tcPr>
            <w:tcW w:w="564" w:type="dxa"/>
            <w:tcBorders>
              <w:top w:val="nil"/>
              <w:left w:val="nil"/>
              <w:bottom w:val="single" w:color="auto" w:sz="4" w:space="0"/>
              <w:right w:val="single" w:color="auto" w:sz="4" w:space="0"/>
            </w:tcBorders>
            <w:shd w:val="clear" w:color="auto" w:fill="auto"/>
            <w:vAlign w:val="center"/>
          </w:tcPr>
          <w:p w14:paraId="23503BAD">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580E24D4">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31A7AFB5">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090C92AA">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42634A6A">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762AA95C">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5DB01AFE">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480863C1">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04E7C905">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4B17797E">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5E9CA4D9">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3A6CFD03">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14:paraId="0233305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0.17</w:t>
            </w:r>
          </w:p>
        </w:tc>
      </w:tr>
      <w:tr w14:paraId="05D59FA3">
        <w:tblPrEx>
          <w:tblCellMar>
            <w:top w:w="0" w:type="dxa"/>
            <w:left w:w="108" w:type="dxa"/>
            <w:bottom w:w="0" w:type="dxa"/>
            <w:right w:w="108" w:type="dxa"/>
          </w:tblCellMar>
        </w:tblPrEx>
        <w:trPr>
          <w:trHeight w:val="270" w:hRule="atLeast"/>
        </w:trPr>
        <w:tc>
          <w:tcPr>
            <w:tcW w:w="2925" w:type="dxa"/>
            <w:gridSpan w:val="2"/>
            <w:tcBorders>
              <w:top w:val="nil"/>
              <w:left w:val="single" w:color="auto" w:sz="4" w:space="0"/>
              <w:bottom w:val="single" w:color="auto" w:sz="4" w:space="0"/>
              <w:right w:val="single" w:color="auto" w:sz="4" w:space="0"/>
            </w:tcBorders>
            <w:shd w:val="clear" w:color="auto" w:fill="auto"/>
            <w:vAlign w:val="center"/>
          </w:tcPr>
          <w:p w14:paraId="72CB94F1">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TD-LTE(2.6GHz、2.3GHz)</w:t>
            </w:r>
          </w:p>
        </w:tc>
        <w:tc>
          <w:tcPr>
            <w:tcW w:w="564" w:type="dxa"/>
            <w:tcBorders>
              <w:top w:val="nil"/>
              <w:left w:val="nil"/>
              <w:bottom w:val="single" w:color="auto" w:sz="4" w:space="0"/>
              <w:right w:val="single" w:color="auto" w:sz="4" w:space="0"/>
            </w:tcBorders>
            <w:shd w:val="clear" w:color="auto" w:fill="auto"/>
            <w:vAlign w:val="center"/>
          </w:tcPr>
          <w:p w14:paraId="071DD10B">
            <w:pPr>
              <w:widowControl/>
              <w:spacing w:line="276" w:lineRule="auto"/>
              <w:jc w:val="center"/>
              <w:rPr>
                <w:color w:val="000000" w:themeColor="text1"/>
                <w:kern w:val="0"/>
                <w:sz w:val="24"/>
                <w14:textFill>
                  <w14:solidFill>
                    <w14:schemeClr w14:val="tx1"/>
                  </w14:solidFill>
                </w14:textFill>
              </w:rPr>
            </w:pPr>
          </w:p>
        </w:tc>
        <w:tc>
          <w:tcPr>
            <w:tcW w:w="567" w:type="dxa"/>
            <w:tcBorders>
              <w:top w:val="nil"/>
              <w:left w:val="nil"/>
              <w:bottom w:val="single" w:color="auto" w:sz="4" w:space="0"/>
              <w:right w:val="single" w:color="auto" w:sz="4" w:space="0"/>
            </w:tcBorders>
            <w:shd w:val="clear" w:color="auto" w:fill="auto"/>
            <w:vAlign w:val="center"/>
          </w:tcPr>
          <w:p w14:paraId="1DE93E3B">
            <w:pPr>
              <w:widowControl/>
              <w:spacing w:line="276" w:lineRule="auto"/>
              <w:jc w:val="center"/>
              <w:rPr>
                <w:color w:val="000000" w:themeColor="text1"/>
                <w:kern w:val="0"/>
                <w:sz w:val="24"/>
                <w14:textFill>
                  <w14:solidFill>
                    <w14:schemeClr w14:val="tx1"/>
                  </w14:solidFill>
                </w14:textFill>
              </w:rPr>
            </w:pPr>
          </w:p>
        </w:tc>
        <w:tc>
          <w:tcPr>
            <w:tcW w:w="846" w:type="dxa"/>
            <w:tcBorders>
              <w:top w:val="nil"/>
              <w:left w:val="nil"/>
              <w:bottom w:val="single" w:color="auto" w:sz="4" w:space="0"/>
              <w:right w:val="single" w:color="auto" w:sz="4" w:space="0"/>
            </w:tcBorders>
            <w:shd w:val="clear" w:color="auto" w:fill="auto"/>
            <w:vAlign w:val="center"/>
          </w:tcPr>
          <w:p w14:paraId="18052FDC">
            <w:pPr>
              <w:widowControl/>
              <w:spacing w:line="276" w:lineRule="auto"/>
              <w:jc w:val="center"/>
              <w:rPr>
                <w:color w:val="000000" w:themeColor="text1"/>
                <w:kern w:val="0"/>
                <w:sz w:val="24"/>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1A09B6E8">
            <w:pPr>
              <w:widowControl/>
              <w:spacing w:line="276" w:lineRule="auto"/>
              <w:jc w:val="center"/>
              <w:rPr>
                <w:color w:val="000000" w:themeColor="text1"/>
                <w:kern w:val="0"/>
                <w:sz w:val="24"/>
                <w14:textFill>
                  <w14:solidFill>
                    <w14:schemeClr w14:val="tx1"/>
                  </w14:solidFill>
                </w14:textFill>
              </w:rPr>
            </w:pPr>
          </w:p>
        </w:tc>
        <w:tc>
          <w:tcPr>
            <w:tcW w:w="987" w:type="dxa"/>
            <w:tcBorders>
              <w:top w:val="nil"/>
              <w:left w:val="nil"/>
              <w:bottom w:val="single" w:color="auto" w:sz="4" w:space="0"/>
              <w:right w:val="single" w:color="auto" w:sz="4" w:space="0"/>
            </w:tcBorders>
            <w:shd w:val="clear" w:color="auto" w:fill="auto"/>
            <w:vAlign w:val="center"/>
          </w:tcPr>
          <w:p w14:paraId="01BAADAA">
            <w:pPr>
              <w:widowControl/>
              <w:spacing w:line="276" w:lineRule="auto"/>
              <w:jc w:val="center"/>
              <w:rPr>
                <w:color w:val="000000" w:themeColor="text1"/>
                <w:kern w:val="0"/>
                <w:sz w:val="24"/>
                <w14:textFill>
                  <w14:solidFill>
                    <w14:schemeClr w14:val="tx1"/>
                  </w14:solidFill>
                </w14:textFill>
              </w:rPr>
            </w:pPr>
          </w:p>
        </w:tc>
        <w:tc>
          <w:tcPr>
            <w:tcW w:w="705" w:type="dxa"/>
            <w:tcBorders>
              <w:top w:val="nil"/>
              <w:left w:val="nil"/>
              <w:bottom w:val="single" w:color="auto" w:sz="4" w:space="0"/>
              <w:right w:val="single" w:color="auto" w:sz="4" w:space="0"/>
            </w:tcBorders>
            <w:shd w:val="clear" w:color="auto" w:fill="auto"/>
            <w:vAlign w:val="center"/>
          </w:tcPr>
          <w:p w14:paraId="71A4FBE4">
            <w:pPr>
              <w:widowControl/>
              <w:spacing w:line="276" w:lineRule="auto"/>
              <w:jc w:val="center"/>
              <w:rPr>
                <w:color w:val="000000" w:themeColor="text1"/>
                <w:kern w:val="0"/>
                <w:sz w:val="24"/>
                <w14:textFill>
                  <w14:solidFill>
                    <w14:schemeClr w14:val="tx1"/>
                  </w14:solidFill>
                </w14:textFill>
              </w:rPr>
            </w:pPr>
          </w:p>
        </w:tc>
        <w:tc>
          <w:tcPr>
            <w:tcW w:w="759" w:type="dxa"/>
            <w:tcBorders>
              <w:top w:val="nil"/>
              <w:left w:val="nil"/>
              <w:bottom w:val="single" w:color="auto" w:sz="4" w:space="0"/>
              <w:right w:val="single" w:color="auto" w:sz="4" w:space="0"/>
            </w:tcBorders>
            <w:shd w:val="clear" w:color="auto" w:fill="auto"/>
            <w:vAlign w:val="center"/>
          </w:tcPr>
          <w:p w14:paraId="61604F51">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46CFC026">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2B0B56F6">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6D13D715">
            <w:pPr>
              <w:widowControl/>
              <w:spacing w:line="276" w:lineRule="auto"/>
              <w:jc w:val="center"/>
              <w:rPr>
                <w:color w:val="000000" w:themeColor="text1"/>
                <w:kern w:val="0"/>
                <w:sz w:val="24"/>
                <w14:textFill>
                  <w14:solidFill>
                    <w14:schemeClr w14:val="tx1"/>
                  </w14:solidFill>
                </w14:textFill>
              </w:rPr>
            </w:pPr>
          </w:p>
        </w:tc>
        <w:tc>
          <w:tcPr>
            <w:tcW w:w="886" w:type="dxa"/>
            <w:tcBorders>
              <w:top w:val="nil"/>
              <w:left w:val="nil"/>
              <w:bottom w:val="single" w:color="auto" w:sz="4" w:space="0"/>
              <w:right w:val="single" w:color="auto" w:sz="4" w:space="0"/>
            </w:tcBorders>
            <w:shd w:val="clear" w:color="auto" w:fill="auto"/>
            <w:vAlign w:val="center"/>
          </w:tcPr>
          <w:p w14:paraId="2D2F37EB">
            <w:pPr>
              <w:widowControl/>
              <w:spacing w:line="276" w:lineRule="auto"/>
              <w:jc w:val="center"/>
              <w:rPr>
                <w:color w:val="000000" w:themeColor="text1"/>
                <w:kern w:val="0"/>
                <w:sz w:val="24"/>
                <w14:textFill>
                  <w14:solidFill>
                    <w14:schemeClr w14:val="tx1"/>
                  </w14:solidFill>
                </w14:textFill>
              </w:rPr>
            </w:pPr>
          </w:p>
        </w:tc>
        <w:tc>
          <w:tcPr>
            <w:tcW w:w="1100" w:type="dxa"/>
            <w:gridSpan w:val="2"/>
            <w:tcBorders>
              <w:top w:val="single" w:color="auto" w:sz="4" w:space="0"/>
              <w:left w:val="nil"/>
              <w:bottom w:val="single" w:color="auto" w:sz="4" w:space="0"/>
              <w:right w:val="single" w:color="000000" w:sz="4" w:space="0"/>
            </w:tcBorders>
            <w:shd w:val="clear" w:color="auto" w:fill="auto"/>
            <w:vAlign w:val="center"/>
          </w:tcPr>
          <w:p w14:paraId="0780EC72">
            <w:pPr>
              <w:widowControl/>
              <w:spacing w:line="276" w:lineRule="auto"/>
              <w:jc w:val="center"/>
              <w:rPr>
                <w:color w:val="000000" w:themeColor="text1"/>
                <w:kern w:val="0"/>
                <w:sz w:val="24"/>
                <w14:textFill>
                  <w14:solidFill>
                    <w14:schemeClr w14:val="tx1"/>
                  </w14:solidFill>
                </w14:textFill>
              </w:rPr>
            </w:pPr>
          </w:p>
        </w:tc>
        <w:tc>
          <w:tcPr>
            <w:tcW w:w="1047" w:type="dxa"/>
            <w:gridSpan w:val="2"/>
            <w:tcBorders>
              <w:top w:val="nil"/>
              <w:left w:val="nil"/>
              <w:bottom w:val="single" w:color="auto" w:sz="4" w:space="0"/>
              <w:right w:val="single" w:color="auto" w:sz="4" w:space="0"/>
            </w:tcBorders>
            <w:shd w:val="clear" w:color="auto" w:fill="auto"/>
            <w:vAlign w:val="center"/>
          </w:tcPr>
          <w:p w14:paraId="77FB7C1F">
            <w:pPr>
              <w:widowControl/>
              <w:spacing w:line="276" w:lineRule="auto"/>
              <w:jc w:val="center"/>
              <w:rPr>
                <w:color w:val="000000" w:themeColor="text1"/>
                <w:kern w:val="0"/>
                <w:sz w:val="24"/>
                <w14:textFill>
                  <w14:solidFill>
                    <w14:schemeClr w14:val="tx1"/>
                  </w14:solidFill>
                </w14:textFill>
              </w:rPr>
            </w:pPr>
          </w:p>
        </w:tc>
      </w:tr>
      <w:tr w14:paraId="1C67848F">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14:paraId="6F59D2C1">
            <w:pPr>
              <w:widowControl/>
              <w:spacing w:line="276" w:lineRule="auto"/>
              <w:jc w:val="center"/>
              <w:rPr>
                <w:color w:val="000000" w:themeColor="text1"/>
                <w:kern w:val="0"/>
                <w:sz w:val="24"/>
                <w14:textFill>
                  <w14:solidFill>
                    <w14:schemeClr w14:val="tx1"/>
                  </w14:solidFill>
                </w14:textFill>
              </w:rPr>
            </w:pPr>
          </w:p>
        </w:tc>
        <w:tc>
          <w:tcPr>
            <w:tcW w:w="13750" w:type="dxa"/>
            <w:gridSpan w:val="16"/>
            <w:shd w:val="clear" w:color="auto" w:fill="auto"/>
            <w:vAlign w:val="bottom"/>
          </w:tcPr>
          <w:p w14:paraId="63F72C33">
            <w:pPr>
              <w:widowControl/>
              <w:spacing w:line="360" w:lineRule="auto"/>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注： 0.53|3.56</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对于2014年之前的旧设备，隔离度距离需要3.56米；对于2014年以后的新设备，隔离度只需要0.53米。</w:t>
            </w:r>
          </w:p>
        </w:tc>
      </w:tr>
      <w:tr w14:paraId="3FD0AB03">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bottom"/>
          </w:tcPr>
          <w:p w14:paraId="4A55283B">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14:paraId="3FF547CF">
            <w:pPr>
              <w:widowControl/>
              <w:spacing w:line="360" w:lineRule="auto"/>
              <w:ind w:firstLine="960" w:firstLineChars="4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2.12</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按照标准计算DCS与F频段需要2.12米的隔离距离，但实际情况可能需要的隔离度相对较小。</w:t>
            </w:r>
          </w:p>
        </w:tc>
      </w:tr>
      <w:tr w14:paraId="6336706E">
        <w:tblPrEx>
          <w:tblCellMar>
            <w:top w:w="0" w:type="dxa"/>
            <w:left w:w="108" w:type="dxa"/>
            <w:bottom w:w="0" w:type="dxa"/>
            <w:right w:w="108" w:type="dxa"/>
          </w:tblCellMar>
        </w:tblPrEx>
        <w:trPr>
          <w:gridAfter w:val="1"/>
          <w:wAfter w:w="107" w:type="dxa"/>
          <w:trHeight w:val="270" w:hRule="atLeast"/>
        </w:trPr>
        <w:tc>
          <w:tcPr>
            <w:tcW w:w="250" w:type="dxa"/>
            <w:tcBorders>
              <w:left w:val="nil"/>
            </w:tcBorders>
            <w:shd w:val="clear" w:color="auto" w:fill="auto"/>
            <w:vAlign w:val="center"/>
          </w:tcPr>
          <w:p w14:paraId="433D71A0">
            <w:pPr>
              <w:widowControl/>
              <w:spacing w:line="276" w:lineRule="auto"/>
              <w:jc w:val="center"/>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 xml:space="preserve">      </w:t>
            </w:r>
          </w:p>
        </w:tc>
        <w:tc>
          <w:tcPr>
            <w:tcW w:w="13750" w:type="dxa"/>
            <w:gridSpan w:val="16"/>
            <w:shd w:val="clear" w:color="auto" w:fill="auto"/>
            <w:vAlign w:val="bottom"/>
          </w:tcPr>
          <w:p w14:paraId="273CD14E">
            <w:pPr>
              <w:widowControl/>
              <w:spacing w:line="360" w:lineRule="auto"/>
              <w:ind w:firstLine="720" w:firstLineChars="30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0.53|2.24</w:t>
            </w:r>
            <w:r>
              <w:rPr>
                <w:rFonts w:hint="eastAsia"/>
                <w:color w:val="000000" w:themeColor="text1"/>
                <w:kern w:val="0"/>
                <w:sz w:val="24"/>
                <w14:textFill>
                  <w14:solidFill>
                    <w14:schemeClr w14:val="tx1"/>
                  </w14:solidFill>
                </w14:textFill>
              </w:rPr>
              <w:t xml:space="preserve">   </w:t>
            </w:r>
            <w:r>
              <w:rPr>
                <w:color w:val="000000" w:themeColor="text1"/>
                <w:kern w:val="0"/>
                <w:sz w:val="24"/>
                <w14:textFill>
                  <w14:solidFill>
                    <w14:schemeClr w14:val="tx1"/>
                  </w14:solidFill>
                </w14:textFill>
              </w:rPr>
              <w:t>对于2012年前的中兴，大唐旧设备，隔离距离需要2.24米；对于2012年后的新设备，隔离距离需要0.53米。</w:t>
            </w:r>
          </w:p>
        </w:tc>
      </w:tr>
    </w:tbl>
    <w:p w14:paraId="3A8416A9">
      <w:pPr>
        <w:ind w:firstLine="199" w:firstLineChars="83"/>
        <w:rPr>
          <w:color w:val="000000" w:themeColor="text1"/>
          <w:sz w:val="24"/>
          <w14:textFill>
            <w14:solidFill>
              <w14:schemeClr w14:val="tx1"/>
            </w14:solidFill>
          </w14:textFill>
        </w:rPr>
      </w:pPr>
      <w:r>
        <w:rPr>
          <w:color w:val="000000" w:themeColor="text1"/>
          <w:sz w:val="24"/>
          <w14:textFill>
            <w14:solidFill>
              <w14:schemeClr w14:val="tx1"/>
            </w14:solidFill>
          </w14:textFill>
        </w:rPr>
        <w:t>表7.1.1-</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 xml:space="preserve">                       </w:t>
      </w:r>
      <w:r>
        <w:rPr>
          <w:color w:val="000000" w:themeColor="text1"/>
          <w:sz w:val="24"/>
          <w14:textFill>
            <w14:solidFill>
              <w14:schemeClr w14:val="tx1"/>
            </w14:solidFill>
          </w14:textFill>
        </w:rPr>
        <w:t>不同通信系统间的水平隔离度距离要求（</w:t>
      </w:r>
      <w:r>
        <w:rPr>
          <w:rFonts w:hint="eastAsia"/>
          <w:color w:val="000000" w:themeColor="text1"/>
          <w:sz w:val="24"/>
          <w14:textFill>
            <w14:solidFill>
              <w14:schemeClr w14:val="tx1"/>
            </w14:solidFill>
          </w14:textFill>
        </w:rPr>
        <w:t>单位：</w:t>
      </w:r>
      <w:r>
        <w:rPr>
          <w:color w:val="000000" w:themeColor="text1"/>
          <w:sz w:val="24"/>
          <w14:textFill>
            <w14:solidFill>
              <w14:schemeClr w14:val="tx1"/>
            </w14:solidFill>
          </w14:textFill>
        </w:rPr>
        <w:t>米）</w:t>
      </w:r>
    </w:p>
    <w:tbl>
      <w:tblPr>
        <w:tblStyle w:val="31"/>
        <w:tblW w:w="14107" w:type="dxa"/>
        <w:tblInd w:w="0" w:type="dxa"/>
        <w:tblLayout w:type="fixed"/>
        <w:tblCellMar>
          <w:top w:w="0" w:type="dxa"/>
          <w:left w:w="108" w:type="dxa"/>
          <w:bottom w:w="0" w:type="dxa"/>
          <w:right w:w="108" w:type="dxa"/>
        </w:tblCellMar>
      </w:tblPr>
      <w:tblGrid>
        <w:gridCol w:w="3069"/>
        <w:gridCol w:w="235"/>
        <w:gridCol w:w="330"/>
        <w:gridCol w:w="564"/>
        <w:gridCol w:w="849"/>
        <w:gridCol w:w="844"/>
        <w:gridCol w:w="880"/>
        <w:gridCol w:w="812"/>
        <w:gridCol w:w="605"/>
        <w:gridCol w:w="953"/>
        <w:gridCol w:w="841"/>
        <w:gridCol w:w="564"/>
        <w:gridCol w:w="508"/>
        <w:gridCol w:w="889"/>
        <w:gridCol w:w="440"/>
        <w:gridCol w:w="666"/>
        <w:gridCol w:w="917"/>
        <w:gridCol w:w="141"/>
      </w:tblGrid>
      <w:tr w14:paraId="4F6CD85B">
        <w:tblPrEx>
          <w:tblCellMar>
            <w:top w:w="0" w:type="dxa"/>
            <w:left w:w="108" w:type="dxa"/>
            <w:bottom w:w="0" w:type="dxa"/>
            <w:right w:w="108" w:type="dxa"/>
          </w:tblCellMar>
        </w:tblPrEx>
        <w:trPr>
          <w:cantSplit/>
          <w:trHeight w:val="1080" w:hRule="atLeast"/>
          <w:tblHeader/>
        </w:trPr>
        <w:tc>
          <w:tcPr>
            <w:tcW w:w="3069" w:type="dxa"/>
            <w:tcBorders>
              <w:top w:val="single" w:color="auto" w:sz="4" w:space="0"/>
              <w:left w:val="single" w:color="auto" w:sz="4" w:space="0"/>
              <w:bottom w:val="single" w:color="auto" w:sz="4" w:space="0"/>
              <w:right w:val="single" w:color="auto" w:sz="4" w:space="0"/>
            </w:tcBorders>
            <w:shd w:val="clear" w:color="auto" w:fill="auto"/>
            <w:vAlign w:val="center"/>
          </w:tcPr>
          <w:p w14:paraId="78661E0B">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系统名称</w:t>
            </w:r>
          </w:p>
        </w:tc>
        <w:tc>
          <w:tcPr>
            <w:tcW w:w="565" w:type="dxa"/>
            <w:gridSpan w:val="2"/>
            <w:tcBorders>
              <w:top w:val="single" w:color="auto" w:sz="4" w:space="0"/>
              <w:left w:val="nil"/>
              <w:bottom w:val="single" w:color="auto" w:sz="4" w:space="0"/>
              <w:right w:val="single" w:color="auto" w:sz="4" w:space="0"/>
            </w:tcBorders>
            <w:shd w:val="clear" w:color="auto" w:fill="auto"/>
            <w:vAlign w:val="center"/>
          </w:tcPr>
          <w:p w14:paraId="009B853C">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GSM900旧</w:t>
            </w:r>
          </w:p>
        </w:tc>
        <w:tc>
          <w:tcPr>
            <w:tcW w:w="564" w:type="dxa"/>
            <w:tcBorders>
              <w:top w:val="single" w:color="auto" w:sz="4" w:space="0"/>
              <w:left w:val="nil"/>
              <w:bottom w:val="single" w:color="auto" w:sz="4" w:space="0"/>
              <w:right w:val="single" w:color="auto" w:sz="4" w:space="0"/>
            </w:tcBorders>
            <w:shd w:val="clear" w:color="auto" w:fill="auto"/>
            <w:vAlign w:val="center"/>
          </w:tcPr>
          <w:p w14:paraId="6952FE60">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GSM900新</w:t>
            </w:r>
          </w:p>
        </w:tc>
        <w:tc>
          <w:tcPr>
            <w:tcW w:w="849" w:type="dxa"/>
            <w:tcBorders>
              <w:top w:val="single" w:color="auto" w:sz="4" w:space="0"/>
              <w:left w:val="nil"/>
              <w:bottom w:val="single" w:color="auto" w:sz="4" w:space="0"/>
              <w:right w:val="single" w:color="auto" w:sz="4" w:space="0"/>
            </w:tcBorders>
            <w:shd w:val="clear" w:color="auto" w:fill="auto"/>
            <w:vAlign w:val="center"/>
          </w:tcPr>
          <w:p w14:paraId="2FF58FD4">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GSM1800旧</w:t>
            </w:r>
          </w:p>
        </w:tc>
        <w:tc>
          <w:tcPr>
            <w:tcW w:w="844" w:type="dxa"/>
            <w:tcBorders>
              <w:top w:val="single" w:color="auto" w:sz="4" w:space="0"/>
              <w:left w:val="nil"/>
              <w:bottom w:val="single" w:color="auto" w:sz="4" w:space="0"/>
              <w:right w:val="single" w:color="auto" w:sz="4" w:space="0"/>
            </w:tcBorders>
            <w:shd w:val="clear" w:color="auto" w:fill="auto"/>
            <w:vAlign w:val="center"/>
          </w:tcPr>
          <w:p w14:paraId="7A9B8CFB">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GSM1800新</w:t>
            </w:r>
          </w:p>
        </w:tc>
        <w:tc>
          <w:tcPr>
            <w:tcW w:w="880" w:type="dxa"/>
            <w:tcBorders>
              <w:top w:val="single" w:color="auto" w:sz="4" w:space="0"/>
              <w:left w:val="nil"/>
              <w:bottom w:val="single" w:color="auto" w:sz="4" w:space="0"/>
              <w:right w:val="single" w:color="auto" w:sz="4" w:space="0"/>
            </w:tcBorders>
            <w:shd w:val="clear" w:color="auto" w:fill="auto"/>
            <w:vAlign w:val="center"/>
          </w:tcPr>
          <w:p w14:paraId="3C7C78A3">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CDMA1X/EVDO</w:t>
            </w:r>
          </w:p>
        </w:tc>
        <w:tc>
          <w:tcPr>
            <w:tcW w:w="812" w:type="dxa"/>
            <w:tcBorders>
              <w:top w:val="single" w:color="auto" w:sz="4" w:space="0"/>
              <w:left w:val="nil"/>
              <w:bottom w:val="single" w:color="auto" w:sz="4" w:space="0"/>
              <w:right w:val="single" w:color="auto" w:sz="4" w:space="0"/>
            </w:tcBorders>
            <w:shd w:val="clear" w:color="auto" w:fill="auto"/>
            <w:vAlign w:val="center"/>
          </w:tcPr>
          <w:p w14:paraId="0E2CDE02">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UMTS900</w:t>
            </w:r>
          </w:p>
        </w:tc>
        <w:tc>
          <w:tcPr>
            <w:tcW w:w="605" w:type="dxa"/>
            <w:tcBorders>
              <w:top w:val="single" w:color="auto" w:sz="4" w:space="0"/>
              <w:left w:val="nil"/>
              <w:bottom w:val="single" w:color="auto" w:sz="4" w:space="0"/>
              <w:right w:val="single" w:color="auto" w:sz="4" w:space="0"/>
            </w:tcBorders>
            <w:shd w:val="clear" w:color="auto" w:fill="auto"/>
            <w:vAlign w:val="center"/>
          </w:tcPr>
          <w:p w14:paraId="6A4DAF91">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UMTS2100</w:t>
            </w:r>
          </w:p>
        </w:tc>
        <w:tc>
          <w:tcPr>
            <w:tcW w:w="953" w:type="dxa"/>
            <w:tcBorders>
              <w:top w:val="single" w:color="auto" w:sz="4" w:space="0"/>
              <w:left w:val="nil"/>
              <w:bottom w:val="single" w:color="auto" w:sz="4" w:space="0"/>
              <w:right w:val="single" w:color="auto" w:sz="4" w:space="0"/>
            </w:tcBorders>
            <w:shd w:val="clear" w:color="auto" w:fill="auto"/>
            <w:vAlign w:val="center"/>
          </w:tcPr>
          <w:p w14:paraId="41553A66">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p>
          <w:p w14:paraId="7DAE2408">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(2GHz、2.3GHz)</w:t>
            </w:r>
          </w:p>
        </w:tc>
        <w:tc>
          <w:tcPr>
            <w:tcW w:w="841" w:type="dxa"/>
            <w:tcBorders>
              <w:top w:val="single" w:color="auto" w:sz="4" w:space="0"/>
              <w:left w:val="nil"/>
              <w:bottom w:val="single" w:color="auto" w:sz="4" w:space="0"/>
              <w:right w:val="single" w:color="auto" w:sz="4" w:space="0"/>
            </w:tcBorders>
            <w:shd w:val="clear" w:color="auto" w:fill="auto"/>
            <w:vAlign w:val="center"/>
          </w:tcPr>
          <w:p w14:paraId="1CA943F7">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TD-SCDMA</w:t>
            </w:r>
          </w:p>
          <w:p w14:paraId="24A1145A">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(1.9GHz)</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52968E52">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p>
          <w:p w14:paraId="74DEC085">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(1.8GHz)</w:t>
            </w:r>
          </w:p>
        </w:tc>
        <w:tc>
          <w:tcPr>
            <w:tcW w:w="889" w:type="dxa"/>
            <w:tcBorders>
              <w:top w:val="single" w:color="auto" w:sz="4" w:space="0"/>
              <w:left w:val="nil"/>
              <w:bottom w:val="single" w:color="auto" w:sz="4" w:space="0"/>
              <w:right w:val="single" w:color="auto" w:sz="4" w:space="0"/>
            </w:tcBorders>
            <w:shd w:val="clear" w:color="auto" w:fill="auto"/>
            <w:vAlign w:val="center"/>
          </w:tcPr>
          <w:p w14:paraId="208C9B44">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LTE FDD</w:t>
            </w:r>
          </w:p>
          <w:p w14:paraId="4D2D3760">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(2.1GHz)</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5AB23624">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p>
          <w:p w14:paraId="01D3DBDF">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(1.9GHz)</w:t>
            </w:r>
          </w:p>
        </w:tc>
        <w:tc>
          <w:tcPr>
            <w:tcW w:w="1058" w:type="dxa"/>
            <w:gridSpan w:val="2"/>
            <w:tcBorders>
              <w:top w:val="single" w:color="auto" w:sz="4" w:space="0"/>
              <w:left w:val="nil"/>
              <w:bottom w:val="single" w:color="auto" w:sz="4" w:space="0"/>
              <w:right w:val="single" w:color="auto" w:sz="4" w:space="0"/>
            </w:tcBorders>
            <w:shd w:val="clear" w:color="auto" w:fill="auto"/>
            <w:vAlign w:val="center"/>
          </w:tcPr>
          <w:p w14:paraId="37A6B6DB">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TD-LTE</w:t>
            </w:r>
          </w:p>
          <w:p w14:paraId="11C1B5EC">
            <w:pPr>
              <w:widowControl/>
              <w:spacing w:line="276" w:lineRule="auto"/>
              <w:jc w:val="center"/>
              <w:rPr>
                <w:color w:val="000000" w:themeColor="text1"/>
                <w:kern w:val="0"/>
                <w:sz w:val="20"/>
                <w:szCs w:val="20"/>
                <w14:textFill>
                  <w14:solidFill>
                    <w14:schemeClr w14:val="tx1"/>
                  </w14:solidFill>
                </w14:textFill>
              </w:rPr>
            </w:pPr>
            <w:r>
              <w:rPr>
                <w:color w:val="000000" w:themeColor="text1"/>
                <w:kern w:val="0"/>
                <w:sz w:val="20"/>
                <w:szCs w:val="20"/>
                <w14:textFill>
                  <w14:solidFill>
                    <w14:schemeClr w14:val="tx1"/>
                  </w14:solidFill>
                </w14:textFill>
              </w:rPr>
              <w:t>（2.6GHz、2.3GHz）</w:t>
            </w:r>
          </w:p>
        </w:tc>
      </w:tr>
      <w:tr w14:paraId="3FEFE1C2">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1DB4E8B0">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GSM900（旧基站TS05.05）</w:t>
            </w:r>
          </w:p>
        </w:tc>
        <w:tc>
          <w:tcPr>
            <w:tcW w:w="565" w:type="dxa"/>
            <w:gridSpan w:val="2"/>
            <w:tcBorders>
              <w:top w:val="nil"/>
              <w:left w:val="nil"/>
              <w:bottom w:val="single" w:color="auto" w:sz="4" w:space="0"/>
              <w:right w:val="single" w:color="auto" w:sz="4" w:space="0"/>
            </w:tcBorders>
            <w:shd w:val="clear" w:color="auto" w:fill="auto"/>
            <w:vAlign w:val="center"/>
          </w:tcPr>
          <w:p w14:paraId="404F624F">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407B3748">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5204A30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14:paraId="16EFA75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80" w:type="dxa"/>
            <w:tcBorders>
              <w:top w:val="nil"/>
              <w:left w:val="nil"/>
              <w:bottom w:val="single" w:color="auto" w:sz="4" w:space="0"/>
              <w:right w:val="single" w:color="auto" w:sz="4" w:space="0"/>
            </w:tcBorders>
            <w:shd w:val="clear" w:color="auto" w:fill="auto"/>
            <w:vAlign w:val="center"/>
          </w:tcPr>
          <w:p w14:paraId="02F2FC30">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14:paraId="3EC1798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605" w:type="dxa"/>
            <w:tcBorders>
              <w:top w:val="nil"/>
              <w:left w:val="nil"/>
              <w:bottom w:val="single" w:color="auto" w:sz="4" w:space="0"/>
              <w:right w:val="single" w:color="auto" w:sz="4" w:space="0"/>
            </w:tcBorders>
            <w:shd w:val="clear" w:color="auto" w:fill="auto"/>
            <w:vAlign w:val="center"/>
          </w:tcPr>
          <w:p w14:paraId="1F6023D0">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953" w:type="dxa"/>
            <w:tcBorders>
              <w:top w:val="nil"/>
              <w:left w:val="nil"/>
              <w:bottom w:val="single" w:color="auto" w:sz="4" w:space="0"/>
              <w:right w:val="single" w:color="auto" w:sz="4" w:space="0"/>
            </w:tcBorders>
            <w:shd w:val="clear" w:color="auto" w:fill="auto"/>
            <w:vAlign w:val="center"/>
          </w:tcPr>
          <w:p w14:paraId="464A9F0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841" w:type="dxa"/>
            <w:tcBorders>
              <w:top w:val="nil"/>
              <w:left w:val="nil"/>
              <w:bottom w:val="single" w:color="auto" w:sz="4" w:space="0"/>
              <w:right w:val="single" w:color="auto" w:sz="4" w:space="0"/>
            </w:tcBorders>
            <w:shd w:val="clear" w:color="auto" w:fill="auto"/>
            <w:vAlign w:val="center"/>
          </w:tcPr>
          <w:p w14:paraId="37C3BFC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6BA15F9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889" w:type="dxa"/>
            <w:tcBorders>
              <w:top w:val="nil"/>
              <w:left w:val="nil"/>
              <w:bottom w:val="single" w:color="auto" w:sz="4" w:space="0"/>
              <w:right w:val="single" w:color="auto" w:sz="4" w:space="0"/>
            </w:tcBorders>
            <w:shd w:val="clear" w:color="auto" w:fill="auto"/>
            <w:vAlign w:val="center"/>
          </w:tcPr>
          <w:p w14:paraId="28DD922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573BC72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c>
          <w:tcPr>
            <w:tcW w:w="1058" w:type="dxa"/>
            <w:gridSpan w:val="2"/>
            <w:tcBorders>
              <w:top w:val="nil"/>
              <w:left w:val="nil"/>
              <w:bottom w:val="single" w:color="auto" w:sz="4" w:space="0"/>
              <w:right w:val="single" w:color="auto" w:sz="4" w:space="0"/>
            </w:tcBorders>
            <w:shd w:val="clear" w:color="auto" w:fill="auto"/>
            <w:vAlign w:val="center"/>
          </w:tcPr>
          <w:p w14:paraId="2B53910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0.9</w:t>
            </w:r>
          </w:p>
        </w:tc>
      </w:tr>
      <w:tr w14:paraId="1ADDA55C">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70B4A0FF">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GSM900（新基站TS45.005）</w:t>
            </w:r>
          </w:p>
        </w:tc>
        <w:tc>
          <w:tcPr>
            <w:tcW w:w="565" w:type="dxa"/>
            <w:gridSpan w:val="2"/>
            <w:tcBorders>
              <w:top w:val="nil"/>
              <w:left w:val="nil"/>
              <w:bottom w:val="single" w:color="auto" w:sz="4" w:space="0"/>
              <w:right w:val="single" w:color="auto" w:sz="4" w:space="0"/>
            </w:tcBorders>
            <w:shd w:val="clear" w:color="auto" w:fill="auto"/>
            <w:vAlign w:val="center"/>
          </w:tcPr>
          <w:p w14:paraId="5C914874">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4C9560AF">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19AAEB8C">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4" w:type="dxa"/>
            <w:tcBorders>
              <w:top w:val="nil"/>
              <w:left w:val="nil"/>
              <w:bottom w:val="single" w:color="auto" w:sz="4" w:space="0"/>
              <w:right w:val="single" w:color="auto" w:sz="4" w:space="0"/>
            </w:tcBorders>
            <w:shd w:val="clear" w:color="auto" w:fill="auto"/>
            <w:vAlign w:val="center"/>
          </w:tcPr>
          <w:p w14:paraId="4D1B28C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0" w:type="dxa"/>
            <w:tcBorders>
              <w:top w:val="nil"/>
              <w:left w:val="nil"/>
              <w:bottom w:val="single" w:color="auto" w:sz="4" w:space="0"/>
              <w:right w:val="single" w:color="auto" w:sz="4" w:space="0"/>
            </w:tcBorders>
            <w:shd w:val="clear" w:color="auto" w:fill="auto"/>
            <w:vAlign w:val="center"/>
          </w:tcPr>
          <w:p w14:paraId="25F77E95">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812" w:type="dxa"/>
            <w:tcBorders>
              <w:top w:val="nil"/>
              <w:left w:val="nil"/>
              <w:bottom w:val="single" w:color="auto" w:sz="4" w:space="0"/>
              <w:right w:val="single" w:color="auto" w:sz="4" w:space="0"/>
            </w:tcBorders>
            <w:shd w:val="clear" w:color="auto" w:fill="auto"/>
            <w:vAlign w:val="center"/>
          </w:tcPr>
          <w:p w14:paraId="22BFE76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14:paraId="371C587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14:paraId="557BB4F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14:paraId="05DA1D6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1BA5EE2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47AF095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21054185">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14:paraId="61AF3DAB">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513C64F5">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441D84E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GSM1800（旧基站TS05.05）</w:t>
            </w:r>
          </w:p>
        </w:tc>
        <w:tc>
          <w:tcPr>
            <w:tcW w:w="565" w:type="dxa"/>
            <w:gridSpan w:val="2"/>
            <w:tcBorders>
              <w:top w:val="nil"/>
              <w:left w:val="nil"/>
              <w:bottom w:val="single" w:color="auto" w:sz="4" w:space="0"/>
              <w:right w:val="single" w:color="auto" w:sz="4" w:space="0"/>
            </w:tcBorders>
            <w:shd w:val="clear" w:color="auto" w:fill="auto"/>
            <w:vAlign w:val="center"/>
          </w:tcPr>
          <w:p w14:paraId="3B805A86">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461DA0E5">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79B23F57">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4634D7C1">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7445D75C">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14:paraId="3663D2D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605" w:type="dxa"/>
            <w:tcBorders>
              <w:top w:val="nil"/>
              <w:left w:val="nil"/>
              <w:bottom w:val="single" w:color="auto" w:sz="4" w:space="0"/>
              <w:right w:val="single" w:color="auto" w:sz="4" w:space="0"/>
            </w:tcBorders>
            <w:shd w:val="clear" w:color="auto" w:fill="auto"/>
            <w:vAlign w:val="center"/>
          </w:tcPr>
          <w:p w14:paraId="2E9D5E9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953" w:type="dxa"/>
            <w:tcBorders>
              <w:top w:val="nil"/>
              <w:left w:val="nil"/>
              <w:bottom w:val="single" w:color="auto" w:sz="4" w:space="0"/>
              <w:right w:val="single" w:color="auto" w:sz="4" w:space="0"/>
            </w:tcBorders>
            <w:shd w:val="clear" w:color="auto" w:fill="auto"/>
            <w:vAlign w:val="center"/>
          </w:tcPr>
          <w:p w14:paraId="6642E62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1.7</w:t>
            </w:r>
          </w:p>
        </w:tc>
        <w:tc>
          <w:tcPr>
            <w:tcW w:w="841" w:type="dxa"/>
            <w:tcBorders>
              <w:top w:val="nil"/>
              <w:left w:val="nil"/>
              <w:bottom w:val="single" w:color="auto" w:sz="4" w:space="0"/>
              <w:right w:val="single" w:color="auto" w:sz="4" w:space="0"/>
            </w:tcBorders>
            <w:shd w:val="clear" w:color="auto" w:fill="auto"/>
            <w:vAlign w:val="center"/>
          </w:tcPr>
          <w:p w14:paraId="2F84467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008F934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889" w:type="dxa"/>
            <w:tcBorders>
              <w:top w:val="nil"/>
              <w:left w:val="nil"/>
              <w:bottom w:val="single" w:color="auto" w:sz="4" w:space="0"/>
              <w:right w:val="single" w:color="auto" w:sz="4" w:space="0"/>
            </w:tcBorders>
            <w:shd w:val="clear" w:color="auto" w:fill="auto"/>
            <w:vAlign w:val="center"/>
          </w:tcPr>
          <w:p w14:paraId="1F11DB0B">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0B0CFD15">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14:paraId="0C55C39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2.4</w:t>
            </w:r>
          </w:p>
        </w:tc>
      </w:tr>
      <w:tr w14:paraId="550FC271">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14F9F3F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GSM1800（新基站TS45.005）</w:t>
            </w:r>
          </w:p>
        </w:tc>
        <w:tc>
          <w:tcPr>
            <w:tcW w:w="565" w:type="dxa"/>
            <w:gridSpan w:val="2"/>
            <w:tcBorders>
              <w:top w:val="nil"/>
              <w:left w:val="nil"/>
              <w:bottom w:val="single" w:color="auto" w:sz="4" w:space="0"/>
              <w:right w:val="single" w:color="auto" w:sz="4" w:space="0"/>
            </w:tcBorders>
            <w:shd w:val="clear" w:color="auto" w:fill="auto"/>
            <w:vAlign w:val="center"/>
          </w:tcPr>
          <w:p w14:paraId="54103A1E">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0D927B60">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4793C99F">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0BAAB800">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2F61864F">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12" w:type="dxa"/>
            <w:tcBorders>
              <w:top w:val="nil"/>
              <w:left w:val="nil"/>
              <w:bottom w:val="single" w:color="auto" w:sz="4" w:space="0"/>
              <w:right w:val="single" w:color="auto" w:sz="4" w:space="0"/>
            </w:tcBorders>
            <w:shd w:val="clear" w:color="auto" w:fill="auto"/>
            <w:vAlign w:val="center"/>
          </w:tcPr>
          <w:p w14:paraId="4B6A41E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14:paraId="466F9735">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14:paraId="4208A6F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14:paraId="60FB36D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2073A46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0F76FC8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62C1A8B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59.7</w:t>
            </w:r>
          </w:p>
        </w:tc>
        <w:tc>
          <w:tcPr>
            <w:tcW w:w="1058" w:type="dxa"/>
            <w:gridSpan w:val="2"/>
            <w:tcBorders>
              <w:top w:val="nil"/>
              <w:left w:val="nil"/>
              <w:bottom w:val="single" w:color="auto" w:sz="4" w:space="0"/>
              <w:right w:val="single" w:color="auto" w:sz="4" w:space="0"/>
            </w:tcBorders>
            <w:shd w:val="clear" w:color="auto" w:fill="auto"/>
            <w:vAlign w:val="center"/>
          </w:tcPr>
          <w:p w14:paraId="3A727C1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3C168F20">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58A3507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CDMA1X/EVDO</w:t>
            </w:r>
          </w:p>
        </w:tc>
        <w:tc>
          <w:tcPr>
            <w:tcW w:w="565" w:type="dxa"/>
            <w:gridSpan w:val="2"/>
            <w:tcBorders>
              <w:top w:val="nil"/>
              <w:left w:val="nil"/>
              <w:bottom w:val="single" w:color="auto" w:sz="4" w:space="0"/>
              <w:right w:val="single" w:color="auto" w:sz="4" w:space="0"/>
            </w:tcBorders>
            <w:shd w:val="clear" w:color="auto" w:fill="auto"/>
            <w:vAlign w:val="center"/>
          </w:tcPr>
          <w:p w14:paraId="0C523F18">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4A4B4419">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44805EC1">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0BBFECA1">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5CE5A026">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703DAC7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605" w:type="dxa"/>
            <w:tcBorders>
              <w:top w:val="nil"/>
              <w:left w:val="nil"/>
              <w:bottom w:val="single" w:color="auto" w:sz="4" w:space="0"/>
              <w:right w:val="single" w:color="auto" w:sz="4" w:space="0"/>
            </w:tcBorders>
            <w:shd w:val="clear" w:color="auto" w:fill="auto"/>
            <w:vAlign w:val="center"/>
          </w:tcPr>
          <w:p w14:paraId="090E4932">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14:paraId="041AAF4D">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14:paraId="0EC3CFED">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090C7E5C">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3F5838EF">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368CF46E">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14:paraId="5889DE00">
            <w:pPr>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2E0BFEE8">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487D9265">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UMTS900</w:t>
            </w:r>
          </w:p>
        </w:tc>
        <w:tc>
          <w:tcPr>
            <w:tcW w:w="565" w:type="dxa"/>
            <w:gridSpan w:val="2"/>
            <w:tcBorders>
              <w:top w:val="nil"/>
              <w:left w:val="nil"/>
              <w:bottom w:val="single" w:color="auto" w:sz="4" w:space="0"/>
              <w:right w:val="single" w:color="auto" w:sz="4" w:space="0"/>
            </w:tcBorders>
            <w:shd w:val="clear" w:color="auto" w:fill="auto"/>
            <w:vAlign w:val="center"/>
          </w:tcPr>
          <w:p w14:paraId="14660961">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29829C2A">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12ADCD81">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30B183F6">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252053C1">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6439CF5B">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18D4B16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953" w:type="dxa"/>
            <w:tcBorders>
              <w:top w:val="nil"/>
              <w:left w:val="nil"/>
              <w:bottom w:val="single" w:color="auto" w:sz="4" w:space="0"/>
              <w:right w:val="single" w:color="auto" w:sz="4" w:space="0"/>
            </w:tcBorders>
            <w:shd w:val="clear" w:color="auto" w:fill="auto"/>
            <w:vAlign w:val="center"/>
          </w:tcPr>
          <w:p w14:paraId="32A659A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14:paraId="32C9BC4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00489F2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7D0E46D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27C0EF1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14:paraId="2FA0272F">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0281B8CA">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1D3ED30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UMTS2100</w:t>
            </w:r>
          </w:p>
        </w:tc>
        <w:tc>
          <w:tcPr>
            <w:tcW w:w="565" w:type="dxa"/>
            <w:gridSpan w:val="2"/>
            <w:tcBorders>
              <w:top w:val="nil"/>
              <w:left w:val="nil"/>
              <w:bottom w:val="single" w:color="auto" w:sz="4" w:space="0"/>
              <w:right w:val="single" w:color="auto" w:sz="4" w:space="0"/>
            </w:tcBorders>
            <w:shd w:val="clear" w:color="auto" w:fill="auto"/>
            <w:vAlign w:val="center"/>
          </w:tcPr>
          <w:p w14:paraId="0E32E86C">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520B3D24">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143579FA">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629534E0">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111A530A">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39F05C0F">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5508727B">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401CBA0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41" w:type="dxa"/>
            <w:tcBorders>
              <w:top w:val="nil"/>
              <w:left w:val="nil"/>
              <w:bottom w:val="single" w:color="auto" w:sz="4" w:space="0"/>
              <w:right w:val="single" w:color="auto" w:sz="4" w:space="0"/>
            </w:tcBorders>
            <w:shd w:val="clear" w:color="auto" w:fill="auto"/>
            <w:vAlign w:val="center"/>
          </w:tcPr>
          <w:p w14:paraId="2919036C">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3FA5032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3876BC7F">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440" w:type="dxa"/>
            <w:tcBorders>
              <w:top w:val="nil"/>
              <w:left w:val="nil"/>
              <w:bottom w:val="single" w:color="auto" w:sz="4" w:space="0"/>
              <w:right w:val="single" w:color="auto" w:sz="4" w:space="0"/>
            </w:tcBorders>
            <w:shd w:val="clear" w:color="auto" w:fill="auto"/>
            <w:vAlign w:val="center"/>
          </w:tcPr>
          <w:p w14:paraId="3E2A18FF">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666" w:type="dxa"/>
            <w:tcBorders>
              <w:top w:val="nil"/>
              <w:left w:val="nil"/>
              <w:bottom w:val="single" w:color="auto" w:sz="4" w:space="0"/>
              <w:right w:val="single" w:color="auto" w:sz="4" w:space="0"/>
            </w:tcBorders>
            <w:shd w:val="clear" w:color="auto" w:fill="auto"/>
            <w:vAlign w:val="center"/>
          </w:tcPr>
          <w:p w14:paraId="700DC5B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168.3</w:t>
            </w:r>
          </w:p>
        </w:tc>
        <w:tc>
          <w:tcPr>
            <w:tcW w:w="1058" w:type="dxa"/>
            <w:gridSpan w:val="2"/>
            <w:tcBorders>
              <w:top w:val="nil"/>
              <w:left w:val="nil"/>
              <w:bottom w:val="single" w:color="auto" w:sz="4" w:space="0"/>
              <w:right w:val="single" w:color="auto" w:sz="4" w:space="0"/>
            </w:tcBorders>
            <w:shd w:val="clear" w:color="auto" w:fill="auto"/>
            <w:vAlign w:val="center"/>
          </w:tcPr>
          <w:p w14:paraId="5B6666C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7D08CE0C">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459ABE5A">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TD-SCDMA(2GHz、2.3GHz)</w:t>
            </w:r>
          </w:p>
        </w:tc>
        <w:tc>
          <w:tcPr>
            <w:tcW w:w="565" w:type="dxa"/>
            <w:gridSpan w:val="2"/>
            <w:tcBorders>
              <w:top w:val="nil"/>
              <w:left w:val="nil"/>
              <w:bottom w:val="single" w:color="auto" w:sz="4" w:space="0"/>
              <w:right w:val="single" w:color="auto" w:sz="4" w:space="0"/>
            </w:tcBorders>
            <w:shd w:val="clear" w:color="auto" w:fill="auto"/>
            <w:vAlign w:val="center"/>
          </w:tcPr>
          <w:p w14:paraId="5C85598A">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02C8E19F">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6F84461C">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4082869A">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6A729809">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493F8628">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250A9429">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21E2A464">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0EC94C5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5B82B8C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889" w:type="dxa"/>
            <w:tcBorders>
              <w:top w:val="nil"/>
              <w:left w:val="nil"/>
              <w:bottom w:val="single" w:color="auto" w:sz="4" w:space="0"/>
              <w:right w:val="single" w:color="auto" w:sz="4" w:space="0"/>
            </w:tcBorders>
            <w:shd w:val="clear" w:color="auto" w:fill="auto"/>
            <w:vAlign w:val="center"/>
          </w:tcPr>
          <w:p w14:paraId="40F7072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5FDA35BD">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14:paraId="514C73F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44E2E834">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55D598F8">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TD-SCDMA(1.9GHz)</w:t>
            </w:r>
          </w:p>
        </w:tc>
        <w:tc>
          <w:tcPr>
            <w:tcW w:w="565" w:type="dxa"/>
            <w:gridSpan w:val="2"/>
            <w:tcBorders>
              <w:top w:val="nil"/>
              <w:left w:val="nil"/>
              <w:bottom w:val="single" w:color="auto" w:sz="4" w:space="0"/>
              <w:right w:val="single" w:color="auto" w:sz="4" w:space="0"/>
            </w:tcBorders>
            <w:shd w:val="clear" w:color="auto" w:fill="auto"/>
            <w:vAlign w:val="center"/>
          </w:tcPr>
          <w:p w14:paraId="7E5A509C">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69D36DCD">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6F28387F">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750C56F8">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75716B97">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1B3977AB">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06B09FAF">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40EAB7C5">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0798C714">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0B19FAD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508" w:type="dxa"/>
            <w:tcBorders>
              <w:top w:val="nil"/>
              <w:left w:val="nil"/>
              <w:bottom w:val="single" w:color="auto" w:sz="4" w:space="0"/>
              <w:right w:val="single" w:color="auto" w:sz="4" w:space="0"/>
            </w:tcBorders>
            <w:shd w:val="clear" w:color="auto" w:fill="auto"/>
            <w:vAlign w:val="center"/>
          </w:tcPr>
          <w:p w14:paraId="7EB818BC">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67</w:t>
            </w:r>
          </w:p>
        </w:tc>
        <w:tc>
          <w:tcPr>
            <w:tcW w:w="889" w:type="dxa"/>
            <w:tcBorders>
              <w:top w:val="nil"/>
              <w:left w:val="nil"/>
              <w:bottom w:val="single" w:color="auto" w:sz="4" w:space="0"/>
              <w:right w:val="single" w:color="auto" w:sz="4" w:space="0"/>
            </w:tcBorders>
            <w:shd w:val="clear" w:color="auto" w:fill="auto"/>
            <w:vAlign w:val="center"/>
          </w:tcPr>
          <w:p w14:paraId="7799EB5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66E5688D">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058" w:type="dxa"/>
            <w:gridSpan w:val="2"/>
            <w:tcBorders>
              <w:top w:val="nil"/>
              <w:left w:val="nil"/>
              <w:bottom w:val="single" w:color="auto" w:sz="4" w:space="0"/>
              <w:right w:val="single" w:color="auto" w:sz="4" w:space="0"/>
            </w:tcBorders>
            <w:shd w:val="clear" w:color="auto" w:fill="auto"/>
            <w:vAlign w:val="center"/>
          </w:tcPr>
          <w:p w14:paraId="09E8D93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00C737C7">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4FF2F412">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FDD(1.8GHz)</w:t>
            </w:r>
          </w:p>
        </w:tc>
        <w:tc>
          <w:tcPr>
            <w:tcW w:w="565" w:type="dxa"/>
            <w:gridSpan w:val="2"/>
            <w:tcBorders>
              <w:top w:val="nil"/>
              <w:left w:val="nil"/>
              <w:bottom w:val="single" w:color="auto" w:sz="4" w:space="0"/>
              <w:right w:val="single" w:color="auto" w:sz="4" w:space="0"/>
            </w:tcBorders>
            <w:shd w:val="clear" w:color="auto" w:fill="auto"/>
            <w:vAlign w:val="center"/>
          </w:tcPr>
          <w:p w14:paraId="368A46EF">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71D003FB">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5435A71F">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295942AE">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605FCEB2">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5689796D">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7304209D">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006414F6">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1A84C077">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71D85751">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14:paraId="139AAE94">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30281BE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14:paraId="0DC2AF2E">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6660943F">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75B38C61">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LTE FDD(2.1GHz)</w:t>
            </w:r>
          </w:p>
        </w:tc>
        <w:tc>
          <w:tcPr>
            <w:tcW w:w="565" w:type="dxa"/>
            <w:gridSpan w:val="2"/>
            <w:tcBorders>
              <w:top w:val="nil"/>
              <w:left w:val="nil"/>
              <w:bottom w:val="single" w:color="auto" w:sz="4" w:space="0"/>
              <w:right w:val="single" w:color="auto" w:sz="4" w:space="0"/>
            </w:tcBorders>
            <w:shd w:val="clear" w:color="auto" w:fill="auto"/>
            <w:vAlign w:val="center"/>
          </w:tcPr>
          <w:p w14:paraId="041D6333">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76734137">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3E99C2D5">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2BD435EE">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0725A90E">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4AD33D66">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24E75E8E">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5B2321A9">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6DCF3372">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40F5A190">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14:paraId="2A43E29D">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0959579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3.8</w:t>
            </w:r>
          </w:p>
        </w:tc>
        <w:tc>
          <w:tcPr>
            <w:tcW w:w="1058" w:type="dxa"/>
            <w:gridSpan w:val="2"/>
            <w:tcBorders>
              <w:top w:val="nil"/>
              <w:left w:val="nil"/>
              <w:bottom w:val="single" w:color="auto" w:sz="4" w:space="0"/>
              <w:right w:val="single" w:color="auto" w:sz="4" w:space="0"/>
            </w:tcBorders>
            <w:shd w:val="clear" w:color="auto" w:fill="auto"/>
            <w:vAlign w:val="center"/>
          </w:tcPr>
          <w:p w14:paraId="4381D1F6">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250DFC76">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22241279">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TD-LTE(1.9GHz)</w:t>
            </w:r>
          </w:p>
        </w:tc>
        <w:tc>
          <w:tcPr>
            <w:tcW w:w="565" w:type="dxa"/>
            <w:gridSpan w:val="2"/>
            <w:tcBorders>
              <w:top w:val="nil"/>
              <w:left w:val="nil"/>
              <w:bottom w:val="single" w:color="auto" w:sz="4" w:space="0"/>
              <w:right w:val="single" w:color="auto" w:sz="4" w:space="0"/>
            </w:tcBorders>
            <w:shd w:val="clear" w:color="auto" w:fill="auto"/>
            <w:vAlign w:val="center"/>
          </w:tcPr>
          <w:p w14:paraId="5CE580C6">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6B8A1D72">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2C987F5F">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715B3B25">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53F90043">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128BF411">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1E1EEEF8">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23C25BD0">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72490B7B">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774A747A">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14:paraId="7E6363D4">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45F9B16E">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14:paraId="171894B7">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0.4</w:t>
            </w:r>
          </w:p>
        </w:tc>
      </w:tr>
      <w:tr w14:paraId="3F34F4A9">
        <w:tblPrEx>
          <w:tblCellMar>
            <w:top w:w="0" w:type="dxa"/>
            <w:left w:w="108" w:type="dxa"/>
            <w:bottom w:w="0" w:type="dxa"/>
            <w:right w:w="108" w:type="dxa"/>
          </w:tblCellMar>
        </w:tblPrEx>
        <w:trPr>
          <w:trHeight w:val="270" w:hRule="atLeast"/>
        </w:trPr>
        <w:tc>
          <w:tcPr>
            <w:tcW w:w="3069" w:type="dxa"/>
            <w:tcBorders>
              <w:top w:val="nil"/>
              <w:left w:val="single" w:color="auto" w:sz="4" w:space="0"/>
              <w:bottom w:val="single" w:color="auto" w:sz="4" w:space="0"/>
              <w:right w:val="single" w:color="auto" w:sz="4" w:space="0"/>
            </w:tcBorders>
            <w:shd w:val="clear" w:color="auto" w:fill="auto"/>
            <w:vAlign w:val="center"/>
          </w:tcPr>
          <w:p w14:paraId="249AF563">
            <w:pPr>
              <w:widowControl/>
              <w:spacing w:line="276" w:lineRule="auto"/>
              <w:jc w:val="center"/>
              <w:rPr>
                <w:color w:val="000000" w:themeColor="text1"/>
                <w:kern w:val="0"/>
                <w:sz w:val="22"/>
                <w:szCs w:val="22"/>
                <w14:textFill>
                  <w14:solidFill>
                    <w14:schemeClr w14:val="tx1"/>
                  </w14:solidFill>
                </w14:textFill>
              </w:rPr>
            </w:pPr>
            <w:r>
              <w:rPr>
                <w:color w:val="000000" w:themeColor="text1"/>
                <w:kern w:val="0"/>
                <w:sz w:val="22"/>
                <w:szCs w:val="22"/>
                <w14:textFill>
                  <w14:solidFill>
                    <w14:schemeClr w14:val="tx1"/>
                  </w14:solidFill>
                </w14:textFill>
              </w:rPr>
              <w:t>TD-LTE(2.6GHz、2.3GHz)</w:t>
            </w:r>
          </w:p>
        </w:tc>
        <w:tc>
          <w:tcPr>
            <w:tcW w:w="565" w:type="dxa"/>
            <w:gridSpan w:val="2"/>
            <w:tcBorders>
              <w:top w:val="nil"/>
              <w:left w:val="nil"/>
              <w:bottom w:val="single" w:color="auto" w:sz="4" w:space="0"/>
              <w:right w:val="single" w:color="auto" w:sz="4" w:space="0"/>
            </w:tcBorders>
            <w:shd w:val="clear" w:color="auto" w:fill="auto"/>
            <w:vAlign w:val="center"/>
          </w:tcPr>
          <w:p w14:paraId="67C4AB7B">
            <w:pPr>
              <w:widowControl/>
              <w:spacing w:line="276" w:lineRule="auto"/>
              <w:jc w:val="center"/>
              <w:rPr>
                <w:color w:val="000000" w:themeColor="text1"/>
                <w:kern w:val="0"/>
                <w:sz w:val="22"/>
                <w:szCs w:val="22"/>
                <w14:textFill>
                  <w14:solidFill>
                    <w14:schemeClr w14:val="tx1"/>
                  </w14:solidFill>
                </w14:textFill>
              </w:rPr>
            </w:pPr>
          </w:p>
        </w:tc>
        <w:tc>
          <w:tcPr>
            <w:tcW w:w="564" w:type="dxa"/>
            <w:tcBorders>
              <w:top w:val="nil"/>
              <w:left w:val="nil"/>
              <w:bottom w:val="single" w:color="auto" w:sz="4" w:space="0"/>
              <w:right w:val="single" w:color="auto" w:sz="4" w:space="0"/>
            </w:tcBorders>
            <w:shd w:val="clear" w:color="auto" w:fill="auto"/>
            <w:vAlign w:val="center"/>
          </w:tcPr>
          <w:p w14:paraId="7EF389B0">
            <w:pPr>
              <w:widowControl/>
              <w:spacing w:line="276" w:lineRule="auto"/>
              <w:jc w:val="center"/>
              <w:rPr>
                <w:color w:val="000000" w:themeColor="text1"/>
                <w:kern w:val="0"/>
                <w:sz w:val="22"/>
                <w:szCs w:val="22"/>
                <w14:textFill>
                  <w14:solidFill>
                    <w14:schemeClr w14:val="tx1"/>
                  </w14:solidFill>
                </w14:textFill>
              </w:rPr>
            </w:pPr>
          </w:p>
        </w:tc>
        <w:tc>
          <w:tcPr>
            <w:tcW w:w="849" w:type="dxa"/>
            <w:tcBorders>
              <w:top w:val="nil"/>
              <w:left w:val="nil"/>
              <w:bottom w:val="single" w:color="auto" w:sz="4" w:space="0"/>
              <w:right w:val="single" w:color="auto" w:sz="4" w:space="0"/>
            </w:tcBorders>
            <w:shd w:val="clear" w:color="auto" w:fill="auto"/>
            <w:vAlign w:val="center"/>
          </w:tcPr>
          <w:p w14:paraId="5FF61661">
            <w:pPr>
              <w:widowControl/>
              <w:spacing w:line="276" w:lineRule="auto"/>
              <w:jc w:val="center"/>
              <w:rPr>
                <w:color w:val="000000" w:themeColor="text1"/>
                <w:kern w:val="0"/>
                <w:sz w:val="22"/>
                <w:szCs w:val="22"/>
                <w14:textFill>
                  <w14:solidFill>
                    <w14:schemeClr w14:val="tx1"/>
                  </w14:solidFill>
                </w14:textFill>
              </w:rPr>
            </w:pPr>
          </w:p>
        </w:tc>
        <w:tc>
          <w:tcPr>
            <w:tcW w:w="844" w:type="dxa"/>
            <w:tcBorders>
              <w:top w:val="nil"/>
              <w:left w:val="nil"/>
              <w:bottom w:val="single" w:color="auto" w:sz="4" w:space="0"/>
              <w:right w:val="single" w:color="auto" w:sz="4" w:space="0"/>
            </w:tcBorders>
            <w:shd w:val="clear" w:color="auto" w:fill="auto"/>
            <w:vAlign w:val="center"/>
          </w:tcPr>
          <w:p w14:paraId="7EC56160">
            <w:pPr>
              <w:widowControl/>
              <w:spacing w:line="276" w:lineRule="auto"/>
              <w:jc w:val="center"/>
              <w:rPr>
                <w:color w:val="000000" w:themeColor="text1"/>
                <w:kern w:val="0"/>
                <w:sz w:val="22"/>
                <w:szCs w:val="22"/>
                <w14:textFill>
                  <w14:solidFill>
                    <w14:schemeClr w14:val="tx1"/>
                  </w14:solidFill>
                </w14:textFill>
              </w:rPr>
            </w:pPr>
          </w:p>
        </w:tc>
        <w:tc>
          <w:tcPr>
            <w:tcW w:w="880" w:type="dxa"/>
            <w:tcBorders>
              <w:top w:val="nil"/>
              <w:left w:val="nil"/>
              <w:bottom w:val="single" w:color="auto" w:sz="4" w:space="0"/>
              <w:right w:val="single" w:color="auto" w:sz="4" w:space="0"/>
            </w:tcBorders>
            <w:shd w:val="clear" w:color="auto" w:fill="auto"/>
            <w:vAlign w:val="center"/>
          </w:tcPr>
          <w:p w14:paraId="75358D6B">
            <w:pPr>
              <w:widowControl/>
              <w:spacing w:line="276" w:lineRule="auto"/>
              <w:jc w:val="center"/>
              <w:rPr>
                <w:color w:val="000000" w:themeColor="text1"/>
                <w:kern w:val="0"/>
                <w:sz w:val="22"/>
                <w:szCs w:val="22"/>
                <w14:textFill>
                  <w14:solidFill>
                    <w14:schemeClr w14:val="tx1"/>
                  </w14:solidFill>
                </w14:textFill>
              </w:rPr>
            </w:pPr>
          </w:p>
        </w:tc>
        <w:tc>
          <w:tcPr>
            <w:tcW w:w="812" w:type="dxa"/>
            <w:tcBorders>
              <w:top w:val="nil"/>
              <w:left w:val="nil"/>
              <w:bottom w:val="single" w:color="auto" w:sz="4" w:space="0"/>
              <w:right w:val="single" w:color="auto" w:sz="4" w:space="0"/>
            </w:tcBorders>
            <w:shd w:val="clear" w:color="auto" w:fill="auto"/>
            <w:vAlign w:val="center"/>
          </w:tcPr>
          <w:p w14:paraId="227F314B">
            <w:pPr>
              <w:widowControl/>
              <w:spacing w:line="276" w:lineRule="auto"/>
              <w:jc w:val="center"/>
              <w:rPr>
                <w:color w:val="000000" w:themeColor="text1"/>
                <w:kern w:val="0"/>
                <w:sz w:val="22"/>
                <w:szCs w:val="22"/>
                <w14:textFill>
                  <w14:solidFill>
                    <w14:schemeClr w14:val="tx1"/>
                  </w14:solidFill>
                </w14:textFill>
              </w:rPr>
            </w:pPr>
          </w:p>
        </w:tc>
        <w:tc>
          <w:tcPr>
            <w:tcW w:w="605" w:type="dxa"/>
            <w:tcBorders>
              <w:top w:val="nil"/>
              <w:left w:val="nil"/>
              <w:bottom w:val="single" w:color="auto" w:sz="4" w:space="0"/>
              <w:right w:val="single" w:color="auto" w:sz="4" w:space="0"/>
            </w:tcBorders>
            <w:shd w:val="clear" w:color="auto" w:fill="auto"/>
            <w:vAlign w:val="center"/>
          </w:tcPr>
          <w:p w14:paraId="0492C19F">
            <w:pPr>
              <w:widowControl/>
              <w:spacing w:line="276" w:lineRule="auto"/>
              <w:jc w:val="center"/>
              <w:rPr>
                <w:color w:val="000000" w:themeColor="text1"/>
                <w:kern w:val="0"/>
                <w:sz w:val="22"/>
                <w:szCs w:val="22"/>
                <w14:textFill>
                  <w14:solidFill>
                    <w14:schemeClr w14:val="tx1"/>
                  </w14:solidFill>
                </w14:textFill>
              </w:rPr>
            </w:pPr>
          </w:p>
        </w:tc>
        <w:tc>
          <w:tcPr>
            <w:tcW w:w="953" w:type="dxa"/>
            <w:tcBorders>
              <w:top w:val="nil"/>
              <w:left w:val="nil"/>
              <w:bottom w:val="single" w:color="auto" w:sz="4" w:space="0"/>
              <w:right w:val="single" w:color="auto" w:sz="4" w:space="0"/>
            </w:tcBorders>
            <w:shd w:val="clear" w:color="auto" w:fill="auto"/>
            <w:vAlign w:val="center"/>
          </w:tcPr>
          <w:p w14:paraId="0D1AAD28">
            <w:pPr>
              <w:widowControl/>
              <w:spacing w:line="276" w:lineRule="auto"/>
              <w:jc w:val="center"/>
              <w:rPr>
                <w:color w:val="000000" w:themeColor="text1"/>
                <w:kern w:val="0"/>
                <w:sz w:val="22"/>
                <w:szCs w:val="22"/>
                <w14:textFill>
                  <w14:solidFill>
                    <w14:schemeClr w14:val="tx1"/>
                  </w14:solidFill>
                </w14:textFill>
              </w:rPr>
            </w:pPr>
          </w:p>
        </w:tc>
        <w:tc>
          <w:tcPr>
            <w:tcW w:w="841" w:type="dxa"/>
            <w:tcBorders>
              <w:top w:val="nil"/>
              <w:left w:val="nil"/>
              <w:bottom w:val="single" w:color="auto" w:sz="4" w:space="0"/>
              <w:right w:val="single" w:color="auto" w:sz="4" w:space="0"/>
            </w:tcBorders>
            <w:shd w:val="clear" w:color="auto" w:fill="auto"/>
            <w:vAlign w:val="center"/>
          </w:tcPr>
          <w:p w14:paraId="53719A71">
            <w:pPr>
              <w:widowControl/>
              <w:spacing w:line="276" w:lineRule="auto"/>
              <w:jc w:val="center"/>
              <w:rPr>
                <w:color w:val="000000" w:themeColor="text1"/>
                <w:kern w:val="0"/>
                <w:sz w:val="22"/>
                <w:szCs w:val="22"/>
                <w14:textFill>
                  <w14:solidFill>
                    <w14:schemeClr w14:val="tx1"/>
                  </w14:solidFill>
                </w14:textFill>
              </w:rPr>
            </w:pPr>
          </w:p>
        </w:tc>
        <w:tc>
          <w:tcPr>
            <w:tcW w:w="1072" w:type="dxa"/>
            <w:gridSpan w:val="2"/>
            <w:tcBorders>
              <w:top w:val="single" w:color="auto" w:sz="4" w:space="0"/>
              <w:left w:val="nil"/>
              <w:bottom w:val="single" w:color="auto" w:sz="4" w:space="0"/>
              <w:right w:val="single" w:color="auto" w:sz="4" w:space="0"/>
            </w:tcBorders>
            <w:shd w:val="clear" w:color="auto" w:fill="auto"/>
            <w:vAlign w:val="center"/>
          </w:tcPr>
          <w:p w14:paraId="483EC2C2">
            <w:pPr>
              <w:widowControl/>
              <w:spacing w:line="276" w:lineRule="auto"/>
              <w:jc w:val="center"/>
              <w:rPr>
                <w:color w:val="000000" w:themeColor="text1"/>
                <w:kern w:val="0"/>
                <w:sz w:val="22"/>
                <w:szCs w:val="22"/>
                <w14:textFill>
                  <w14:solidFill>
                    <w14:schemeClr w14:val="tx1"/>
                  </w14:solidFill>
                </w14:textFill>
              </w:rPr>
            </w:pPr>
          </w:p>
        </w:tc>
        <w:tc>
          <w:tcPr>
            <w:tcW w:w="889" w:type="dxa"/>
            <w:tcBorders>
              <w:top w:val="nil"/>
              <w:left w:val="nil"/>
              <w:bottom w:val="single" w:color="auto" w:sz="4" w:space="0"/>
              <w:right w:val="single" w:color="auto" w:sz="4" w:space="0"/>
            </w:tcBorders>
            <w:shd w:val="clear" w:color="auto" w:fill="auto"/>
            <w:vAlign w:val="center"/>
          </w:tcPr>
          <w:p w14:paraId="2AC260EC">
            <w:pPr>
              <w:widowControl/>
              <w:spacing w:line="276" w:lineRule="auto"/>
              <w:jc w:val="center"/>
              <w:rPr>
                <w:color w:val="000000" w:themeColor="text1"/>
                <w:kern w:val="0"/>
                <w:sz w:val="22"/>
                <w:szCs w:val="22"/>
                <w14:textFill>
                  <w14:solidFill>
                    <w14:schemeClr w14:val="tx1"/>
                  </w14:solidFill>
                </w14:textFill>
              </w:rPr>
            </w:pPr>
          </w:p>
        </w:tc>
        <w:tc>
          <w:tcPr>
            <w:tcW w:w="1106" w:type="dxa"/>
            <w:gridSpan w:val="2"/>
            <w:tcBorders>
              <w:top w:val="single" w:color="auto" w:sz="4" w:space="0"/>
              <w:left w:val="nil"/>
              <w:bottom w:val="single" w:color="auto" w:sz="4" w:space="0"/>
              <w:right w:val="single" w:color="auto" w:sz="4" w:space="0"/>
            </w:tcBorders>
            <w:shd w:val="clear" w:color="auto" w:fill="auto"/>
            <w:vAlign w:val="center"/>
          </w:tcPr>
          <w:p w14:paraId="7E0D0C68">
            <w:pPr>
              <w:widowControl/>
              <w:spacing w:line="276" w:lineRule="auto"/>
              <w:jc w:val="center"/>
              <w:rPr>
                <w:color w:val="000000" w:themeColor="text1"/>
                <w:kern w:val="0"/>
                <w:sz w:val="22"/>
                <w:szCs w:val="22"/>
                <w14:textFill>
                  <w14:solidFill>
                    <w14:schemeClr w14:val="tx1"/>
                  </w14:solidFill>
                </w14:textFill>
              </w:rPr>
            </w:pPr>
          </w:p>
        </w:tc>
        <w:tc>
          <w:tcPr>
            <w:tcW w:w="1058" w:type="dxa"/>
            <w:gridSpan w:val="2"/>
            <w:tcBorders>
              <w:top w:val="nil"/>
              <w:left w:val="nil"/>
              <w:bottom w:val="single" w:color="auto" w:sz="4" w:space="0"/>
              <w:right w:val="single" w:color="auto" w:sz="4" w:space="0"/>
            </w:tcBorders>
            <w:shd w:val="clear" w:color="auto" w:fill="auto"/>
            <w:vAlign w:val="center"/>
          </w:tcPr>
          <w:p w14:paraId="55A1E758">
            <w:pPr>
              <w:widowControl/>
              <w:spacing w:line="276" w:lineRule="auto"/>
              <w:jc w:val="center"/>
              <w:rPr>
                <w:color w:val="000000" w:themeColor="text1"/>
                <w:kern w:val="0"/>
                <w:sz w:val="22"/>
                <w:szCs w:val="22"/>
                <w14:textFill>
                  <w14:solidFill>
                    <w14:schemeClr w14:val="tx1"/>
                  </w14:solidFill>
                </w14:textFill>
              </w:rPr>
            </w:pPr>
          </w:p>
        </w:tc>
      </w:tr>
      <w:tr w14:paraId="657C1B4F">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14:paraId="6D9ABB21">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注：3.8     </w:t>
            </w:r>
          </w:p>
        </w:tc>
        <w:tc>
          <w:tcPr>
            <w:tcW w:w="10662" w:type="dxa"/>
            <w:gridSpan w:val="15"/>
            <w:shd w:val="clear" w:color="auto" w:fill="auto"/>
            <w:vAlign w:val="bottom"/>
          </w:tcPr>
          <w:p w14:paraId="6409C29E">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对于2014年之前的旧设备，隔离距离需要168米；对于2014年以后的新设备，隔离距离需要3.8米。</w:t>
            </w:r>
          </w:p>
        </w:tc>
      </w:tr>
      <w:tr w14:paraId="0F94F05C">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bottom"/>
          </w:tcPr>
          <w:p w14:paraId="6530A5D3">
            <w:pPr>
              <w:widowControl/>
              <w:spacing w:line="360" w:lineRule="auto"/>
              <w:jc w:val="center"/>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 xml:space="preserve">  </w:t>
            </w:r>
          </w:p>
        </w:tc>
        <w:tc>
          <w:tcPr>
            <w:tcW w:w="10662" w:type="dxa"/>
            <w:gridSpan w:val="15"/>
            <w:shd w:val="clear" w:color="auto" w:fill="auto"/>
            <w:vAlign w:val="bottom"/>
          </w:tcPr>
          <w:p w14:paraId="165680B9">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按照标准计算DCS与F频段需要59.72米的隔离距离，但实际情况可能需要的隔离度相对较小。</w:t>
            </w:r>
          </w:p>
        </w:tc>
      </w:tr>
      <w:tr w14:paraId="66D6ECF4">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14:paraId="5FD5A0E8">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14:paraId="218AD9EC">
            <w:pPr>
              <w:widowControl/>
              <w:spacing w:line="360" w:lineRule="auto"/>
              <w:rPr>
                <w:rFonts w:hint="eastAsia" w:ascii="宋体" w:hAnsi="宋体"/>
                <w:color w:val="000000" w:themeColor="text1"/>
                <w:kern w:val="0"/>
                <w:sz w:val="22"/>
                <w:szCs w:val="22"/>
                <w14:textFill>
                  <w14:solidFill>
                    <w14:schemeClr w14:val="tx1"/>
                  </w14:solidFill>
                </w14:textFill>
              </w:rPr>
            </w:pPr>
            <w:r>
              <w:rPr>
                <w:rFonts w:ascii="宋体" w:hAnsi="宋体"/>
                <w:color w:val="000000" w:themeColor="text1"/>
                <w:kern w:val="0"/>
                <w:sz w:val="22"/>
                <w:szCs w:val="22"/>
                <w14:textFill>
                  <w14:solidFill>
                    <w14:schemeClr w14:val="tx1"/>
                  </w14:solidFill>
                </w14:textFill>
              </w:rPr>
              <w:t>对于2012年之前的中兴，大唐旧设备，隔离度需要67米；对于2012年以后的新设备，隔离度只需要3.8米。</w:t>
            </w:r>
          </w:p>
        </w:tc>
      </w:tr>
      <w:tr w14:paraId="3F1E84EA">
        <w:tblPrEx>
          <w:tblCellMar>
            <w:top w:w="0" w:type="dxa"/>
            <w:left w:w="108" w:type="dxa"/>
            <w:bottom w:w="0" w:type="dxa"/>
            <w:right w:w="108" w:type="dxa"/>
          </w:tblCellMar>
        </w:tblPrEx>
        <w:trPr>
          <w:gridAfter w:val="1"/>
          <w:wAfter w:w="141" w:type="dxa"/>
          <w:trHeight w:val="270" w:hRule="atLeast"/>
        </w:trPr>
        <w:tc>
          <w:tcPr>
            <w:tcW w:w="3304" w:type="dxa"/>
            <w:gridSpan w:val="2"/>
            <w:shd w:val="clear" w:color="auto" w:fill="auto"/>
            <w:vAlign w:val="center"/>
          </w:tcPr>
          <w:p w14:paraId="5E4D2BA6">
            <w:pPr>
              <w:widowControl/>
              <w:spacing w:line="360" w:lineRule="auto"/>
              <w:rPr>
                <w:rFonts w:hint="eastAsia" w:ascii="宋体" w:hAnsi="宋体"/>
                <w:color w:val="000000" w:themeColor="text1"/>
                <w:kern w:val="0"/>
                <w:sz w:val="22"/>
                <w:szCs w:val="22"/>
                <w14:textFill>
                  <w14:solidFill>
                    <w14:schemeClr w14:val="tx1"/>
                  </w14:solidFill>
                </w14:textFill>
              </w:rPr>
            </w:pPr>
          </w:p>
        </w:tc>
        <w:tc>
          <w:tcPr>
            <w:tcW w:w="10662" w:type="dxa"/>
            <w:gridSpan w:val="15"/>
            <w:shd w:val="clear" w:color="auto" w:fill="auto"/>
            <w:vAlign w:val="bottom"/>
          </w:tcPr>
          <w:p w14:paraId="5190656E">
            <w:pPr>
              <w:widowControl/>
              <w:spacing w:line="360" w:lineRule="auto"/>
              <w:rPr>
                <w:rFonts w:hint="eastAsia" w:ascii="宋体" w:hAnsi="宋体"/>
                <w:color w:val="000000" w:themeColor="text1"/>
                <w:kern w:val="0"/>
                <w:sz w:val="22"/>
                <w:szCs w:val="22"/>
                <w14:textFill>
                  <w14:solidFill>
                    <w14:schemeClr w14:val="tx1"/>
                  </w14:solidFill>
                </w14:textFill>
              </w:rPr>
            </w:pPr>
          </w:p>
          <w:p w14:paraId="2B901CE8">
            <w:pPr>
              <w:widowControl/>
              <w:spacing w:line="360" w:lineRule="auto"/>
              <w:rPr>
                <w:rFonts w:hint="eastAsia" w:ascii="宋体" w:hAnsi="宋体"/>
                <w:color w:val="000000" w:themeColor="text1"/>
                <w:kern w:val="0"/>
                <w:sz w:val="22"/>
                <w:szCs w:val="22"/>
                <w14:textFill>
                  <w14:solidFill>
                    <w14:schemeClr w14:val="tx1"/>
                  </w14:solidFill>
                </w14:textFill>
              </w:rPr>
            </w:pPr>
          </w:p>
          <w:p w14:paraId="52B1B1FE">
            <w:pPr>
              <w:widowControl/>
              <w:spacing w:line="360" w:lineRule="auto"/>
              <w:rPr>
                <w:rFonts w:hint="eastAsia" w:ascii="宋体" w:hAnsi="宋体"/>
                <w:color w:val="000000" w:themeColor="text1"/>
                <w:kern w:val="0"/>
                <w:sz w:val="22"/>
                <w:szCs w:val="22"/>
                <w14:textFill>
                  <w14:solidFill>
                    <w14:schemeClr w14:val="tx1"/>
                  </w14:solidFill>
                </w14:textFill>
              </w:rPr>
            </w:pPr>
          </w:p>
          <w:p w14:paraId="06064295">
            <w:pPr>
              <w:widowControl/>
              <w:spacing w:line="360" w:lineRule="auto"/>
              <w:rPr>
                <w:rFonts w:hint="eastAsia" w:ascii="宋体" w:hAnsi="宋体"/>
                <w:color w:val="000000" w:themeColor="text1"/>
                <w:kern w:val="0"/>
                <w:sz w:val="22"/>
                <w:szCs w:val="22"/>
                <w14:textFill>
                  <w14:solidFill>
                    <w14:schemeClr w14:val="tx1"/>
                  </w14:solidFill>
                </w14:textFill>
              </w:rPr>
            </w:pPr>
          </w:p>
          <w:p w14:paraId="3934F16C">
            <w:pPr>
              <w:widowControl/>
              <w:spacing w:line="360" w:lineRule="auto"/>
              <w:rPr>
                <w:rFonts w:hint="eastAsia" w:ascii="宋体" w:hAnsi="宋体"/>
                <w:color w:val="000000" w:themeColor="text1"/>
                <w:kern w:val="0"/>
                <w:sz w:val="22"/>
                <w:szCs w:val="22"/>
                <w14:textFill>
                  <w14:solidFill>
                    <w14:schemeClr w14:val="tx1"/>
                  </w14:solidFill>
                </w14:textFill>
              </w:rPr>
            </w:pPr>
          </w:p>
        </w:tc>
      </w:tr>
    </w:tbl>
    <w:p w14:paraId="10DDE631">
      <w:pPr>
        <w:pStyle w:val="15"/>
        <w:ind w:left="738"/>
        <w:rPr>
          <w:rFonts w:hint="eastAsia"/>
          <w:color w:val="000000" w:themeColor="text1"/>
          <w:lang w:val="en-US"/>
          <w14:textFill>
            <w14:solidFill>
              <w14:schemeClr w14:val="tx1"/>
            </w14:solidFill>
          </w14:textFill>
        </w:rPr>
      </w:pPr>
      <w:r>
        <w:rPr>
          <w:rFonts w:hint="eastAsia"/>
          <w:color w:val="000000" w:themeColor="text1"/>
          <w:lang w:val="en-US"/>
          <w14:textFill>
            <w14:solidFill>
              <w14:schemeClr w14:val="tx1"/>
            </w14:solidFill>
          </w14:textFill>
        </w:rPr>
        <w:t>5G NR</w:t>
      </w:r>
      <w:r>
        <w:rPr>
          <w:color w:val="000000" w:themeColor="text1"/>
          <w:lang w:val="en-US"/>
          <w14:textFill>
            <w14:solidFill>
              <w14:schemeClr w14:val="tx1"/>
            </w14:solidFill>
          </w14:textFill>
        </w:rPr>
        <w:t xml:space="preserve"> 3</w:t>
      </w:r>
      <w:r>
        <w:rPr>
          <w:rFonts w:hint="eastAsia"/>
          <w:color w:val="000000" w:themeColor="text1"/>
          <w:lang w:val="en-US"/>
          <w14:textFill>
            <w14:solidFill>
              <w14:schemeClr w14:val="tx1"/>
            </w14:solidFill>
          </w14:textFill>
        </w:rPr>
        <w:t>.</w:t>
      </w:r>
      <w:r>
        <w:rPr>
          <w:color w:val="000000" w:themeColor="text1"/>
          <w:lang w:val="en-US"/>
          <w14:textFill>
            <w14:solidFill>
              <w14:schemeClr w14:val="tx1"/>
            </w14:solidFill>
          </w14:textFill>
        </w:rPr>
        <w:t>5</w:t>
      </w:r>
      <w:r>
        <w:rPr>
          <w:rFonts w:hint="eastAsia"/>
          <w:color w:val="000000" w:themeColor="text1"/>
          <w:lang w:val="en-US"/>
          <w14:textFill>
            <w14:solidFill>
              <w14:schemeClr w14:val="tx1"/>
            </w14:solidFill>
          </w14:textFill>
        </w:rPr>
        <w:t>G</w:t>
      </w:r>
      <w:r>
        <w:rPr>
          <w:color w:val="000000" w:themeColor="text1"/>
          <w14:textFill>
            <w14:solidFill>
              <w14:schemeClr w14:val="tx1"/>
            </w14:solidFill>
          </w14:textFill>
        </w:rPr>
        <w:t>隔离度如下表所示</w:t>
      </w:r>
      <w:r>
        <w:rPr>
          <w:color w:val="000000" w:themeColor="text1"/>
          <w:lang w:val="en-US"/>
          <w14:textFill>
            <w14:solidFill>
              <w14:schemeClr w14:val="tx1"/>
            </w14:solidFill>
          </w14:textFill>
        </w:rPr>
        <w:t>：</w:t>
      </w:r>
    </w:p>
    <w:p w14:paraId="2BD4AFD5">
      <w:pPr>
        <w:pStyle w:val="15"/>
        <w:ind w:left="738"/>
        <w:rPr>
          <w:rFonts w:hint="eastAsia"/>
          <w:color w:val="000000" w:themeColor="text1"/>
          <w14:textFill>
            <w14:solidFill>
              <w14:schemeClr w14:val="tx1"/>
            </w14:solidFill>
          </w14:textFill>
        </w:rPr>
      </w:pPr>
      <w:r>
        <w:rPr>
          <w:rFonts w:ascii="Times New Roman" w:hAnsi="Times New Roman" w:cs="Times New Roman"/>
          <w:color w:val="000000" w:themeColor="text1"/>
          <w14:textFill>
            <w14:solidFill>
              <w14:schemeClr w14:val="tx1"/>
            </w14:solidFill>
          </w14:textFill>
        </w:rPr>
        <w:t xml:space="preserve">表7.1.1-4 </w:t>
      </w:r>
      <w:r>
        <w:rPr>
          <w:color w:val="000000" w:themeColor="text1"/>
          <w14:textFill>
            <w14:solidFill>
              <w14:schemeClr w14:val="tx1"/>
            </w14:solidFill>
          </w14:textFill>
        </w:rPr>
        <w:t xml:space="preserve"> </w:t>
      </w:r>
      <w:r>
        <w:rPr>
          <w:rFonts w:hint="eastAsia"/>
          <w:color w:val="000000" w:themeColor="text1"/>
          <w14:textFill>
            <w14:solidFill>
              <w14:schemeClr w14:val="tx1"/>
            </w14:solidFill>
          </w14:textFill>
        </w:rPr>
        <w:t xml:space="preserve">                       5GNR</w:t>
      </w:r>
      <w:r>
        <w:rPr>
          <w:color w:val="000000" w:themeColor="text1"/>
          <w14:textFill>
            <w14:solidFill>
              <w14:schemeClr w14:val="tx1"/>
            </w14:solidFill>
          </w14:textFill>
        </w:rPr>
        <w:t xml:space="preserve"> 3</w:t>
      </w:r>
      <w:r>
        <w:rPr>
          <w:rFonts w:hint="eastAsia"/>
          <w:color w:val="000000" w:themeColor="text1"/>
          <w14:textFill>
            <w14:solidFill>
              <w14:schemeClr w14:val="tx1"/>
            </w14:solidFill>
          </w14:textFill>
        </w:rPr>
        <w:t>.</w:t>
      </w:r>
      <w:r>
        <w:rPr>
          <w:color w:val="000000" w:themeColor="text1"/>
          <w14:textFill>
            <w14:solidFill>
              <w14:schemeClr w14:val="tx1"/>
            </w14:solidFill>
          </w14:textFill>
        </w:rPr>
        <w:t>5</w:t>
      </w:r>
      <w:r>
        <w:rPr>
          <w:rFonts w:hint="eastAsia"/>
          <w:color w:val="000000" w:themeColor="text1"/>
          <w14:textFill>
            <w14:solidFill>
              <w14:schemeClr w14:val="tx1"/>
            </w14:solidFill>
          </w14:textFill>
        </w:rPr>
        <w:t>G与各系统间的隔离度要求</w:t>
      </w:r>
    </w:p>
    <w:p w14:paraId="196A438A">
      <w:pPr>
        <w:pStyle w:val="15"/>
        <w:spacing w:before="4"/>
        <w:ind w:firstLine="120"/>
        <w:rPr>
          <w:rFonts w:hint="eastAsia"/>
          <w:color w:val="000000" w:themeColor="text1"/>
          <w:sz w:val="6"/>
          <w14:textFill>
            <w14:solidFill>
              <w14:schemeClr w14:val="tx1"/>
            </w14:solidFill>
          </w14:textFill>
        </w:rPr>
      </w:pPr>
    </w:p>
    <w:tbl>
      <w:tblPr>
        <w:tblStyle w:val="61"/>
        <w:tblW w:w="13813"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741"/>
        <w:gridCol w:w="1212"/>
        <w:gridCol w:w="1215"/>
        <w:gridCol w:w="1215"/>
        <w:gridCol w:w="1292"/>
        <w:gridCol w:w="1295"/>
        <w:gridCol w:w="1292"/>
        <w:gridCol w:w="1292"/>
        <w:gridCol w:w="1133"/>
        <w:gridCol w:w="1126"/>
      </w:tblGrid>
      <w:tr w14:paraId="382C5F0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restart"/>
            <w:vAlign w:val="center"/>
          </w:tcPr>
          <w:p w14:paraId="1CADD1B6">
            <w:pPr>
              <w:pStyle w:val="6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互干扰系统</w:t>
            </w:r>
          </w:p>
          <w:p w14:paraId="5352FF05">
            <w:pPr>
              <w:pStyle w:val="68"/>
              <w:ind w:right="131"/>
              <w:jc w:val="center"/>
              <w:rPr>
                <w:rFonts w:hint="eastAsia" w:eastAsia="等线"/>
                <w:color w:val="000000" w:themeColor="text1"/>
                <w:sz w:val="24"/>
                <w:szCs w:val="24"/>
                <w:lang w:eastAsia="en-US"/>
                <w14:textFill>
                  <w14:solidFill>
                    <w14:schemeClr w14:val="tx1"/>
                  </w14:solidFill>
                </w14:textFill>
              </w:rPr>
            </w:pPr>
            <w:r>
              <w:rPr>
                <w:rFonts w:hint="eastAsia" w:eastAsia="等线"/>
                <w:color w:val="000000" w:themeColor="text1"/>
                <w:sz w:val="24"/>
                <w:szCs w:val="24"/>
                <w:lang w:eastAsia="en-US"/>
                <w14:textFill>
                  <w14:solidFill>
                    <w14:schemeClr w14:val="tx1"/>
                  </w14:solidFill>
                </w14:textFill>
              </w:rPr>
              <w:t>（</w:t>
            </w:r>
            <w:r>
              <w:rPr>
                <w:rFonts w:eastAsia="等线"/>
                <w:color w:val="000000" w:themeColor="text1"/>
                <w:sz w:val="24"/>
                <w:szCs w:val="24"/>
                <w:lang w:eastAsia="en-US"/>
                <w14:textFill>
                  <w14:solidFill>
                    <w14:schemeClr w14:val="tx1"/>
                  </w14:solidFill>
                </w14:textFill>
              </w:rPr>
              <w:t xml:space="preserve">+30dB </w:t>
            </w:r>
            <w:r>
              <w:rPr>
                <w:rFonts w:hint="eastAsia" w:eastAsia="等线"/>
                <w:color w:val="000000" w:themeColor="text1"/>
                <w:sz w:val="24"/>
                <w:szCs w:val="24"/>
                <w:lang w:eastAsia="en-US"/>
                <w14:textFill>
                  <w14:solidFill>
                    <w14:schemeClr w14:val="tx1"/>
                  </w14:solidFill>
                </w14:textFill>
              </w:rPr>
              <w:t>双工）</w:t>
            </w:r>
          </w:p>
        </w:tc>
        <w:tc>
          <w:tcPr>
            <w:tcW w:w="1212" w:type="dxa"/>
            <w:vAlign w:val="center"/>
          </w:tcPr>
          <w:p w14:paraId="320E3CBB">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CDMA </w:t>
            </w:r>
          </w:p>
        </w:tc>
        <w:tc>
          <w:tcPr>
            <w:tcW w:w="1215" w:type="dxa"/>
            <w:vAlign w:val="center"/>
          </w:tcPr>
          <w:p w14:paraId="673CAA92">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GSM </w:t>
            </w:r>
          </w:p>
        </w:tc>
        <w:tc>
          <w:tcPr>
            <w:tcW w:w="1215" w:type="dxa"/>
            <w:vAlign w:val="center"/>
          </w:tcPr>
          <w:p w14:paraId="1D689EAC">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DCS </w:t>
            </w:r>
          </w:p>
        </w:tc>
        <w:tc>
          <w:tcPr>
            <w:tcW w:w="1292" w:type="dxa"/>
            <w:vAlign w:val="center"/>
          </w:tcPr>
          <w:p w14:paraId="519BFB15">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5" w:type="dxa"/>
            <w:vAlign w:val="center"/>
          </w:tcPr>
          <w:p w14:paraId="67FC4339">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14:paraId="53ABBF71">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LTE FDD </w:t>
            </w:r>
          </w:p>
        </w:tc>
        <w:tc>
          <w:tcPr>
            <w:tcW w:w="1292" w:type="dxa"/>
            <w:vAlign w:val="center"/>
          </w:tcPr>
          <w:p w14:paraId="7EDC34CE">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TD-LTE</w:t>
            </w:r>
          </w:p>
        </w:tc>
        <w:tc>
          <w:tcPr>
            <w:tcW w:w="1133" w:type="dxa"/>
            <w:vAlign w:val="center"/>
          </w:tcPr>
          <w:p w14:paraId="60E2AC1C">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c>
          <w:tcPr>
            <w:tcW w:w="1126" w:type="dxa"/>
            <w:vAlign w:val="center"/>
          </w:tcPr>
          <w:p w14:paraId="72F18FF3">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 xml:space="preserve">5G NR </w:t>
            </w:r>
          </w:p>
        </w:tc>
      </w:tr>
      <w:tr w14:paraId="42AFB2C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76" w:hRule="atLeast"/>
          <w:jc w:val="center"/>
        </w:trPr>
        <w:tc>
          <w:tcPr>
            <w:tcW w:w="2741" w:type="dxa"/>
            <w:vMerge w:val="continue"/>
            <w:vAlign w:val="center"/>
          </w:tcPr>
          <w:p w14:paraId="194766A4">
            <w:pPr>
              <w:pStyle w:val="68"/>
              <w:ind w:right="131"/>
              <w:jc w:val="center"/>
              <w:rPr>
                <w:rFonts w:hint="eastAsia" w:eastAsia="等线"/>
                <w:color w:val="000000" w:themeColor="text1"/>
                <w:sz w:val="24"/>
                <w:szCs w:val="24"/>
                <w:lang w:eastAsia="en-US"/>
                <w14:textFill>
                  <w14:solidFill>
                    <w14:schemeClr w14:val="tx1"/>
                  </w14:solidFill>
                </w14:textFill>
              </w:rPr>
            </w:pPr>
          </w:p>
        </w:tc>
        <w:tc>
          <w:tcPr>
            <w:tcW w:w="1212" w:type="dxa"/>
            <w:vAlign w:val="center"/>
          </w:tcPr>
          <w:p w14:paraId="63397126">
            <w:pPr>
              <w:pStyle w:val="6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15" w:type="dxa"/>
            <w:vAlign w:val="center"/>
          </w:tcPr>
          <w:p w14:paraId="2DB6BB43">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900M</w:t>
            </w:r>
          </w:p>
        </w:tc>
        <w:tc>
          <w:tcPr>
            <w:tcW w:w="1215" w:type="dxa"/>
            <w:vAlign w:val="center"/>
          </w:tcPr>
          <w:p w14:paraId="563AC7DD">
            <w:pPr>
              <w:pStyle w:val="6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14:paraId="281250EA">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800M</w:t>
            </w:r>
          </w:p>
        </w:tc>
        <w:tc>
          <w:tcPr>
            <w:tcW w:w="1295" w:type="dxa"/>
            <w:vAlign w:val="center"/>
          </w:tcPr>
          <w:p w14:paraId="61B6DC80">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1.8G</w:t>
            </w:r>
          </w:p>
        </w:tc>
        <w:tc>
          <w:tcPr>
            <w:tcW w:w="1292" w:type="dxa"/>
            <w:vAlign w:val="center"/>
          </w:tcPr>
          <w:p w14:paraId="3F35FCE2">
            <w:pPr>
              <w:pStyle w:val="6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2.1G</w:t>
            </w:r>
          </w:p>
        </w:tc>
        <w:tc>
          <w:tcPr>
            <w:tcW w:w="1292" w:type="dxa"/>
            <w:vAlign w:val="center"/>
          </w:tcPr>
          <w:p w14:paraId="15333089">
            <w:pPr>
              <w:pStyle w:val="6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33" w:type="dxa"/>
            <w:vAlign w:val="center"/>
          </w:tcPr>
          <w:p w14:paraId="67D9C7B7">
            <w:pPr>
              <w:pStyle w:val="6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2.6G</w:t>
            </w:r>
          </w:p>
        </w:tc>
        <w:tc>
          <w:tcPr>
            <w:tcW w:w="1126" w:type="dxa"/>
            <w:vAlign w:val="center"/>
          </w:tcPr>
          <w:p w14:paraId="28CFB06B">
            <w:pPr>
              <w:pStyle w:val="68"/>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700M</w:t>
            </w:r>
          </w:p>
        </w:tc>
      </w:tr>
      <w:tr w14:paraId="3034988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14:paraId="696AD8E1">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隔离度（dB）</w:t>
            </w:r>
          </w:p>
        </w:tc>
        <w:tc>
          <w:tcPr>
            <w:tcW w:w="1212" w:type="dxa"/>
            <w:vAlign w:val="center"/>
          </w:tcPr>
          <w:p w14:paraId="430F265A">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14:paraId="373F12C7">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15" w:type="dxa"/>
            <w:vAlign w:val="center"/>
          </w:tcPr>
          <w:p w14:paraId="09C02C18">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33</w:t>
            </w:r>
          </w:p>
        </w:tc>
        <w:tc>
          <w:tcPr>
            <w:tcW w:w="1292" w:type="dxa"/>
            <w:vAlign w:val="center"/>
          </w:tcPr>
          <w:p w14:paraId="2C68595B">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5" w:type="dxa"/>
            <w:vAlign w:val="center"/>
          </w:tcPr>
          <w:p w14:paraId="3A38BA39">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14:paraId="2D4CDF18">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292" w:type="dxa"/>
            <w:vAlign w:val="center"/>
          </w:tcPr>
          <w:p w14:paraId="79177302">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32</w:t>
            </w:r>
          </w:p>
        </w:tc>
        <w:tc>
          <w:tcPr>
            <w:tcW w:w="1133" w:type="dxa"/>
            <w:vAlign w:val="center"/>
          </w:tcPr>
          <w:p w14:paraId="13A40505">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c>
          <w:tcPr>
            <w:tcW w:w="1126" w:type="dxa"/>
            <w:vAlign w:val="center"/>
          </w:tcPr>
          <w:p w14:paraId="16615CDF">
            <w:pPr>
              <w:pStyle w:val="68"/>
              <w:spacing w:before="20"/>
              <w:ind w:right="9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37</w:t>
            </w:r>
          </w:p>
        </w:tc>
      </w:tr>
      <w:tr w14:paraId="037574C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90" w:hRule="atLeast"/>
          <w:jc w:val="center"/>
        </w:trPr>
        <w:tc>
          <w:tcPr>
            <w:tcW w:w="2741" w:type="dxa"/>
            <w:vAlign w:val="center"/>
          </w:tcPr>
          <w:p w14:paraId="6CCB36E5">
            <w:pPr>
              <w:pStyle w:val="68"/>
              <w:spacing w:before="20"/>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水平隔离距离(m)</w:t>
            </w:r>
          </w:p>
        </w:tc>
        <w:tc>
          <w:tcPr>
            <w:tcW w:w="1212" w:type="dxa"/>
            <w:vAlign w:val="center"/>
          </w:tcPr>
          <w:p w14:paraId="4B05EB92">
            <w:pPr>
              <w:pStyle w:val="68"/>
              <w:spacing w:before="20"/>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c>
          <w:tcPr>
            <w:tcW w:w="1215" w:type="dxa"/>
            <w:vAlign w:val="center"/>
          </w:tcPr>
          <w:p w14:paraId="3D2B2DF6">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15" w:type="dxa"/>
            <w:vAlign w:val="center"/>
          </w:tcPr>
          <w:p w14:paraId="3C8EFBC0">
            <w:pPr>
              <w:pStyle w:val="68"/>
              <w:spacing w:before="20"/>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14:paraId="545CD63B">
            <w:pPr>
              <w:pStyle w:val="68"/>
              <w:spacing w:before="2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0.6</w:t>
            </w:r>
          </w:p>
        </w:tc>
        <w:tc>
          <w:tcPr>
            <w:tcW w:w="1295" w:type="dxa"/>
            <w:vAlign w:val="center"/>
          </w:tcPr>
          <w:p w14:paraId="08937B57">
            <w:pPr>
              <w:pStyle w:val="68"/>
              <w:spacing w:before="20"/>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14:paraId="1CEF6D48">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292" w:type="dxa"/>
            <w:vAlign w:val="center"/>
          </w:tcPr>
          <w:p w14:paraId="2840313C">
            <w:pPr>
              <w:pStyle w:val="68"/>
              <w:spacing w:before="20"/>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0.3</w:t>
            </w:r>
          </w:p>
        </w:tc>
        <w:tc>
          <w:tcPr>
            <w:tcW w:w="1133" w:type="dxa"/>
            <w:vAlign w:val="center"/>
          </w:tcPr>
          <w:p w14:paraId="41AD889D">
            <w:pPr>
              <w:pStyle w:val="68"/>
              <w:spacing w:before="20"/>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126" w:type="dxa"/>
            <w:vAlign w:val="center"/>
          </w:tcPr>
          <w:p w14:paraId="395EC341">
            <w:pPr>
              <w:pStyle w:val="68"/>
              <w:spacing w:before="20"/>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1.3</w:t>
            </w:r>
          </w:p>
        </w:tc>
      </w:tr>
      <w:tr w14:paraId="5D1AD4C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7" w:hRule="atLeast"/>
          <w:jc w:val="center"/>
        </w:trPr>
        <w:tc>
          <w:tcPr>
            <w:tcW w:w="2741" w:type="dxa"/>
            <w:vAlign w:val="center"/>
          </w:tcPr>
          <w:p w14:paraId="4C0C9EF3">
            <w:pPr>
              <w:pStyle w:val="68"/>
              <w:spacing w:before="18"/>
              <w:ind w:right="131"/>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垂直隔离距离(m)</w:t>
            </w:r>
          </w:p>
        </w:tc>
        <w:tc>
          <w:tcPr>
            <w:tcW w:w="1212" w:type="dxa"/>
            <w:vAlign w:val="center"/>
          </w:tcPr>
          <w:p w14:paraId="1B3AA8C5">
            <w:pPr>
              <w:pStyle w:val="68"/>
              <w:spacing w:before="18"/>
              <w:ind w:right="177"/>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0.5</w:t>
            </w:r>
          </w:p>
        </w:tc>
        <w:tc>
          <w:tcPr>
            <w:tcW w:w="1215" w:type="dxa"/>
            <w:vAlign w:val="center"/>
          </w:tcPr>
          <w:p w14:paraId="346954E6">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15" w:type="dxa"/>
            <w:vAlign w:val="center"/>
          </w:tcPr>
          <w:p w14:paraId="47EAD265">
            <w:pPr>
              <w:pStyle w:val="68"/>
              <w:spacing w:before="18"/>
              <w:ind w:right="17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14:paraId="16965A8A">
            <w:pPr>
              <w:pStyle w:val="68"/>
              <w:spacing w:before="1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0.4</w:t>
            </w:r>
          </w:p>
        </w:tc>
        <w:tc>
          <w:tcPr>
            <w:tcW w:w="1295" w:type="dxa"/>
            <w:vAlign w:val="center"/>
          </w:tcPr>
          <w:p w14:paraId="211C1E8D">
            <w:pPr>
              <w:pStyle w:val="68"/>
              <w:spacing w:before="18"/>
              <w:ind w:right="205"/>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14:paraId="4ECCC676">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292" w:type="dxa"/>
            <w:vAlign w:val="center"/>
          </w:tcPr>
          <w:p w14:paraId="20E68266">
            <w:pPr>
              <w:pStyle w:val="68"/>
              <w:spacing w:before="18"/>
              <w:ind w:right="100"/>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33" w:type="dxa"/>
            <w:vAlign w:val="center"/>
          </w:tcPr>
          <w:p w14:paraId="46253B40">
            <w:pPr>
              <w:pStyle w:val="68"/>
              <w:spacing w:before="18"/>
              <w:ind w:right="98"/>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0.2</w:t>
            </w:r>
          </w:p>
        </w:tc>
        <w:tc>
          <w:tcPr>
            <w:tcW w:w="1126" w:type="dxa"/>
            <w:vAlign w:val="center"/>
          </w:tcPr>
          <w:p w14:paraId="1D5EE8EF">
            <w:pPr>
              <w:pStyle w:val="68"/>
              <w:spacing w:before="18"/>
              <w:ind w:right="92"/>
              <w:jc w:val="center"/>
              <w:rPr>
                <w:rFonts w:hint="eastAsia" w:eastAsia="等线"/>
                <w:color w:val="000000" w:themeColor="text1"/>
                <w:sz w:val="24"/>
                <w:szCs w:val="24"/>
                <w:lang w:eastAsia="en-US"/>
                <w14:textFill>
                  <w14:solidFill>
                    <w14:schemeClr w14:val="tx1"/>
                  </w14:solidFill>
                </w14:textFill>
              </w:rPr>
            </w:pPr>
            <w:r>
              <w:rPr>
                <w:rFonts w:eastAsia="等线"/>
                <w:color w:val="000000" w:themeColor="text1"/>
                <w:sz w:val="24"/>
                <w:szCs w:val="24"/>
                <w:lang w:eastAsia="en-US"/>
                <w14:textFill>
                  <w14:solidFill>
                    <w14:schemeClr w14:val="tx1"/>
                  </w14:solidFill>
                </w14:textFill>
              </w:rPr>
              <w:t>0.7</w:t>
            </w:r>
          </w:p>
        </w:tc>
      </w:tr>
    </w:tbl>
    <w:p w14:paraId="69614907">
      <w:pPr>
        <w:pStyle w:val="15"/>
        <w:tabs>
          <w:tab w:val="left" w:pos="3495"/>
        </w:tabs>
        <w:spacing w:before="80"/>
        <w:ind w:firstLine="480" w:firstLineChars="200"/>
        <w:rPr>
          <w:rFonts w:hint="eastAsia"/>
          <w:color w:val="000000" w:themeColor="text1"/>
          <w14:textFill>
            <w14:solidFill>
              <w14:schemeClr w14:val="tx1"/>
            </w14:solidFill>
          </w14:textFill>
        </w:rPr>
      </w:pPr>
      <w:r>
        <w:rPr>
          <w:color w:val="000000" w:themeColor="text1"/>
          <w14:textFill>
            <w14:solidFill>
              <w14:schemeClr w14:val="tx1"/>
            </w14:solidFill>
          </w14:textFill>
        </w:rPr>
        <w:t>需注意：</w:t>
      </w:r>
    </w:p>
    <w:p w14:paraId="543B8BFA">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在实际工程中，因为天线参数、天线方向、传播模型、各种损耗等与假设存在</w:t>
      </w:r>
      <w:r>
        <w:rPr>
          <w:rFonts w:ascii="宋体" w:hAnsi="宋体"/>
          <w:color w:val="000000" w:themeColor="text1"/>
          <w:spacing w:val="-1"/>
          <w:sz w:val="24"/>
          <w14:textFill>
            <w14:solidFill>
              <w14:schemeClr w14:val="tx1"/>
            </w14:solidFill>
          </w14:textFill>
        </w:rPr>
        <w:t xml:space="preserve">不一致性，设备指标与协议指标存在偏差等原因，上述计算结果还存在一定的不确定性， </w:t>
      </w:r>
      <w:r>
        <w:rPr>
          <w:rFonts w:ascii="宋体" w:hAnsi="宋体"/>
          <w:color w:val="000000" w:themeColor="text1"/>
          <w:sz w:val="24"/>
          <w14:textFill>
            <w14:solidFill>
              <w14:schemeClr w14:val="tx1"/>
            </w14:solidFill>
          </w14:textFill>
        </w:rPr>
        <w:t>工程中应根据实际的指标针对各个共站址基站进行具体计算。</w:t>
      </w:r>
    </w:p>
    <w:p w14:paraId="0B75C805">
      <w:pPr>
        <w:pStyle w:val="58"/>
        <w:numPr>
          <w:ilvl w:val="0"/>
          <w:numId w:val="7"/>
        </w:numPr>
        <w:tabs>
          <w:tab w:val="left" w:pos="1340"/>
        </w:tabs>
        <w:autoSpaceDE w:val="0"/>
        <w:autoSpaceDN w:val="0"/>
        <w:spacing w:before="160" w:line="360" w:lineRule="auto"/>
        <w:ind w:left="0" w:firstLine="480"/>
        <w:rPr>
          <w:rFonts w:hint="eastAsia" w:ascii="宋体" w:hAnsi="宋体"/>
          <w:color w:val="000000" w:themeColor="text1"/>
          <w:sz w:val="24"/>
          <w14:textFill>
            <w14:solidFill>
              <w14:schemeClr w14:val="tx1"/>
            </w14:solidFill>
          </w14:textFill>
        </w:rPr>
      </w:pPr>
      <w:r>
        <w:rPr>
          <w:rFonts w:ascii="宋体" w:hAnsi="宋体"/>
          <w:color w:val="000000" w:themeColor="text1"/>
          <w:sz w:val="24"/>
          <w14:textFill>
            <w14:solidFill>
              <w14:schemeClr w14:val="tx1"/>
            </w14:solidFill>
          </w14:textFill>
        </w:rPr>
        <w:t>隔离度大小还取决于天线之间的相对位置，应尽量避免天线相对或接近面对的情况。背对背的两天线情况比其他情况下所需隔离度小很多。</w:t>
      </w:r>
    </w:p>
    <w:p w14:paraId="0582DFCE">
      <w:pPr>
        <w:ind w:firstLine="480"/>
        <w:rPr>
          <w:color w:val="000000" w:themeColor="text1"/>
          <w:sz w:val="24"/>
          <w14:textFill>
            <w14:solidFill>
              <w14:schemeClr w14:val="tx1"/>
            </w14:solidFill>
          </w14:textFill>
        </w:rPr>
        <w:sectPr>
          <w:pgSz w:w="16840" w:h="11907" w:orient="landscape"/>
          <w:pgMar w:top="1701" w:right="1588" w:bottom="1701" w:left="1361" w:header="1021" w:footer="1134" w:gutter="0"/>
          <w:cols w:space="425" w:num="1"/>
          <w:docGrid w:linePitch="380" w:charSpace="0"/>
        </w:sectPr>
      </w:pPr>
    </w:p>
    <w:p w14:paraId="1BAD2CB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（4）环境噪声的影响</w:t>
      </w:r>
    </w:p>
    <w:p w14:paraId="5D995D3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环境噪声分为自然噪声和人为噪声。其中人为噪声主要指电子设备、点火、电力线等，考虑到环境噪声对接收机性能所引起的恶化，应注意增加设计余量，在基站选址时应尽量避免。</w:t>
      </w:r>
    </w:p>
    <w:p w14:paraId="5F9A0708">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电磁辐射防护</w:t>
      </w:r>
    </w:p>
    <w:p w14:paraId="330CA801">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无线通信局(站)通过天线发射电磁波的电磁辐射防护限值，应符合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》的相关要求。</w:t>
      </w:r>
    </w:p>
    <w:p w14:paraId="07961000">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无线通信局(站)内的微波(300MHz～300GHz)和超短波(30MHz～300MHz)通信设备正常工作时，各工作位置值机操作人员所处环境和区域的电磁辐射安全限值，应符合相关规范要求。</w:t>
      </w:r>
    </w:p>
    <w:p w14:paraId="22F0771D">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无线通信设施所产生的电磁辐射对周围环境的污染和危害，必须符合</w:t>
      </w:r>
      <w:r>
        <w:rPr>
          <w:rFonts w:hint="eastAsia"/>
          <w:b/>
          <w:bCs/>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电磁环境控制限值</w:t>
      </w:r>
      <w:r>
        <w:rPr>
          <w:rFonts w:hint="eastAsia"/>
          <w:color w:val="000000" w:themeColor="text1"/>
          <w:sz w:val="24"/>
          <w14:textFill>
            <w14:solidFill>
              <w14:schemeClr w14:val="tx1"/>
            </w14:solidFill>
          </w14:textFill>
        </w:rPr>
        <w:t>》的要求。</w:t>
      </w:r>
    </w:p>
    <w:p w14:paraId="7E166654">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根据中华人民共和国国家标准有关“电磁环境控制</w:t>
      </w:r>
      <w:r>
        <w:rPr>
          <w:color w:val="000000" w:themeColor="text1"/>
          <w:sz w:val="24"/>
          <w14:textFill>
            <w14:solidFill>
              <w14:schemeClr w14:val="tx1"/>
            </w14:solidFill>
          </w14:textFill>
        </w:rPr>
        <w:t>限值</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即国标</w:t>
      </w:r>
      <w:r>
        <w:rPr>
          <w:color w:val="000000" w:themeColor="text1"/>
          <w:sz w:val="24"/>
          <w14:textFill>
            <w14:solidFill>
              <w14:schemeClr w14:val="tx1"/>
            </w14:solidFill>
          </w14:textFill>
        </w:rPr>
        <w:t>GB 8702-2014</w:t>
      </w:r>
      <w:r>
        <w:rPr>
          <w:rFonts w:hint="eastAsia"/>
          <w:color w:val="000000" w:themeColor="text1"/>
          <w:sz w:val="24"/>
          <w14:textFill>
            <w14:solidFill>
              <w14:schemeClr w14:val="tx1"/>
            </w14:solidFill>
          </w14:textFill>
        </w:rPr>
        <w:t>，对电磁辐射防护的相关要求如下。</w:t>
      </w:r>
    </w:p>
    <w:p w14:paraId="3C6099B4">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公众曝露控制限值</w:t>
      </w:r>
    </w:p>
    <w:p w14:paraId="60F56B86">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为控制电场、磁场、电磁场所致公众曝露，环境中电场、磁场、电磁场场量参数的方均根值应满足表1要求。</w:t>
      </w:r>
    </w:p>
    <w:p w14:paraId="422AEB6A">
      <w:pPr>
        <w:widowControl/>
        <w:spacing w:line="360" w:lineRule="auto"/>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        公众</w:t>
      </w:r>
      <w:r>
        <w:rPr>
          <w:rFonts w:hint="eastAsia"/>
          <w:color w:val="000000" w:themeColor="text1"/>
          <w:sz w:val="24"/>
          <w14:textFill>
            <w14:solidFill>
              <w14:schemeClr w14:val="tx1"/>
            </w14:solidFill>
          </w14:textFill>
        </w:rPr>
        <w:t>曝露控制</w:t>
      </w:r>
      <w:r>
        <w:rPr>
          <w:color w:val="000000" w:themeColor="text1"/>
          <w:sz w:val="24"/>
          <w14:textFill>
            <w14:solidFill>
              <w14:schemeClr w14:val="tx1"/>
            </w14:solidFill>
          </w14:textFill>
        </w:rPr>
        <w:t>限值</w:t>
      </w:r>
    </w:p>
    <w:tbl>
      <w:tblPr>
        <w:tblStyle w:val="61"/>
        <w:tblW w:w="8998" w:type="dxa"/>
        <w:jc w:val="center"/>
        <w:tblLayout w:type="fixed"/>
        <w:tblCellMar>
          <w:top w:w="0" w:type="dxa"/>
          <w:left w:w="0" w:type="dxa"/>
          <w:bottom w:w="0" w:type="dxa"/>
          <w:right w:w="0" w:type="dxa"/>
        </w:tblCellMar>
      </w:tblPr>
      <w:tblGrid>
        <w:gridCol w:w="2258"/>
        <w:gridCol w:w="1739"/>
        <w:gridCol w:w="1740"/>
        <w:gridCol w:w="1739"/>
        <w:gridCol w:w="1522"/>
      </w:tblGrid>
      <w:tr w14:paraId="601663CE">
        <w:tblPrEx>
          <w:tblCellMar>
            <w:top w:w="0" w:type="dxa"/>
            <w:left w:w="0" w:type="dxa"/>
            <w:bottom w:w="0" w:type="dxa"/>
            <w:right w:w="0" w:type="dxa"/>
          </w:tblCellMar>
        </w:tblPrEx>
        <w:trPr>
          <w:trHeight w:val="1004" w:hRule="exact"/>
          <w:tblHeader/>
          <w:jc w:val="center"/>
        </w:trPr>
        <w:tc>
          <w:tcPr>
            <w:tcW w:w="2258" w:type="dxa"/>
            <w:tcBorders>
              <w:top w:val="single" w:color="000000" w:sz="8" w:space="0"/>
              <w:left w:val="single" w:color="000000" w:sz="8" w:space="0"/>
              <w:bottom w:val="single" w:color="000000" w:sz="8" w:space="0"/>
              <w:right w:val="single" w:color="000000" w:sz="4" w:space="0"/>
            </w:tcBorders>
            <w:vAlign w:val="center"/>
          </w:tcPr>
          <w:p w14:paraId="03962564">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频率范围</w:t>
            </w:r>
          </w:p>
        </w:tc>
        <w:tc>
          <w:tcPr>
            <w:tcW w:w="1739" w:type="dxa"/>
            <w:tcBorders>
              <w:top w:val="single" w:color="000000" w:sz="8" w:space="0"/>
              <w:left w:val="single" w:color="000000" w:sz="4" w:space="0"/>
              <w:bottom w:val="single" w:color="000000" w:sz="8" w:space="0"/>
              <w:right w:val="single" w:color="000000" w:sz="4" w:space="0"/>
            </w:tcBorders>
            <w:vAlign w:val="center"/>
          </w:tcPr>
          <w:p w14:paraId="322525A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电场强度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E</w:t>
            </w:r>
          </w:p>
          <w:p w14:paraId="5623281A">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（V/m）</w:t>
            </w:r>
          </w:p>
        </w:tc>
        <w:tc>
          <w:tcPr>
            <w:tcW w:w="1740" w:type="dxa"/>
            <w:tcBorders>
              <w:top w:val="single" w:color="000000" w:sz="8" w:space="0"/>
              <w:left w:val="single" w:color="000000" w:sz="4" w:space="0"/>
              <w:bottom w:val="single" w:color="000000" w:sz="8" w:space="0"/>
              <w:right w:val="single" w:color="000000" w:sz="4" w:space="0"/>
            </w:tcBorders>
            <w:vAlign w:val="center"/>
          </w:tcPr>
          <w:p w14:paraId="1DC64783">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磁场强度</w:t>
            </w:r>
            <w:r>
              <w:rPr>
                <w:rFonts w:ascii="宋体" w:hAnsi="宋体" w:eastAsia="等线"/>
                <w:color w:val="000000" w:themeColor="text1"/>
                <w:spacing w:val="-46"/>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H</w:t>
            </w:r>
          </w:p>
          <w:p w14:paraId="5AB22CC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（A/m）</w:t>
            </w:r>
          </w:p>
        </w:tc>
        <w:tc>
          <w:tcPr>
            <w:tcW w:w="1739" w:type="dxa"/>
            <w:tcBorders>
              <w:top w:val="single" w:color="000000" w:sz="8" w:space="0"/>
              <w:left w:val="single" w:color="000000" w:sz="4" w:space="0"/>
              <w:bottom w:val="single" w:color="000000" w:sz="8" w:space="0"/>
              <w:right w:val="single" w:color="000000" w:sz="4" w:space="0"/>
            </w:tcBorders>
            <w:vAlign w:val="center"/>
          </w:tcPr>
          <w:p w14:paraId="006DA7D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磁感应强度</w:t>
            </w:r>
            <w:r>
              <w:rPr>
                <w:rFonts w:ascii="宋体" w:hAnsi="宋体" w:eastAsia="等线"/>
                <w:color w:val="000000" w:themeColor="text1"/>
                <w:spacing w:val="-47"/>
                <w:kern w:val="0"/>
                <w:sz w:val="24"/>
                <w:lang w:eastAsia="en-US"/>
                <w14:textFill>
                  <w14:solidFill>
                    <w14:schemeClr w14:val="tx1"/>
                  </w14:solidFill>
                </w14:textFill>
              </w:rPr>
              <w:t xml:space="preserve"> </w:t>
            </w:r>
            <w:r>
              <w:rPr>
                <w:rFonts w:ascii="宋体" w:hAnsi="宋体" w:eastAsia="等线"/>
                <w:i/>
                <w:color w:val="000000" w:themeColor="text1"/>
                <w:kern w:val="0"/>
                <w:sz w:val="24"/>
                <w:lang w:eastAsia="en-US"/>
                <w14:textFill>
                  <w14:solidFill>
                    <w14:schemeClr w14:val="tx1"/>
                  </w14:solidFill>
                </w14:textFill>
              </w:rPr>
              <w:t>B</w:t>
            </w:r>
          </w:p>
          <w:p w14:paraId="09CD98A3">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（μT）</w:t>
            </w:r>
          </w:p>
        </w:tc>
        <w:tc>
          <w:tcPr>
            <w:tcW w:w="1522" w:type="dxa"/>
            <w:tcBorders>
              <w:top w:val="single" w:color="000000" w:sz="8" w:space="0"/>
              <w:left w:val="single" w:color="000000" w:sz="4" w:space="0"/>
              <w:bottom w:val="single" w:color="000000" w:sz="8" w:space="0"/>
              <w:right w:val="single" w:color="000000" w:sz="8" w:space="0"/>
            </w:tcBorders>
            <w:vAlign w:val="center"/>
          </w:tcPr>
          <w:p w14:paraId="2F656668">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等效平面波功率密 度 </w:t>
            </w:r>
            <w:r>
              <w:rPr>
                <w:rFonts w:ascii="宋体" w:hAnsi="宋体" w:eastAsia="等线"/>
                <w:i/>
                <w:color w:val="000000" w:themeColor="text1"/>
                <w:kern w:val="0"/>
                <w:sz w:val="24"/>
                <w:lang w:eastAsia="en-US"/>
                <w14:textFill>
                  <w14:solidFill>
                    <w14:schemeClr w14:val="tx1"/>
                  </w14:solidFill>
                </w14:textFill>
              </w:rPr>
              <w:t>S</w:t>
            </w:r>
            <w:r>
              <w:rPr>
                <w:rFonts w:ascii="宋体" w:hAnsi="宋体" w:eastAsia="等线"/>
                <w:color w:val="000000" w:themeColor="text1"/>
                <w:kern w:val="0"/>
                <w:position w:val="-2"/>
                <w:sz w:val="24"/>
                <w:lang w:eastAsia="en-US"/>
                <w14:textFill>
                  <w14:solidFill>
                    <w14:schemeClr w14:val="tx1"/>
                  </w14:solidFill>
                </w14:textFill>
              </w:rPr>
              <w:t>eq</w:t>
            </w:r>
            <w:r>
              <w:rPr>
                <w:rFonts w:ascii="宋体" w:hAnsi="宋体" w:eastAsia="等线"/>
                <w:color w:val="000000" w:themeColor="text1"/>
                <w:spacing w:val="11"/>
                <w:kern w:val="0"/>
                <w:position w:val="-2"/>
                <w:sz w:val="24"/>
                <w:lang w:eastAsia="en-US"/>
                <w14:textFill>
                  <w14:solidFill>
                    <w14:schemeClr w14:val="tx1"/>
                  </w14:solidFill>
                </w14:textFill>
              </w:rPr>
              <w:t xml:space="preserve"> </w:t>
            </w:r>
            <w:r>
              <w:rPr>
                <w:rFonts w:ascii="宋体" w:hAnsi="宋体" w:eastAsia="等线"/>
                <w:color w:val="000000" w:themeColor="text1"/>
                <w:kern w:val="0"/>
                <w:sz w:val="24"/>
                <w:lang w:eastAsia="en-US"/>
                <w14:textFill>
                  <w14:solidFill>
                    <w14:schemeClr w14:val="tx1"/>
                  </w14:solidFill>
                </w14:textFill>
              </w:rPr>
              <w:t>（W/m</w:t>
            </w:r>
            <w:r>
              <w:rPr>
                <w:rFonts w:ascii="宋体" w:hAnsi="宋体" w:eastAsia="等线"/>
                <w:color w:val="000000" w:themeColor="text1"/>
                <w:kern w:val="0"/>
                <w:position w:val="8"/>
                <w:sz w:val="24"/>
                <w:lang w:eastAsia="en-US"/>
                <w14:textFill>
                  <w14:solidFill>
                    <w14:schemeClr w14:val="tx1"/>
                  </w14:solidFill>
                </w14:textFill>
              </w:rPr>
              <w:t>2</w:t>
            </w:r>
            <w:r>
              <w:rPr>
                <w:rFonts w:ascii="宋体" w:hAnsi="宋体" w:eastAsia="等线"/>
                <w:color w:val="000000" w:themeColor="text1"/>
                <w:kern w:val="0"/>
                <w:sz w:val="24"/>
                <w:lang w:eastAsia="en-US"/>
                <w14:textFill>
                  <w14:solidFill>
                    <w14:schemeClr w14:val="tx1"/>
                  </w14:solidFill>
                </w14:textFill>
              </w:rPr>
              <w:t>）</w:t>
            </w:r>
          </w:p>
        </w:tc>
      </w:tr>
      <w:tr w14:paraId="26F47BE1">
        <w:tblPrEx>
          <w:tblCellMar>
            <w:top w:w="0" w:type="dxa"/>
            <w:left w:w="0" w:type="dxa"/>
            <w:bottom w:w="0" w:type="dxa"/>
            <w:right w:w="0" w:type="dxa"/>
          </w:tblCellMar>
        </w:tblPrEx>
        <w:trPr>
          <w:trHeight w:val="608" w:hRule="exact"/>
          <w:jc w:val="center"/>
        </w:trPr>
        <w:tc>
          <w:tcPr>
            <w:tcW w:w="2258" w:type="dxa"/>
            <w:tcBorders>
              <w:top w:val="single" w:color="000000" w:sz="8" w:space="0"/>
              <w:left w:val="single" w:color="000000" w:sz="8" w:space="0"/>
              <w:bottom w:val="single" w:color="000000" w:sz="4" w:space="0"/>
              <w:right w:val="single" w:color="000000" w:sz="4" w:space="0"/>
            </w:tcBorders>
            <w:vAlign w:val="center"/>
          </w:tcPr>
          <w:p w14:paraId="55FFCAF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1Hz~8Hz</w:t>
            </w:r>
          </w:p>
        </w:tc>
        <w:tc>
          <w:tcPr>
            <w:tcW w:w="1739" w:type="dxa"/>
            <w:tcBorders>
              <w:top w:val="single" w:color="000000" w:sz="8" w:space="0"/>
              <w:left w:val="single" w:color="000000" w:sz="4" w:space="0"/>
              <w:bottom w:val="single" w:color="000000" w:sz="4" w:space="0"/>
              <w:right w:val="single" w:color="000000" w:sz="4" w:space="0"/>
            </w:tcBorders>
            <w:vAlign w:val="center"/>
          </w:tcPr>
          <w:p w14:paraId="511B1258">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8" w:space="0"/>
              <w:left w:val="single" w:color="000000" w:sz="4" w:space="0"/>
              <w:bottom w:val="single" w:color="000000" w:sz="4" w:space="0"/>
              <w:right w:val="single" w:color="000000" w:sz="4" w:space="0"/>
            </w:tcBorders>
            <w:vAlign w:val="center"/>
          </w:tcPr>
          <w:p w14:paraId="169B89E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32000/</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1"/>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2</w:t>
            </w:r>
          </w:p>
        </w:tc>
        <w:tc>
          <w:tcPr>
            <w:tcW w:w="1739" w:type="dxa"/>
            <w:tcBorders>
              <w:top w:val="single" w:color="000000" w:sz="8" w:space="0"/>
              <w:left w:val="single" w:color="000000" w:sz="4" w:space="0"/>
              <w:bottom w:val="single" w:color="000000" w:sz="4" w:space="0"/>
              <w:right w:val="single" w:color="000000" w:sz="4" w:space="0"/>
            </w:tcBorders>
            <w:vAlign w:val="center"/>
          </w:tcPr>
          <w:p w14:paraId="6806CEF1">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40000/</w:t>
            </w: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position w:val="8"/>
                <w:sz w:val="24"/>
                <w:lang w:eastAsia="en-US"/>
                <w14:textFill>
                  <w14:solidFill>
                    <w14:schemeClr w14:val="tx1"/>
                  </w14:solidFill>
                </w14:textFill>
              </w:rPr>
              <w:t>2</w:t>
            </w:r>
          </w:p>
        </w:tc>
        <w:tc>
          <w:tcPr>
            <w:tcW w:w="1522" w:type="dxa"/>
            <w:tcBorders>
              <w:top w:val="single" w:color="000000" w:sz="8" w:space="0"/>
              <w:left w:val="single" w:color="000000" w:sz="4" w:space="0"/>
              <w:bottom w:val="single" w:color="000000" w:sz="4" w:space="0"/>
              <w:right w:val="single" w:color="000000" w:sz="8" w:space="0"/>
            </w:tcBorders>
            <w:vAlign w:val="center"/>
          </w:tcPr>
          <w:p w14:paraId="683DD3D5">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66A7F9FE">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0C4136F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8Hz~25Hz</w:t>
            </w:r>
          </w:p>
        </w:tc>
        <w:tc>
          <w:tcPr>
            <w:tcW w:w="1739" w:type="dxa"/>
            <w:tcBorders>
              <w:top w:val="single" w:color="000000" w:sz="4" w:space="0"/>
              <w:left w:val="single" w:color="000000" w:sz="4" w:space="0"/>
              <w:bottom w:val="single" w:color="000000" w:sz="4" w:space="0"/>
              <w:right w:val="single" w:color="000000" w:sz="4" w:space="0"/>
            </w:tcBorders>
            <w:vAlign w:val="center"/>
          </w:tcPr>
          <w:p w14:paraId="3CE74FF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8000</w:t>
            </w:r>
          </w:p>
        </w:tc>
        <w:tc>
          <w:tcPr>
            <w:tcW w:w="1740" w:type="dxa"/>
            <w:tcBorders>
              <w:top w:val="single" w:color="000000" w:sz="4" w:space="0"/>
              <w:left w:val="single" w:color="000000" w:sz="4" w:space="0"/>
              <w:bottom w:val="single" w:color="000000" w:sz="4" w:space="0"/>
              <w:right w:val="single" w:color="000000" w:sz="4" w:space="0"/>
            </w:tcBorders>
            <w:vAlign w:val="center"/>
          </w:tcPr>
          <w:p w14:paraId="10F49313">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14:paraId="11BB048A">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5000/</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14:paraId="4EA9E44B">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6710A605">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552E82E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0.025kHz~1.2kHz</w:t>
            </w:r>
          </w:p>
        </w:tc>
        <w:tc>
          <w:tcPr>
            <w:tcW w:w="1739" w:type="dxa"/>
            <w:tcBorders>
              <w:top w:val="single" w:color="000000" w:sz="4" w:space="0"/>
              <w:left w:val="single" w:color="000000" w:sz="4" w:space="0"/>
              <w:bottom w:val="single" w:color="000000" w:sz="4" w:space="0"/>
              <w:right w:val="single" w:color="000000" w:sz="4" w:space="0"/>
            </w:tcBorders>
            <w:vAlign w:val="center"/>
          </w:tcPr>
          <w:p w14:paraId="7461AF63">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14:paraId="62925B61">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14:paraId="23C8802A">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14:paraId="5DE9A29F">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088B04DE">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04BDFC1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1.2kHz~2.9kHz</w:t>
            </w:r>
          </w:p>
        </w:tc>
        <w:tc>
          <w:tcPr>
            <w:tcW w:w="1739" w:type="dxa"/>
            <w:tcBorders>
              <w:top w:val="single" w:color="000000" w:sz="4" w:space="0"/>
              <w:left w:val="single" w:color="000000" w:sz="4" w:space="0"/>
              <w:bottom w:val="single" w:color="000000" w:sz="4" w:space="0"/>
              <w:right w:val="single" w:color="000000" w:sz="4" w:space="0"/>
            </w:tcBorders>
            <w:vAlign w:val="center"/>
          </w:tcPr>
          <w:p w14:paraId="077DA667">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14:paraId="7A6563E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3.3</w:t>
            </w:r>
          </w:p>
        </w:tc>
        <w:tc>
          <w:tcPr>
            <w:tcW w:w="1739" w:type="dxa"/>
            <w:tcBorders>
              <w:top w:val="single" w:color="000000" w:sz="4" w:space="0"/>
              <w:left w:val="single" w:color="000000" w:sz="4" w:space="0"/>
              <w:bottom w:val="single" w:color="000000" w:sz="4" w:space="0"/>
              <w:right w:val="single" w:color="000000" w:sz="4" w:space="0"/>
            </w:tcBorders>
            <w:vAlign w:val="center"/>
          </w:tcPr>
          <w:p w14:paraId="1EB7893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4.1</w:t>
            </w:r>
          </w:p>
        </w:tc>
        <w:tc>
          <w:tcPr>
            <w:tcW w:w="1522" w:type="dxa"/>
            <w:tcBorders>
              <w:top w:val="single" w:color="000000" w:sz="4" w:space="0"/>
              <w:left w:val="single" w:color="000000" w:sz="4" w:space="0"/>
              <w:bottom w:val="single" w:color="000000" w:sz="4" w:space="0"/>
              <w:right w:val="single" w:color="000000" w:sz="8" w:space="0"/>
            </w:tcBorders>
            <w:vAlign w:val="center"/>
          </w:tcPr>
          <w:p w14:paraId="0218B2AB">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5F9D7874">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58467BB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2.9kHz~57kHz</w:t>
            </w:r>
          </w:p>
        </w:tc>
        <w:tc>
          <w:tcPr>
            <w:tcW w:w="1739" w:type="dxa"/>
            <w:tcBorders>
              <w:top w:val="single" w:color="000000" w:sz="4" w:space="0"/>
              <w:left w:val="single" w:color="000000" w:sz="4" w:space="0"/>
              <w:bottom w:val="single" w:color="000000" w:sz="4" w:space="0"/>
              <w:right w:val="single" w:color="000000" w:sz="4" w:space="0"/>
            </w:tcBorders>
            <w:vAlign w:val="center"/>
          </w:tcPr>
          <w:p w14:paraId="2304D565">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70</w:t>
            </w:r>
          </w:p>
        </w:tc>
        <w:tc>
          <w:tcPr>
            <w:tcW w:w="1740" w:type="dxa"/>
            <w:tcBorders>
              <w:top w:val="single" w:color="000000" w:sz="4" w:space="0"/>
              <w:left w:val="single" w:color="000000" w:sz="4" w:space="0"/>
              <w:bottom w:val="single" w:color="000000" w:sz="4" w:space="0"/>
              <w:right w:val="single" w:color="000000" w:sz="4" w:space="0"/>
            </w:tcBorders>
            <w:vAlign w:val="center"/>
          </w:tcPr>
          <w:p w14:paraId="0B7B378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14:paraId="110E9DA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14:paraId="78C2AE1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3FD40DF5">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3722DAB9">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57kHz~100kHz</w:t>
            </w:r>
          </w:p>
        </w:tc>
        <w:tc>
          <w:tcPr>
            <w:tcW w:w="1739" w:type="dxa"/>
            <w:tcBorders>
              <w:top w:val="single" w:color="000000" w:sz="4" w:space="0"/>
              <w:left w:val="single" w:color="000000" w:sz="4" w:space="0"/>
              <w:bottom w:val="single" w:color="000000" w:sz="4" w:space="0"/>
              <w:right w:val="single" w:color="000000" w:sz="4" w:space="0"/>
            </w:tcBorders>
            <w:vAlign w:val="center"/>
          </w:tcPr>
          <w:p w14:paraId="4F2DCA37">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4000/</w:t>
            </w:r>
            <w:r>
              <w:rPr>
                <w:rFonts w:ascii="宋体" w:hAnsi="宋体" w:eastAsia="等线"/>
                <w:i/>
                <w:color w:val="000000" w:themeColor="text1"/>
                <w:kern w:val="0"/>
                <w:sz w:val="24"/>
                <w:lang w:eastAsia="en-US"/>
                <w14:textFill>
                  <w14:solidFill>
                    <w14:schemeClr w14:val="tx1"/>
                  </w14:solidFill>
                </w14:textFill>
              </w:rPr>
              <w:t>f</w:t>
            </w:r>
          </w:p>
        </w:tc>
        <w:tc>
          <w:tcPr>
            <w:tcW w:w="1740" w:type="dxa"/>
            <w:tcBorders>
              <w:top w:val="single" w:color="000000" w:sz="4" w:space="0"/>
              <w:left w:val="single" w:color="000000" w:sz="4" w:space="0"/>
              <w:bottom w:val="single" w:color="000000" w:sz="4" w:space="0"/>
              <w:right w:val="single" w:color="000000" w:sz="4" w:space="0"/>
            </w:tcBorders>
            <w:vAlign w:val="center"/>
          </w:tcPr>
          <w:p w14:paraId="2AB3861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10/</w:t>
            </w:r>
            <w:r>
              <w:rPr>
                <w:rFonts w:ascii="宋体" w:hAnsi="宋体" w:eastAsia="等线"/>
                <w:i/>
                <w:color w:val="000000" w:themeColor="text1"/>
                <w:kern w:val="0"/>
                <w:sz w:val="24"/>
                <w:lang w:eastAsia="en-US"/>
                <w14:textFill>
                  <w14:solidFill>
                    <w14:schemeClr w14:val="tx1"/>
                  </w14:solidFill>
                </w14:textFill>
              </w:rPr>
              <w:t>f</w:t>
            </w:r>
          </w:p>
        </w:tc>
        <w:tc>
          <w:tcPr>
            <w:tcW w:w="1739" w:type="dxa"/>
            <w:tcBorders>
              <w:top w:val="single" w:color="000000" w:sz="4" w:space="0"/>
              <w:left w:val="single" w:color="000000" w:sz="4" w:space="0"/>
              <w:bottom w:val="single" w:color="000000" w:sz="4" w:space="0"/>
              <w:right w:val="single" w:color="000000" w:sz="4" w:space="0"/>
            </w:tcBorders>
            <w:vAlign w:val="center"/>
          </w:tcPr>
          <w:p w14:paraId="442CA9C0">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c>
          <w:tcPr>
            <w:tcW w:w="1522" w:type="dxa"/>
            <w:tcBorders>
              <w:top w:val="single" w:color="000000" w:sz="4" w:space="0"/>
              <w:left w:val="single" w:color="000000" w:sz="4" w:space="0"/>
              <w:bottom w:val="single" w:color="000000" w:sz="4" w:space="0"/>
              <w:right w:val="single" w:color="000000" w:sz="8" w:space="0"/>
            </w:tcBorders>
            <w:vAlign w:val="center"/>
          </w:tcPr>
          <w:p w14:paraId="007912D4">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w:t>
            </w:r>
          </w:p>
        </w:tc>
      </w:tr>
      <w:tr w14:paraId="628B35A3">
        <w:tblPrEx>
          <w:tblCellMar>
            <w:top w:w="0" w:type="dxa"/>
            <w:left w:w="0" w:type="dxa"/>
            <w:bottom w:w="0" w:type="dxa"/>
            <w:right w:w="0" w:type="dxa"/>
          </w:tblCellMar>
        </w:tblPrEx>
        <w:trPr>
          <w:trHeight w:val="601"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452839A9">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0.1MHz~3MHz</w:t>
            </w:r>
          </w:p>
        </w:tc>
        <w:tc>
          <w:tcPr>
            <w:tcW w:w="1739" w:type="dxa"/>
            <w:tcBorders>
              <w:top w:val="single" w:color="000000" w:sz="4" w:space="0"/>
              <w:left w:val="single" w:color="000000" w:sz="4" w:space="0"/>
              <w:bottom w:val="single" w:color="000000" w:sz="4" w:space="0"/>
              <w:right w:val="single" w:color="000000" w:sz="4" w:space="0"/>
            </w:tcBorders>
            <w:vAlign w:val="center"/>
          </w:tcPr>
          <w:p w14:paraId="3338DC8A">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40</w:t>
            </w:r>
          </w:p>
        </w:tc>
        <w:tc>
          <w:tcPr>
            <w:tcW w:w="1740" w:type="dxa"/>
            <w:tcBorders>
              <w:top w:val="single" w:color="000000" w:sz="4" w:space="0"/>
              <w:left w:val="single" w:color="000000" w:sz="4" w:space="0"/>
              <w:bottom w:val="single" w:color="000000" w:sz="4" w:space="0"/>
              <w:right w:val="single" w:color="000000" w:sz="4" w:space="0"/>
            </w:tcBorders>
            <w:vAlign w:val="center"/>
          </w:tcPr>
          <w:p w14:paraId="2771734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w:t>
            </w:r>
          </w:p>
        </w:tc>
        <w:tc>
          <w:tcPr>
            <w:tcW w:w="1739" w:type="dxa"/>
            <w:tcBorders>
              <w:top w:val="single" w:color="000000" w:sz="4" w:space="0"/>
              <w:left w:val="single" w:color="000000" w:sz="4" w:space="0"/>
              <w:bottom w:val="single" w:color="000000" w:sz="4" w:space="0"/>
              <w:right w:val="single" w:color="000000" w:sz="4" w:space="0"/>
            </w:tcBorders>
            <w:vAlign w:val="center"/>
          </w:tcPr>
          <w:p w14:paraId="46610A4B">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0.12</w:t>
            </w:r>
          </w:p>
        </w:tc>
        <w:tc>
          <w:tcPr>
            <w:tcW w:w="1522" w:type="dxa"/>
            <w:tcBorders>
              <w:top w:val="single" w:color="000000" w:sz="4" w:space="0"/>
              <w:left w:val="single" w:color="000000" w:sz="4" w:space="0"/>
              <w:bottom w:val="single" w:color="000000" w:sz="4" w:space="0"/>
              <w:right w:val="single" w:color="000000" w:sz="8" w:space="0"/>
            </w:tcBorders>
            <w:vAlign w:val="center"/>
          </w:tcPr>
          <w:p w14:paraId="13D4B75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4</w:t>
            </w:r>
          </w:p>
        </w:tc>
      </w:tr>
      <w:tr w14:paraId="72189CFA">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119599AA">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3MHz~30MHz</w:t>
            </w:r>
          </w:p>
        </w:tc>
        <w:tc>
          <w:tcPr>
            <w:tcW w:w="1739" w:type="dxa"/>
            <w:tcBorders>
              <w:top w:val="single" w:color="000000" w:sz="4" w:space="0"/>
              <w:left w:val="single" w:color="000000" w:sz="4" w:space="0"/>
              <w:bottom w:val="single" w:color="000000" w:sz="4" w:space="0"/>
              <w:right w:val="single" w:color="000000" w:sz="4" w:space="0"/>
            </w:tcBorders>
            <w:vAlign w:val="center"/>
          </w:tcPr>
          <w:p w14:paraId="3334D45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67/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14:paraId="0CC3EA2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0.17/</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14:paraId="52FB738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0.21/</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14:paraId="138BB7D8">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r>
              <w:rPr>
                <w:rFonts w:ascii="宋体" w:hAnsi="宋体" w:eastAsia="等线"/>
                <w:i/>
                <w:color w:val="000000" w:themeColor="text1"/>
                <w:kern w:val="0"/>
                <w:sz w:val="24"/>
                <w:lang w:eastAsia="en-US"/>
                <w14:textFill>
                  <w14:solidFill>
                    <w14:schemeClr w14:val="tx1"/>
                  </w14:solidFill>
                </w14:textFill>
              </w:rPr>
              <w:t>f</w:t>
            </w:r>
          </w:p>
        </w:tc>
      </w:tr>
      <w:tr w14:paraId="37D00CEF">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354B15E9">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30MHz~3000MHz</w:t>
            </w:r>
          </w:p>
        </w:tc>
        <w:tc>
          <w:tcPr>
            <w:tcW w:w="1739" w:type="dxa"/>
            <w:tcBorders>
              <w:top w:val="single" w:color="000000" w:sz="4" w:space="0"/>
              <w:left w:val="single" w:color="000000" w:sz="4" w:space="0"/>
              <w:bottom w:val="single" w:color="000000" w:sz="4" w:space="0"/>
              <w:right w:val="single" w:color="000000" w:sz="4" w:space="0"/>
            </w:tcBorders>
            <w:vAlign w:val="center"/>
          </w:tcPr>
          <w:p w14:paraId="1C94657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14:paraId="040617B9">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0.032</w:t>
            </w:r>
          </w:p>
        </w:tc>
        <w:tc>
          <w:tcPr>
            <w:tcW w:w="1739" w:type="dxa"/>
            <w:tcBorders>
              <w:top w:val="single" w:color="000000" w:sz="4" w:space="0"/>
              <w:left w:val="single" w:color="000000" w:sz="4" w:space="0"/>
              <w:bottom w:val="single" w:color="000000" w:sz="4" w:space="0"/>
              <w:right w:val="single" w:color="000000" w:sz="4" w:space="0"/>
            </w:tcBorders>
            <w:vAlign w:val="center"/>
          </w:tcPr>
          <w:p w14:paraId="78C8C73B">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0.04</w:t>
            </w:r>
          </w:p>
        </w:tc>
        <w:tc>
          <w:tcPr>
            <w:tcW w:w="1522" w:type="dxa"/>
            <w:tcBorders>
              <w:top w:val="single" w:color="000000" w:sz="4" w:space="0"/>
              <w:left w:val="single" w:color="000000" w:sz="4" w:space="0"/>
              <w:bottom w:val="single" w:color="000000" w:sz="4" w:space="0"/>
              <w:right w:val="single" w:color="000000" w:sz="8" w:space="0"/>
            </w:tcBorders>
            <w:vAlign w:val="center"/>
          </w:tcPr>
          <w:p w14:paraId="4990170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0.4</w:t>
            </w:r>
          </w:p>
        </w:tc>
      </w:tr>
      <w:tr w14:paraId="57759EB2">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4" w:space="0"/>
              <w:right w:val="single" w:color="000000" w:sz="4" w:space="0"/>
            </w:tcBorders>
            <w:vAlign w:val="center"/>
          </w:tcPr>
          <w:p w14:paraId="438CF8CD">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3000MHz~15000MHz</w:t>
            </w:r>
          </w:p>
        </w:tc>
        <w:tc>
          <w:tcPr>
            <w:tcW w:w="1739" w:type="dxa"/>
            <w:tcBorders>
              <w:top w:val="single" w:color="000000" w:sz="4" w:space="0"/>
              <w:left w:val="single" w:color="000000" w:sz="4" w:space="0"/>
              <w:bottom w:val="single" w:color="000000" w:sz="4" w:space="0"/>
              <w:right w:val="single" w:color="000000" w:sz="4" w:space="0"/>
            </w:tcBorders>
            <w:vAlign w:val="center"/>
          </w:tcPr>
          <w:p w14:paraId="1231B15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0.22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40" w:type="dxa"/>
            <w:tcBorders>
              <w:top w:val="single" w:color="000000" w:sz="4" w:space="0"/>
              <w:left w:val="single" w:color="000000" w:sz="4" w:space="0"/>
              <w:bottom w:val="single" w:color="000000" w:sz="4" w:space="0"/>
              <w:right w:val="single" w:color="000000" w:sz="4" w:space="0"/>
            </w:tcBorders>
            <w:vAlign w:val="center"/>
          </w:tcPr>
          <w:p w14:paraId="176DC495">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0.00059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739" w:type="dxa"/>
            <w:tcBorders>
              <w:top w:val="single" w:color="000000" w:sz="4" w:space="0"/>
              <w:left w:val="single" w:color="000000" w:sz="4" w:space="0"/>
              <w:bottom w:val="single" w:color="000000" w:sz="4" w:space="0"/>
              <w:right w:val="single" w:color="000000" w:sz="4" w:space="0"/>
            </w:tcBorders>
            <w:vAlign w:val="center"/>
          </w:tcPr>
          <w:p w14:paraId="691B3768">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 xml:space="preserve">0.00074 </w:t>
            </w:r>
            <w:r>
              <w:rPr>
                <w:rFonts w:ascii="宋体" w:hAnsi="宋体" w:eastAsia="等线"/>
                <w:i/>
                <w:color w:val="000000" w:themeColor="text1"/>
                <w:kern w:val="0"/>
                <w:sz w:val="24"/>
                <w:lang w:eastAsia="en-US"/>
                <w14:textFill>
                  <w14:solidFill>
                    <w14:schemeClr w14:val="tx1"/>
                  </w14:solidFill>
                </w14:textFill>
              </w:rPr>
              <w:t>f</w:t>
            </w:r>
            <w:r>
              <w:rPr>
                <w:rFonts w:ascii="宋体" w:hAnsi="宋体" w:eastAsia="等线"/>
                <w:i/>
                <w:color w:val="000000" w:themeColor="text1"/>
                <w:spacing w:val="-2"/>
                <w:kern w:val="0"/>
                <w:sz w:val="24"/>
                <w:lang w:eastAsia="en-US"/>
                <w14:textFill>
                  <w14:solidFill>
                    <w14:schemeClr w14:val="tx1"/>
                  </w14:solidFill>
                </w14:textFill>
              </w:rPr>
              <w:t xml:space="preserve"> </w:t>
            </w:r>
            <w:r>
              <w:rPr>
                <w:rFonts w:ascii="宋体" w:hAnsi="宋体" w:eastAsia="等线"/>
                <w:color w:val="000000" w:themeColor="text1"/>
                <w:kern w:val="0"/>
                <w:position w:val="8"/>
                <w:sz w:val="24"/>
                <w:lang w:eastAsia="en-US"/>
                <w14:textFill>
                  <w14:solidFill>
                    <w14:schemeClr w14:val="tx1"/>
                  </w14:solidFill>
                </w14:textFill>
              </w:rPr>
              <w:t>1/2</w:t>
            </w:r>
          </w:p>
        </w:tc>
        <w:tc>
          <w:tcPr>
            <w:tcW w:w="1522" w:type="dxa"/>
            <w:tcBorders>
              <w:top w:val="single" w:color="000000" w:sz="4" w:space="0"/>
              <w:left w:val="single" w:color="000000" w:sz="4" w:space="0"/>
              <w:bottom w:val="single" w:color="000000" w:sz="4" w:space="0"/>
              <w:right w:val="single" w:color="000000" w:sz="8" w:space="0"/>
            </w:tcBorders>
            <w:vAlign w:val="center"/>
          </w:tcPr>
          <w:p w14:paraId="54298239">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i/>
                <w:color w:val="000000" w:themeColor="text1"/>
                <w:kern w:val="0"/>
                <w:sz w:val="24"/>
                <w:lang w:eastAsia="en-US"/>
                <w14:textFill>
                  <w14:solidFill>
                    <w14:schemeClr w14:val="tx1"/>
                  </w14:solidFill>
                </w14:textFill>
              </w:rPr>
              <w:t xml:space="preserve">f </w:t>
            </w:r>
            <w:r>
              <w:rPr>
                <w:rFonts w:ascii="宋体" w:hAnsi="宋体" w:eastAsia="等线"/>
                <w:color w:val="000000" w:themeColor="text1"/>
                <w:kern w:val="0"/>
                <w:sz w:val="24"/>
                <w:lang w:eastAsia="en-US"/>
                <w14:textFill>
                  <w14:solidFill>
                    <w14:schemeClr w14:val="tx1"/>
                  </w14:solidFill>
                </w14:textFill>
              </w:rPr>
              <w:t>/7500</w:t>
            </w:r>
          </w:p>
        </w:tc>
      </w:tr>
      <w:tr w14:paraId="2C06C43A">
        <w:tblPrEx>
          <w:tblCellMar>
            <w:top w:w="0" w:type="dxa"/>
            <w:left w:w="0" w:type="dxa"/>
            <w:bottom w:w="0" w:type="dxa"/>
            <w:right w:w="0" w:type="dxa"/>
          </w:tblCellMar>
        </w:tblPrEx>
        <w:trPr>
          <w:trHeight w:val="608" w:hRule="exact"/>
          <w:jc w:val="center"/>
        </w:trPr>
        <w:tc>
          <w:tcPr>
            <w:tcW w:w="2258" w:type="dxa"/>
            <w:tcBorders>
              <w:top w:val="single" w:color="000000" w:sz="4" w:space="0"/>
              <w:left w:val="single" w:color="000000" w:sz="8" w:space="0"/>
              <w:bottom w:val="single" w:color="000000" w:sz="8" w:space="0"/>
              <w:right w:val="single" w:color="000000" w:sz="4" w:space="0"/>
            </w:tcBorders>
            <w:vAlign w:val="center"/>
          </w:tcPr>
          <w:p w14:paraId="5655F246">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15GHz~300GHz</w:t>
            </w:r>
          </w:p>
        </w:tc>
        <w:tc>
          <w:tcPr>
            <w:tcW w:w="1739" w:type="dxa"/>
            <w:tcBorders>
              <w:top w:val="single" w:color="000000" w:sz="4" w:space="0"/>
              <w:left w:val="single" w:color="000000" w:sz="4" w:space="0"/>
              <w:bottom w:val="single" w:color="000000" w:sz="8" w:space="0"/>
              <w:right w:val="single" w:color="000000" w:sz="4" w:space="0"/>
            </w:tcBorders>
            <w:vAlign w:val="center"/>
          </w:tcPr>
          <w:p w14:paraId="3A3C3894">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27</w:t>
            </w:r>
          </w:p>
        </w:tc>
        <w:tc>
          <w:tcPr>
            <w:tcW w:w="1740" w:type="dxa"/>
            <w:tcBorders>
              <w:top w:val="single" w:color="000000" w:sz="4" w:space="0"/>
              <w:left w:val="single" w:color="000000" w:sz="4" w:space="0"/>
              <w:bottom w:val="single" w:color="000000" w:sz="8" w:space="0"/>
              <w:right w:val="single" w:color="000000" w:sz="4" w:space="0"/>
            </w:tcBorders>
            <w:vAlign w:val="center"/>
          </w:tcPr>
          <w:p w14:paraId="335354B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0.073</w:t>
            </w:r>
          </w:p>
        </w:tc>
        <w:tc>
          <w:tcPr>
            <w:tcW w:w="1739" w:type="dxa"/>
            <w:tcBorders>
              <w:top w:val="single" w:color="000000" w:sz="4" w:space="0"/>
              <w:left w:val="single" w:color="000000" w:sz="4" w:space="0"/>
              <w:bottom w:val="single" w:color="000000" w:sz="8" w:space="0"/>
              <w:right w:val="single" w:color="000000" w:sz="4" w:space="0"/>
            </w:tcBorders>
            <w:vAlign w:val="center"/>
          </w:tcPr>
          <w:p w14:paraId="1EE6C1BC">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0.092</w:t>
            </w:r>
          </w:p>
        </w:tc>
        <w:tc>
          <w:tcPr>
            <w:tcW w:w="1522" w:type="dxa"/>
            <w:tcBorders>
              <w:top w:val="single" w:color="000000" w:sz="4" w:space="0"/>
              <w:left w:val="single" w:color="000000" w:sz="4" w:space="0"/>
              <w:bottom w:val="single" w:color="000000" w:sz="8" w:space="0"/>
              <w:right w:val="single" w:color="000000" w:sz="8" w:space="0"/>
            </w:tcBorders>
            <w:vAlign w:val="center"/>
          </w:tcPr>
          <w:p w14:paraId="15A3126E">
            <w:pPr>
              <w:spacing w:line="360" w:lineRule="auto"/>
              <w:jc w:val="center"/>
              <w:rPr>
                <w:rFonts w:hint="eastAsia" w:ascii="宋体" w:hAnsi="宋体" w:eastAsia="等线"/>
                <w:color w:val="000000" w:themeColor="text1"/>
                <w:kern w:val="0"/>
                <w:sz w:val="24"/>
                <w:lang w:eastAsia="en-US"/>
                <w14:textFill>
                  <w14:solidFill>
                    <w14:schemeClr w14:val="tx1"/>
                  </w14:solidFill>
                </w14:textFill>
              </w:rPr>
            </w:pPr>
            <w:r>
              <w:rPr>
                <w:rFonts w:ascii="宋体" w:hAnsi="宋体" w:eastAsia="等线"/>
                <w:color w:val="000000" w:themeColor="text1"/>
                <w:kern w:val="0"/>
                <w:sz w:val="24"/>
                <w:lang w:eastAsia="en-US"/>
                <w14:textFill>
                  <w14:solidFill>
                    <w14:schemeClr w14:val="tx1"/>
                  </w14:solidFill>
                </w14:textFill>
              </w:rPr>
              <w:t>2</w:t>
            </w:r>
          </w:p>
        </w:tc>
      </w:tr>
    </w:tbl>
    <w:p w14:paraId="1AA2BCBD">
      <w:pPr>
        <w:widowControl/>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注1：频率 f 的单位为所在行中第一栏的单位。</w:t>
      </w:r>
    </w:p>
    <w:p w14:paraId="702F6610">
      <w:pPr>
        <w:widowControl/>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注2：0.1MHz~300GHz 频率，场量参数是任意连续 6 分钟内的方均根值。</w:t>
      </w:r>
    </w:p>
    <w:p w14:paraId="656B77FC">
      <w:pPr>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注</w:t>
      </w:r>
      <w:r>
        <w:rPr>
          <w:color w:val="000000" w:themeColor="text1"/>
          <w:sz w:val="24"/>
          <w14:textFill>
            <w14:solidFill>
              <w14:schemeClr w14:val="tx1"/>
            </w14:solidFill>
          </w14:textFill>
        </w:rPr>
        <w:t>3：100kHz 以下频率，需同时限制电场强度和磁感应强度；100kHz 以上频率，在远场区，可以只限制电场强度或 磁场强度，或等效平面波功率密度，在近场区，需同时限制电场强度和磁场强度。</w:t>
      </w:r>
    </w:p>
    <w:p w14:paraId="66E6E845">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对于限值，有以下补充说明：</w:t>
      </w:r>
    </w:p>
    <w:p w14:paraId="43698438">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）、对于一个辐射体发射几种频率或存在多个辐射体时，其电磁辐射场的场量参数在任意连续</w:t>
      </w:r>
      <w:r>
        <w:rPr>
          <w:color w:val="000000" w:themeColor="text1"/>
          <w:sz w:val="24"/>
          <w14:textFill>
            <w14:solidFill>
              <w14:schemeClr w14:val="tx1"/>
            </w14:solidFill>
          </w14:textFill>
        </w:rPr>
        <w:t>6MIN</w:t>
      </w:r>
      <w:r>
        <w:rPr>
          <w:rFonts w:hint="eastAsia"/>
          <w:color w:val="000000" w:themeColor="text1"/>
          <w:sz w:val="24"/>
          <w14:textFill>
            <w14:solidFill>
              <w14:schemeClr w14:val="tx1"/>
            </w14:solidFill>
          </w14:textFill>
        </w:rPr>
        <w:t>内的平均值之和，应满足下列公式：</w:t>
      </w:r>
    </w:p>
    <w:p w14:paraId="42023A6D">
      <w:pPr>
        <w:ind w:firstLine="420" w:firstLineChars="200"/>
        <w:rPr>
          <w:color w:val="000000" w:themeColor="text1"/>
          <w14:textFill>
            <w14:solidFill>
              <w14:schemeClr w14:val="tx1"/>
            </w14:solidFill>
          </w14:textFill>
        </w:rPr>
      </w:pPr>
      <w:r>
        <w:rPr>
          <w:color w:val="000000" w:themeColor="text1"/>
          <w14:textFill>
            <w14:solidFill>
              <w14:schemeClr w14:val="tx1"/>
            </w14:solidFill>
          </w14:textFill>
        </w:rPr>
        <w:pict>
          <v:shape id="_x0000_s2052" o:spid="_x0000_s2052" o:spt="75" type="#_x0000_t75" style="position:absolute;left:0pt;margin-left:136.05pt;margin-top:0pt;height:37pt;width:73pt;mso-wrap-distance-left:9pt;mso-wrap-distance-right:9pt;z-index:-251656192;mso-width-relative:page;mso-height-relative:page;" o:ole="t" filled="f" o:preferrelative="t" stroked="f" coordsize="21600,21600" wrapcoords="11579 2204 1113 5731 223 6612 1559 9257 223 14106 1781 16310 1781 19837 12247 19837 13361 19837 14697 19837 16033 18073 15810 16310 17814 16310 21155 11902 21377 7935 19373 6171 12470 2204 11579 2204">
            <v:path/>
            <v:fill on="f" focussize="0,0"/>
            <v:stroke on="f" joinstyle="miter"/>
            <v:imagedata r:id="rId13" o:title=""/>
            <o:lock v:ext="edit" aspectratio="t"/>
            <w10:wrap type="tight"/>
          </v:shape>
          <o:OLEObject Type="Embed" ProgID="Equation.DSMT4" ShapeID="_x0000_s2052" DrawAspect="Content" ObjectID="_1468075725" r:id="rId12">
            <o:LockedField>false</o:LockedField>
          </o:OLEObject>
        </w:pict>
      </w:r>
    </w:p>
    <w:p w14:paraId="6A883885">
      <w:pPr>
        <w:widowControl/>
        <w:ind w:firstLine="420" w:firstLineChars="200"/>
        <w:rPr>
          <w:color w:val="000000" w:themeColor="text1"/>
          <w14:textFill>
            <w14:solidFill>
              <w14:schemeClr w14:val="tx1"/>
            </w14:solidFill>
          </w14:textFill>
        </w:rPr>
      </w:pPr>
    </w:p>
    <w:p w14:paraId="06ED26C1">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式中：第</w:t>
      </w:r>
      <w:r>
        <w:rPr>
          <w:color w:val="000000" w:themeColor="text1"/>
          <w:sz w:val="24"/>
          <w14:textFill>
            <w14:solidFill>
              <w14:schemeClr w14:val="tx1"/>
            </w14:solidFill>
          </w14:textFill>
        </w:rPr>
        <w:t>i</w:t>
      </w:r>
      <w:r>
        <w:rPr>
          <w:rFonts w:hint="eastAsia"/>
          <w:color w:val="000000" w:themeColor="text1"/>
          <w:sz w:val="24"/>
          <w14:textFill>
            <w14:solidFill>
              <w14:schemeClr w14:val="tx1"/>
            </w14:solidFill>
          </w14:textFill>
        </w:rPr>
        <w:t>个辐射体</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频段辐射的发射水平；对应于</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泼动的电磁辐射所规定的照射限值。</w:t>
      </w:r>
    </w:p>
    <w:p w14:paraId="52F464D2">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）、对于脉冲电磁波，除满足上述要求外，其功率密度瞬时峰值不得超过上表所列限值的</w:t>
      </w:r>
      <w:r>
        <w:rPr>
          <w:color w:val="000000" w:themeColor="text1"/>
          <w:sz w:val="24"/>
          <w14:textFill>
            <w14:solidFill>
              <w14:schemeClr w14:val="tx1"/>
            </w14:solidFill>
          </w14:textFill>
        </w:rPr>
        <w:t>1000</w:t>
      </w:r>
      <w:r>
        <w:rPr>
          <w:rFonts w:hint="eastAsia"/>
          <w:color w:val="000000" w:themeColor="text1"/>
          <w:sz w:val="24"/>
          <w14:textFill>
            <w14:solidFill>
              <w14:schemeClr w14:val="tx1"/>
            </w14:solidFill>
          </w14:textFill>
        </w:rPr>
        <w:t>倍或场强的瞬时峰值不得超过上表的</w:t>
      </w:r>
      <w:r>
        <w:rPr>
          <w:color w:val="000000" w:themeColor="text1"/>
          <w:sz w:val="24"/>
          <w14:textFill>
            <w14:solidFill>
              <w14:schemeClr w14:val="tx1"/>
            </w14:solidFill>
          </w14:textFill>
        </w:rPr>
        <w:t>32</w:t>
      </w:r>
      <w:r>
        <w:rPr>
          <w:rFonts w:hint="eastAsia"/>
          <w:color w:val="000000" w:themeColor="text1"/>
          <w:sz w:val="24"/>
          <w14:textFill>
            <w14:solidFill>
              <w14:schemeClr w14:val="tx1"/>
            </w14:solidFill>
          </w14:textFill>
        </w:rPr>
        <w:t>倍。</w:t>
      </w:r>
    </w:p>
    <w:p w14:paraId="04CCBAAA">
      <w:pPr>
        <w:pStyle w:val="50"/>
        <w:numPr>
          <w:ilvl w:val="3"/>
          <w:numId w:val="8"/>
        </w:numPr>
        <w:spacing w:line="360" w:lineRule="auto"/>
        <w:ind w:left="0" w:firstLine="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评价</w:t>
      </w:r>
      <w:r>
        <w:rPr>
          <w:rFonts w:ascii="Times New Roman" w:hAnsi="Times New Roman"/>
          <w:color w:val="000000" w:themeColor="text1"/>
          <w:sz w:val="24"/>
          <w14:textFill>
            <w14:solidFill>
              <w14:schemeClr w14:val="tx1"/>
            </w14:solidFill>
          </w14:textFill>
        </w:rPr>
        <w:t>方法</w:t>
      </w:r>
    </w:p>
    <w:p w14:paraId="3D21AE3A">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当公众曝露在多个频率的电场、磁场、电磁场中时，应综合考虑多个频率的电场、磁场、电磁场所 致曝露，以满足以下要求。</w:t>
      </w:r>
    </w:p>
    <w:p w14:paraId="5025AFD3">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 0.1MHz~300GHz 之间，应满足以下关系式：</w:t>
      </w:r>
    </w:p>
    <w:p w14:paraId="50D719CD">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967865" cy="5715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4"/>
                    <a:stretch>
                      <a:fillRect/>
                    </a:stretch>
                  </pic:blipFill>
                  <pic:spPr>
                    <a:xfrm>
                      <a:off x="0" y="0"/>
                      <a:ext cx="2007202" cy="583374"/>
                    </a:xfrm>
                    <a:prstGeom prst="rect">
                      <a:avLst/>
                    </a:prstGeom>
                  </pic:spPr>
                </pic:pic>
              </a:graphicData>
            </a:graphic>
          </wp:inline>
        </w:drawing>
      </w:r>
    </w:p>
    <w:p w14:paraId="6705B9BE">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和</w:t>
      </w:r>
    </w:p>
    <w:p w14:paraId="61B399EB">
      <w:pPr>
        <w:widowControl/>
        <w:spacing w:line="360" w:lineRule="auto"/>
        <w:ind w:firstLine="480" w:firstLineChars="200"/>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1899920" cy="558800"/>
            <wp:effectExtent l="0" t="0" r="508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5"/>
                    <a:srcRect l="-2110" r="4648"/>
                    <a:stretch>
                      <a:fillRect/>
                    </a:stretch>
                  </pic:blipFill>
                  <pic:spPr>
                    <a:xfrm>
                      <a:off x="0" y="0"/>
                      <a:ext cx="1982369" cy="582911"/>
                    </a:xfrm>
                    <a:prstGeom prst="rect">
                      <a:avLst/>
                    </a:prstGeom>
                    <a:ln>
                      <a:noFill/>
                    </a:ln>
                  </pic:spPr>
                </pic:pic>
              </a:graphicData>
            </a:graphic>
          </wp:inline>
        </w:drawing>
      </w:r>
    </w:p>
    <w:p w14:paraId="4224BBCA">
      <w:pPr>
        <w:widowControl/>
        <w:spacing w:line="360" w:lineRule="auto"/>
        <w:ind w:firstLine="480" w:firstLineChars="2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式中：E</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w:t>
      </w:r>
    </w:p>
    <w:p w14:paraId="1645120C">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E</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的电场强度限值；</w:t>
      </w:r>
    </w:p>
    <w:p w14:paraId="72D20BC8">
      <w:pPr>
        <w:widowControl/>
        <w:spacing w:line="360" w:lineRule="auto"/>
        <w:ind w:firstLine="1200" w:firstLineChars="500"/>
        <w:jc w:val="left"/>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w:t>
      </w:r>
    </w:p>
    <w:p w14:paraId="7F1AE50C">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B</w:t>
      </w:r>
      <w:r>
        <w:rPr>
          <w:rFonts w:hint="eastAsia"/>
          <w:color w:val="000000" w:themeColor="text1"/>
          <w:sz w:val="24"/>
          <w:vertAlign w:val="subscript"/>
          <w14:textFill>
            <w14:solidFill>
              <w14:schemeClr w14:val="tx1"/>
            </w14:solidFill>
          </w14:textFill>
        </w:rPr>
        <w:t>L,</w:t>
      </w:r>
      <w:r>
        <w:rPr>
          <w:color w:val="000000" w:themeColor="text1"/>
          <w:sz w:val="24"/>
          <w:vertAlign w:val="subscript"/>
          <w14:textFill>
            <w14:solidFill>
              <w14:schemeClr w14:val="tx1"/>
            </w14:solidFill>
          </w14:textFill>
        </w:rPr>
        <w:t>j</w:t>
      </w:r>
      <w:r>
        <w:rPr>
          <w:rFonts w:hint="eastAsia"/>
          <w:color w:val="000000" w:themeColor="text1"/>
          <w:sz w:val="24"/>
          <w14:textFill>
            <w14:solidFill>
              <w14:schemeClr w14:val="tx1"/>
            </w14:solidFill>
          </w14:textFill>
        </w:rPr>
        <w:t>——表1中频率</w:t>
      </w:r>
      <w:r>
        <w:rPr>
          <w:color w:val="000000" w:themeColor="text1"/>
          <w:sz w:val="24"/>
          <w14:textFill>
            <w14:solidFill>
              <w14:schemeClr w14:val="tx1"/>
            </w14:solidFill>
          </w14:textFill>
        </w:rPr>
        <w:t>j</w:t>
      </w:r>
      <w:r>
        <w:rPr>
          <w:rFonts w:hint="eastAsia"/>
          <w:color w:val="000000" w:themeColor="text1"/>
          <w:sz w:val="24"/>
          <w14:textFill>
            <w14:solidFill>
              <w14:schemeClr w14:val="tx1"/>
            </w14:solidFill>
          </w14:textFill>
        </w:rPr>
        <w:t>的磁感应强度限值。</w:t>
      </w:r>
    </w:p>
    <w:p w14:paraId="45D2050E">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5" w:name="_Toc27757157"/>
      <w:r>
        <w:rPr>
          <w:rFonts w:hint="eastAsia" w:ascii="Times New Roman" w:hAnsi="Times New Roman"/>
          <w:color w:val="000000" w:themeColor="text1"/>
          <w:sz w:val="24"/>
          <w14:textFill>
            <w14:solidFill>
              <w14:schemeClr w14:val="tx1"/>
            </w14:solidFill>
          </w14:textFill>
        </w:rPr>
        <w:t>豁免</w:t>
      </w:r>
      <w:r>
        <w:rPr>
          <w:rFonts w:ascii="Times New Roman" w:hAnsi="Times New Roman"/>
          <w:color w:val="000000" w:themeColor="text1"/>
          <w:sz w:val="24"/>
          <w14:textFill>
            <w14:solidFill>
              <w14:schemeClr w14:val="tx1"/>
            </w14:solidFill>
          </w14:textFill>
        </w:rPr>
        <w:t>范围</w:t>
      </w:r>
      <w:bookmarkEnd w:id="205"/>
    </w:p>
    <w:p w14:paraId="2518C221">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从电磁环境保护管理角度，下列产生电场、磁场、电磁场的设施（设备）可免于管理：</w:t>
      </w:r>
    </w:p>
    <w:p w14:paraId="41DC2FE0">
      <w:pPr>
        <w:widowControl/>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——100kV 以下电压等级的交流输变电设施。</w:t>
      </w:r>
    </w:p>
    <w:p w14:paraId="37256D95">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 xml:space="preserve">——向没有屏蔽空间发射 0.1MHz～300GHz 电磁场的，其等效辐射功率小于表 </w:t>
      </w:r>
      <w:r>
        <w:rPr>
          <w:color w:val="000000" w:themeColor="text1"/>
          <w:sz w:val="24"/>
          <w14:textFill>
            <w14:solidFill>
              <w14:schemeClr w14:val="tx1"/>
            </w14:solidFill>
          </w14:textFill>
        </w:rPr>
        <w:t>7.1.3</w:t>
      </w:r>
      <w:r>
        <w:rPr>
          <w:rFonts w:hint="eastAsia"/>
          <w:color w:val="000000" w:themeColor="text1"/>
          <w:sz w:val="24"/>
          <w14:textFill>
            <w14:solidFill>
              <w14:schemeClr w14:val="tx1"/>
            </w14:solidFill>
          </w14:textFill>
        </w:rPr>
        <w:t xml:space="preserve"> 所列数值的设施（设备）。</w:t>
      </w:r>
    </w:p>
    <w:p w14:paraId="31E9B25D">
      <w:pPr>
        <w:widowControl/>
        <w:spacing w:line="360" w:lineRule="auto"/>
        <w:ind w:firstLine="480" w:firstLineChars="200"/>
        <w:jc w:val="center"/>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w:t>
      </w:r>
      <w:r>
        <w:rPr>
          <w:color w:val="000000" w:themeColor="text1"/>
          <w:sz w:val="24"/>
          <w14:textFill>
            <w14:solidFill>
              <w14:schemeClr w14:val="tx1"/>
            </w14:solidFill>
          </w14:textFill>
        </w:rPr>
        <w:t>7.1.3 可豁免的</w:t>
      </w:r>
      <w:r>
        <w:rPr>
          <w:rFonts w:hint="eastAsia"/>
          <w:color w:val="000000" w:themeColor="text1"/>
          <w:sz w:val="24"/>
          <w14:textFill>
            <w14:solidFill>
              <w14:schemeClr w14:val="tx1"/>
            </w14:solidFill>
          </w14:textFill>
        </w:rPr>
        <w:t>设施（设备）</w:t>
      </w:r>
      <w:r>
        <w:rPr>
          <w:color w:val="000000" w:themeColor="text1"/>
          <w:sz w:val="24"/>
          <w14:textFill>
            <w14:solidFill>
              <w14:schemeClr w14:val="tx1"/>
            </w14:solidFill>
          </w14:textFill>
        </w:rPr>
        <w:t>的等效辐射功率</w:t>
      </w:r>
    </w:p>
    <w:tbl>
      <w:tblPr>
        <w:tblStyle w:val="31"/>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20"/>
        <w:gridCol w:w="4601"/>
      </w:tblGrid>
      <w:tr w14:paraId="069DB6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14:paraId="6D6C6D54">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频率范围MHZ</w:t>
            </w:r>
          </w:p>
        </w:tc>
        <w:tc>
          <w:tcPr>
            <w:tcW w:w="2638" w:type="pct"/>
            <w:shd w:val="clear" w:color="auto" w:fill="auto"/>
            <w:vAlign w:val="bottom"/>
          </w:tcPr>
          <w:p w14:paraId="73AB1DA8">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等效辐射功率W</w:t>
            </w:r>
          </w:p>
        </w:tc>
      </w:tr>
      <w:tr w14:paraId="39BD96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14:paraId="6B7BEC82">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0.1~3</w:t>
            </w:r>
          </w:p>
        </w:tc>
        <w:tc>
          <w:tcPr>
            <w:tcW w:w="2638" w:type="pct"/>
            <w:shd w:val="clear" w:color="auto" w:fill="auto"/>
            <w:vAlign w:val="bottom"/>
          </w:tcPr>
          <w:p w14:paraId="0C2D1CFC">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300</w:t>
            </w:r>
          </w:p>
        </w:tc>
      </w:tr>
      <w:tr w14:paraId="1A1B78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362" w:type="pct"/>
            <w:shd w:val="clear" w:color="auto" w:fill="auto"/>
            <w:vAlign w:val="bottom"/>
          </w:tcPr>
          <w:p w14:paraId="39410494">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&gt;3~300000</w:t>
            </w:r>
          </w:p>
        </w:tc>
        <w:tc>
          <w:tcPr>
            <w:tcW w:w="2638" w:type="pct"/>
            <w:shd w:val="clear" w:color="auto" w:fill="auto"/>
            <w:vAlign w:val="bottom"/>
          </w:tcPr>
          <w:p w14:paraId="0E597CF5">
            <w:pPr>
              <w:widowControl/>
              <w:spacing w:line="360" w:lineRule="auto"/>
              <w:jc w:val="center"/>
              <w:rPr>
                <w:color w:val="000000" w:themeColor="text1"/>
                <w:kern w:val="0"/>
                <w:szCs w:val="22"/>
                <w14:textFill>
                  <w14:solidFill>
                    <w14:schemeClr w14:val="tx1"/>
                  </w14:solidFill>
                </w14:textFill>
              </w:rPr>
            </w:pPr>
            <w:r>
              <w:rPr>
                <w:color w:val="000000" w:themeColor="text1"/>
                <w:kern w:val="0"/>
                <w:szCs w:val="22"/>
                <w14:textFill>
                  <w14:solidFill>
                    <w14:schemeClr w14:val="tx1"/>
                  </w14:solidFill>
                </w14:textFill>
              </w:rPr>
              <w:t>100</w:t>
            </w:r>
          </w:p>
        </w:tc>
      </w:tr>
    </w:tbl>
    <w:p w14:paraId="2AF07A9B">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bookmarkStart w:id="206" w:name="_Toc527450697"/>
      <w:bookmarkStart w:id="207" w:name="_Toc27757158"/>
      <w:r>
        <w:rPr>
          <w:rFonts w:ascii="Times New Roman" w:hAnsi="Times New Roman"/>
          <w:color w:val="000000" w:themeColor="text1"/>
          <w:sz w:val="24"/>
          <w14:textFill>
            <w14:solidFill>
              <w14:schemeClr w14:val="tx1"/>
            </w14:solidFill>
          </w14:textFill>
        </w:rPr>
        <w:t>环境影响评价要求</w:t>
      </w:r>
      <w:bookmarkEnd w:id="206"/>
      <w:bookmarkEnd w:id="207"/>
    </w:p>
    <w:p w14:paraId="669C6146">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评价标准：</w:t>
      </w:r>
    </w:p>
    <w:p w14:paraId="184CB9E3">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根据《电磁环境控制限值》（GB8702-2014）第4.1款要求，</w:t>
      </w:r>
      <w:r>
        <w:rPr>
          <w:rFonts w:hint="eastAsia"/>
          <w:color w:val="000000" w:themeColor="text1"/>
          <w:sz w:val="24"/>
          <w14:textFill>
            <w14:solidFill>
              <w14:schemeClr w14:val="tx1"/>
            </w14:solidFill>
          </w14:textFill>
        </w:rPr>
        <w:t>30～3000MHz的功率密度限值为0.4W/m</w:t>
      </w:r>
      <w:r>
        <w:rPr>
          <w:color w:val="000000" w:themeColor="text1"/>
          <w:sz w:val="24"/>
          <w:vertAlign w:val="superscript"/>
          <w14:textFill>
            <w14:solidFill>
              <w14:schemeClr w14:val="tx1"/>
            </w14:solidFill>
          </w14:textFill>
        </w:rPr>
        <w:t>2</w:t>
      </w: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000</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15000MHz</w:t>
      </w:r>
      <w:r>
        <w:rPr>
          <w:rFonts w:hint="eastAsia"/>
          <w:color w:val="000000" w:themeColor="text1"/>
          <w:sz w:val="24"/>
          <w14:textFill>
            <w14:solidFill>
              <w14:schemeClr w14:val="tx1"/>
            </w14:solidFill>
          </w14:textFill>
        </w:rPr>
        <w:t>需要进行公式（f（MHz）</w:t>
      </w:r>
      <w:r>
        <w:rPr>
          <w:color w:val="000000" w:themeColor="text1"/>
          <w:sz w:val="24"/>
          <w14:textFill>
            <w14:solidFill>
              <w14:schemeClr w14:val="tx1"/>
            </w14:solidFill>
          </w14:textFill>
        </w:rPr>
        <w:t>/7500</w:t>
      </w:r>
      <w:r>
        <w:rPr>
          <w:rFonts w:hint="eastAsia"/>
          <w:color w:val="000000" w:themeColor="text1"/>
          <w:sz w:val="24"/>
          <w14:textFill>
            <w14:solidFill>
              <w14:schemeClr w14:val="tx1"/>
            </w14:solidFill>
          </w14:textFill>
        </w:rPr>
        <w:t>）计算，3</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00-</w:t>
      </w:r>
      <w:r>
        <w:rPr>
          <w:color w:val="000000" w:themeColor="text1"/>
          <w:sz w:val="24"/>
          <w14:textFill>
            <w14:solidFill>
              <w14:schemeClr w14:val="tx1"/>
            </w14:solidFill>
          </w14:textFill>
        </w:rPr>
        <w:t>3600</w:t>
      </w:r>
      <w:r>
        <w:rPr>
          <w:rFonts w:hint="eastAsia"/>
          <w:color w:val="000000" w:themeColor="text1"/>
          <w:sz w:val="24"/>
          <w14:textFill>
            <w14:solidFill>
              <w14:schemeClr w14:val="tx1"/>
            </w14:solidFill>
          </w14:textFill>
        </w:rPr>
        <w:t>MHz的功率密度限值为0</w:t>
      </w:r>
      <w:r>
        <w:rPr>
          <w:color w:val="000000" w:themeColor="text1"/>
          <w:sz w:val="24"/>
          <w14:textFill>
            <w14:solidFill>
              <w14:schemeClr w14:val="tx1"/>
            </w14:solidFill>
          </w14:textFill>
        </w:rPr>
        <w:t>.44</w:t>
      </w:r>
      <w:r>
        <w:rPr>
          <w:rFonts w:hint="eastAsia"/>
          <w:color w:val="000000" w:themeColor="text1"/>
          <w:sz w:val="24"/>
          <w14:textFill>
            <w14:solidFill>
              <w14:schemeClr w14:val="tx1"/>
            </w14:solidFill>
          </w14:textFill>
        </w:rPr>
        <w:t>-0.4</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14:paraId="5283EBD1">
      <w:pPr>
        <w:spacing w:line="360" w:lineRule="auto"/>
        <w:ind w:firstLine="482" w:firstLineChars="200"/>
        <w:rPr>
          <w:bCs/>
          <w:color w:val="000000" w:themeColor="text1"/>
          <w:sz w:val="24"/>
          <w14:textFill>
            <w14:solidFill>
              <w14:schemeClr w14:val="tx1"/>
            </w14:solidFill>
          </w14:textFill>
        </w:rPr>
      </w:pPr>
      <w:r>
        <w:rPr>
          <w:b/>
          <w:color w:val="000000" w:themeColor="text1"/>
          <w:sz w:val="24"/>
          <w14:textFill>
            <w14:solidFill>
              <w14:schemeClr w14:val="tx1"/>
            </w14:solidFill>
          </w14:textFill>
        </w:rPr>
        <w:t>水平保护距离：</w:t>
      </w:r>
      <w:r>
        <w:rPr>
          <w:bCs/>
          <w:color w:val="000000" w:themeColor="text1"/>
          <w:sz w:val="24"/>
          <w14:textFill>
            <w14:solidFill>
              <w14:schemeClr w14:val="tx1"/>
            </w14:solidFill>
          </w14:textFill>
        </w:rPr>
        <w:t>指基站天线主瓣范围内在水平方向的距离控制值，其大小根据电磁辐射功率密度理论预测模式计算得出，为天线发射轴线方向上达到单个基站贡献管理限值时距天线的水平距离。</w:t>
      </w:r>
    </w:p>
    <w:p w14:paraId="29FA8D2A">
      <w:pPr>
        <w:spacing w:line="360" w:lineRule="auto"/>
        <w:ind w:firstLine="482" w:firstLineChars="200"/>
        <w:rPr>
          <w:color w:val="000000" w:themeColor="text1"/>
          <w:sz w:val="24"/>
          <w14:textFill>
            <w14:solidFill>
              <w14:schemeClr w14:val="tx1"/>
            </w14:solidFill>
          </w14:textFill>
        </w:rPr>
      </w:pPr>
      <w:r>
        <w:rPr>
          <w:b/>
          <w:color w:val="000000" w:themeColor="text1"/>
          <w:sz w:val="24"/>
          <w14:textFill>
            <w14:solidFill>
              <w14:schemeClr w14:val="tx1"/>
            </w14:solidFill>
          </w14:textFill>
        </w:rPr>
        <w:t>垂直保护距离：</w:t>
      </w:r>
      <w:r>
        <w:rPr>
          <w:color w:val="000000" w:themeColor="text1"/>
          <w:sz w:val="24"/>
          <w14:textFill>
            <w14:solidFill>
              <w14:schemeClr w14:val="tx1"/>
            </w14:solidFill>
          </w14:textFill>
        </w:rPr>
        <w:t>指基站天线主瓣范围内在垂直方向的距离控制最大值，其大小根据电磁辐射功率密度理论预测模式计算得出，垂直保护距离为天线满功率或半功率发射方向上达到单个基站贡献管理限值时距天线下端的垂直距离的较大值。靠近天线端点实际控制值按与天线水平距离的一定角度（俯角+垂直半功率角的一半</w:t>
      </w:r>
      <w:r>
        <w:rPr>
          <w:rFonts w:hint="eastAsia"/>
          <w:color w:val="000000" w:themeColor="text1"/>
          <w:sz w:val="24"/>
          <w14:textFill>
            <w14:solidFill>
              <w14:schemeClr w14:val="tx1"/>
            </w14:solidFill>
          </w14:textFill>
        </w:rPr>
        <w:t>（对于5G</w:t>
      </w:r>
      <w:r>
        <w:rPr>
          <w:color w:val="000000" w:themeColor="text1"/>
          <w:sz w:val="24"/>
          <w14:textFill>
            <w14:solidFill>
              <w14:schemeClr w14:val="tx1"/>
            </w14:solidFill>
          </w14:textFill>
        </w:rPr>
        <w:t xml:space="preserve"> </w:t>
      </w:r>
      <w:r>
        <w:rPr>
          <w:rFonts w:hint="eastAsia"/>
          <w:color w:val="000000" w:themeColor="text1"/>
          <w:sz w:val="24"/>
          <w14:textFill>
            <w14:solidFill>
              <w14:schemeClr w14:val="tx1"/>
            </w14:solidFill>
          </w14:textFill>
        </w:rPr>
        <w:t>AAU设备，应取单个波束的半功率角）</w:t>
      </w:r>
      <w:r>
        <w:rPr>
          <w:color w:val="000000" w:themeColor="text1"/>
          <w:sz w:val="24"/>
          <w14:textFill>
            <w14:solidFill>
              <w14:schemeClr w14:val="tx1"/>
            </w14:solidFill>
          </w14:textFill>
        </w:rPr>
        <w:t>）正切计算值控制，但不超过垂直保护距离值。</w:t>
      </w:r>
    </w:p>
    <w:p w14:paraId="0C064EBD">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功率密度</w:t>
      </w:r>
    </w:p>
    <w:p w14:paraId="69077143">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移动通信远场区轴向功率密度S（W/m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）计算公式如下：</w:t>
      </w:r>
    </w:p>
    <w:p w14:paraId="5D9117EA">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24"/>
          <w:sz w:val="24"/>
          <w14:textFill>
            <w14:solidFill>
              <w14:schemeClr w14:val="tx1"/>
            </w14:solidFill>
          </w14:textFill>
        </w:rPr>
        <w:drawing>
          <wp:inline distT="0" distB="0" distL="0" distR="0">
            <wp:extent cx="847725" cy="40957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847725" cy="409575"/>
                    </a:xfrm>
                    <a:prstGeom prst="rect">
                      <a:avLst/>
                    </a:prstGeom>
                    <a:noFill/>
                    <a:ln>
                      <a:noFill/>
                    </a:ln>
                  </pic:spPr>
                </pic:pic>
              </a:graphicData>
            </a:graphic>
          </wp:inline>
        </w:drawing>
      </w:r>
      <w:r>
        <w:rPr>
          <w:color w:val="000000" w:themeColor="text1"/>
          <w:sz w:val="24"/>
          <w14:textFill>
            <w14:solidFill>
              <w14:schemeClr w14:val="tx1"/>
            </w14:solidFill>
          </w14:textFill>
        </w:rPr>
        <w:t>……………………………………（1）</w:t>
      </w:r>
    </w:p>
    <w:p w14:paraId="224F6086">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S</w:t>
      </w:r>
      <w:r>
        <w:rPr>
          <w:color w:val="000000" w:themeColor="text1"/>
          <w:sz w:val="24"/>
          <w14:textFill>
            <w14:solidFill>
              <w14:schemeClr w14:val="tx1"/>
            </w14:solidFill>
          </w14:textFill>
        </w:rPr>
        <w:t>—功率密度，W/m</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w:t>
      </w:r>
    </w:p>
    <w:p w14:paraId="5A36B976">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P</w:t>
      </w:r>
      <w:r>
        <w:rPr>
          <w:color w:val="000000" w:themeColor="text1"/>
          <w:sz w:val="24"/>
          <w14:textFill>
            <w14:solidFill>
              <w14:schemeClr w14:val="tx1"/>
            </w14:solidFill>
          </w14:textFill>
        </w:rPr>
        <w:t>—天线口功率，W</w:t>
      </w:r>
      <w:r>
        <w:rPr>
          <w:rFonts w:hint="eastAsia"/>
          <w:color w:val="000000" w:themeColor="text1"/>
          <w:sz w:val="24"/>
          <w14:textFill>
            <w14:solidFill>
              <w14:schemeClr w14:val="tx1"/>
            </w14:solidFill>
          </w14:textFill>
        </w:rPr>
        <w:t>（这里应取设备标称功率-馈线损耗）</w:t>
      </w:r>
      <w:r>
        <w:rPr>
          <w:color w:val="000000" w:themeColor="text1"/>
          <w:sz w:val="24"/>
          <w14:textFill>
            <w14:solidFill>
              <w14:schemeClr w14:val="tx1"/>
            </w14:solidFill>
          </w14:textFill>
        </w:rPr>
        <w:t>；</w:t>
      </w:r>
    </w:p>
    <w:p w14:paraId="0075DA55">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G</w:t>
      </w:r>
      <w:r>
        <w:rPr>
          <w:color w:val="000000" w:themeColor="text1"/>
          <w:sz w:val="24"/>
          <w14:textFill>
            <w14:solidFill>
              <w14:schemeClr w14:val="tx1"/>
            </w14:solidFill>
          </w14:textFill>
        </w:rPr>
        <w:t>—天线增益（倍数）；</w:t>
      </w:r>
    </w:p>
    <w:p w14:paraId="4445A906">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—离天线轴向距离，m。</w:t>
      </w:r>
    </w:p>
    <w:p w14:paraId="3F722339">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天线增益（倍数）</w:t>
      </w:r>
    </w:p>
    <w:p w14:paraId="18BE110F">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6"/>
          <w:sz w:val="24"/>
          <w14:textFill>
            <w14:solidFill>
              <w14:schemeClr w14:val="tx1"/>
            </w14:solidFill>
          </w14:textFill>
        </w:rPr>
        <w:drawing>
          <wp:inline distT="0" distB="0" distL="0" distR="0">
            <wp:extent cx="781050" cy="219075"/>
            <wp:effectExtent l="0" t="0" r="0"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781050" cy="219075"/>
                    </a:xfrm>
                    <a:prstGeom prst="rect">
                      <a:avLst/>
                    </a:prstGeom>
                    <a:noFill/>
                    <a:ln>
                      <a:noFill/>
                    </a:ln>
                  </pic:spPr>
                </pic:pic>
              </a:graphicData>
            </a:graphic>
          </wp:inline>
        </w:drawing>
      </w:r>
      <w:r>
        <w:rPr>
          <w:color w:val="000000" w:themeColor="text1"/>
          <w:sz w:val="24"/>
          <w14:textFill>
            <w14:solidFill>
              <w14:schemeClr w14:val="tx1"/>
            </w14:solidFill>
          </w14:textFill>
        </w:rPr>
        <w:t>……………………………………（2）</w:t>
      </w:r>
    </w:p>
    <w:p w14:paraId="4EA12DA3">
      <w:pPr>
        <w:spacing w:line="360" w:lineRule="auto"/>
        <w:ind w:firstLine="480" w:firstLineChars="200"/>
        <w:rPr>
          <w:i/>
          <w:color w:val="000000" w:themeColor="text1"/>
          <w:sz w:val="24"/>
          <w14:textFill>
            <w14:solidFill>
              <w14:schemeClr w14:val="tx1"/>
            </w14:solidFill>
          </w14:textFill>
        </w:rPr>
      </w:pPr>
      <w:r>
        <w:rPr>
          <w:i/>
          <w:color w:val="000000" w:themeColor="text1"/>
          <w:sz w:val="24"/>
          <w14:textFill>
            <w14:solidFill>
              <w14:schemeClr w14:val="tx1"/>
            </w14:solidFill>
          </w14:textFill>
        </w:rPr>
        <w:t>式中：G</w:t>
      </w:r>
      <w:r>
        <w:rPr>
          <w:color w:val="000000" w:themeColor="text1"/>
          <w:sz w:val="24"/>
          <w14:textFill>
            <w14:solidFill>
              <w14:schemeClr w14:val="tx1"/>
            </w14:solidFill>
          </w14:textFill>
        </w:rPr>
        <w:t>—天线增益（倍数）；</w:t>
      </w:r>
    </w:p>
    <w:p w14:paraId="1860A11B">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dBi</w:t>
      </w:r>
      <w:r>
        <w:rPr>
          <w:b/>
          <w:i/>
          <w:color w:val="000000" w:themeColor="text1"/>
          <w:sz w:val="24"/>
          <w14:textFill>
            <w14:solidFill>
              <w14:schemeClr w14:val="tx1"/>
            </w14:solidFill>
          </w14:textFill>
        </w:rPr>
        <w:t>—</w:t>
      </w:r>
      <w:r>
        <w:rPr>
          <w:color w:val="000000" w:themeColor="text1"/>
          <w:sz w:val="24"/>
          <w14:textFill>
            <w14:solidFill>
              <w14:schemeClr w14:val="tx1"/>
            </w14:solidFill>
          </w14:textFill>
        </w:rPr>
        <w:t>相对与点源的天线增益，</w:t>
      </w:r>
      <w:r>
        <w:rPr>
          <w:i/>
          <w:color w:val="000000" w:themeColor="text1"/>
          <w:sz w:val="24"/>
          <w14:textFill>
            <w14:solidFill>
              <w14:schemeClr w14:val="tx1"/>
            </w14:solidFill>
          </w14:textFill>
        </w:rPr>
        <w:t>dBi</w:t>
      </w:r>
      <w:r>
        <w:rPr>
          <w:color w:val="000000" w:themeColor="text1"/>
          <w:sz w:val="24"/>
          <w14:textFill>
            <w14:solidFill>
              <w14:schemeClr w14:val="tx1"/>
            </w14:solidFill>
          </w14:textFill>
        </w:rPr>
        <w:t>。</w:t>
      </w:r>
    </w:p>
    <w:p w14:paraId="4E1148F2">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w:t>
      </w:r>
      <w:r>
        <w:rPr>
          <w:color w:val="000000" w:themeColor="text1"/>
          <w:sz w:val="24"/>
          <w14:textFill>
            <w14:solidFill>
              <w14:schemeClr w14:val="tx1"/>
            </w14:solidFill>
          </w14:textFill>
        </w:rPr>
        <w:t>水平/垂直保护距离</w:t>
      </w:r>
    </w:p>
    <w:p w14:paraId="08285857">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根据公式（1）计算出在天线主瓣方向满足单个基站贡献管理限值要求的轴向距离</w:t>
      </w: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w:t>
      </w:r>
    </w:p>
    <w:p w14:paraId="0ED1AEB7">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水平保护距离</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为基站天线水平方向上满足单个基站贡献管理限值的距离要求，</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级差为1m。</w:t>
      </w:r>
    </w:p>
    <w:p w14:paraId="1D28634C">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895350" cy="238125"/>
            <wp:effectExtent l="0" t="0" r="0" b="9525"/>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895350" cy="238125"/>
                    </a:xfrm>
                    <a:prstGeom prst="rect">
                      <a:avLst/>
                    </a:prstGeom>
                    <a:noFill/>
                    <a:ln>
                      <a:noFill/>
                    </a:ln>
                  </pic:spPr>
                </pic:pic>
              </a:graphicData>
            </a:graphic>
          </wp:inline>
        </w:drawing>
      </w:r>
      <w:r>
        <w:rPr>
          <w:color w:val="000000" w:themeColor="text1"/>
          <w:sz w:val="24"/>
          <w14:textFill>
            <w14:solidFill>
              <w14:schemeClr w14:val="tx1"/>
            </w14:solidFill>
          </w14:textFill>
        </w:rPr>
        <w:t>……………………………………（3）</w:t>
      </w:r>
    </w:p>
    <w:p w14:paraId="317612A8">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dp</w:t>
      </w:r>
      <w:r>
        <w:rPr>
          <w:color w:val="000000" w:themeColor="text1"/>
          <w:sz w:val="24"/>
          <w14:textFill>
            <w14:solidFill>
              <w14:schemeClr w14:val="tx1"/>
            </w14:solidFill>
          </w14:textFill>
        </w:rPr>
        <w:t>—天线水平保护距离，m；</w:t>
      </w:r>
    </w:p>
    <w:p w14:paraId="19B68BC7">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d</w:t>
      </w:r>
      <w:r>
        <w:rPr>
          <w:color w:val="000000" w:themeColor="text1"/>
          <w:sz w:val="24"/>
          <w14:textFill>
            <w14:solidFill>
              <w14:schemeClr w14:val="tx1"/>
            </w14:solidFill>
          </w14:textFill>
        </w:rPr>
        <w:t>—天线主瓣轴向上保护距离，m；</w:t>
      </w:r>
    </w:p>
    <w:p w14:paraId="0B1D157B">
      <w:pPr>
        <w:spacing w:line="360" w:lineRule="auto"/>
        <w:ind w:firstLine="480" w:firstLineChars="200"/>
        <w:rPr>
          <w:color w:val="000000" w:themeColor="text1"/>
          <w:sz w:val="24"/>
          <w14:textFill>
            <w14:solidFill>
              <w14:schemeClr w14:val="tx1"/>
            </w14:solidFill>
          </w14:textFill>
        </w:rPr>
      </w:pPr>
      <w:r>
        <w:rPr>
          <w:i/>
          <w:color w:val="000000" w:themeColor="text1"/>
          <w:sz w:val="24"/>
          <w14:textFill>
            <w14:solidFill>
              <w14:schemeClr w14:val="tx1"/>
            </w14:solidFill>
          </w14:textFill>
        </w:rPr>
        <w:t>α</w:t>
      </w:r>
      <w:r>
        <w:rPr>
          <w:color w:val="000000" w:themeColor="text1"/>
          <w:sz w:val="24"/>
          <w14:textFill>
            <w14:solidFill>
              <w14:schemeClr w14:val="tx1"/>
            </w14:solidFill>
          </w14:textFill>
        </w:rPr>
        <w:t>—天线俯/仰角，°。</w:t>
      </w:r>
    </w:p>
    <w:p w14:paraId="75CDCE65">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根据水平保护距离，测算垂直保护距离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w:t>
      </w:r>
    </w:p>
    <w:p w14:paraId="7373FA2A">
      <w:pPr>
        <w:spacing w:line="360" w:lineRule="auto"/>
        <w:ind w:firstLine="480" w:firstLineChars="200"/>
        <w:rPr>
          <w:color w:val="000000" w:themeColor="text1"/>
          <w:sz w:val="24"/>
          <w14:textFill>
            <w14:solidFill>
              <w14:schemeClr w14:val="tx1"/>
            </w14:solidFill>
          </w14:textFill>
        </w:rPr>
      </w:pPr>
    </w:p>
    <w:p w14:paraId="435118AA">
      <w:pPr>
        <w:wordWrap w:val="0"/>
        <w:spacing w:line="360" w:lineRule="auto"/>
        <w:ind w:firstLine="480" w:firstLineChars="200"/>
        <w:jc w:val="right"/>
        <w:rPr>
          <w:color w:val="000000" w:themeColor="text1"/>
          <w:sz w:val="24"/>
          <w14:textFill>
            <w14:solidFill>
              <w14:schemeClr w14:val="tx1"/>
            </w14:solidFill>
          </w14:textFill>
        </w:rPr>
      </w:pPr>
      <w:r>
        <w:rPr>
          <w:color w:val="000000" w:themeColor="text1"/>
          <w:position w:val="-14"/>
          <w:sz w:val="24"/>
          <w14:textFill>
            <w14:solidFill>
              <w14:schemeClr w14:val="tx1"/>
            </w14:solidFill>
          </w14:textFill>
        </w:rPr>
        <w:drawing>
          <wp:inline distT="0" distB="0" distL="0" distR="0">
            <wp:extent cx="790575" cy="238125"/>
            <wp:effectExtent l="0" t="0" r="9525" b="9525"/>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790575" cy="238125"/>
                    </a:xfrm>
                    <a:prstGeom prst="rect">
                      <a:avLst/>
                    </a:prstGeom>
                    <a:noFill/>
                    <a:ln>
                      <a:noFill/>
                    </a:ln>
                  </pic:spPr>
                </pic:pic>
              </a:graphicData>
            </a:graphic>
          </wp:inline>
        </w:drawing>
      </w:r>
      <w:r>
        <w:rPr>
          <w:color w:val="000000" w:themeColor="text1"/>
          <w:sz w:val="24"/>
          <w14:textFill>
            <w14:solidFill>
              <w14:schemeClr w14:val="tx1"/>
            </w14:solidFill>
          </w14:textFill>
        </w:rPr>
        <w:t>……………………………………（4）</w:t>
      </w:r>
    </w:p>
    <w:p w14:paraId="192C11E5">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另根据预测模式算出半功率角度方向的保护距离d′：</w:t>
      </w:r>
    </w:p>
    <w:p w14:paraId="4AB73364">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根据公式（1），半功率角度方向天线增益为天线轴向增益的1/2，即：</w:t>
      </w:r>
    </w:p>
    <w:p w14:paraId="713B5BD1">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S=1/(4πd′</w:t>
      </w:r>
      <w:r>
        <w:rPr>
          <w:color w:val="000000" w:themeColor="text1"/>
          <w:sz w:val="24"/>
          <w:vertAlign w:val="superscript"/>
          <w14:textFill>
            <w14:solidFill>
              <w14:schemeClr w14:val="tx1"/>
            </w14:solidFill>
          </w14:textFill>
        </w:rPr>
        <w:t>2</w:t>
      </w:r>
      <w:r>
        <w:rPr>
          <w:color w:val="000000" w:themeColor="text1"/>
          <w:sz w:val="24"/>
          <w14:textFill>
            <w14:solidFill>
              <w14:schemeClr w14:val="tx1"/>
            </w14:solidFill>
          </w14:textFill>
        </w:rPr>
        <w:t>)*P*G/2，计算：</w:t>
      </w:r>
    </w:p>
    <w:p w14:paraId="0D3E4EA0">
      <w:pPr>
        <w:spacing w:line="360" w:lineRule="auto"/>
        <w:jc w:val="right"/>
        <w:rPr>
          <w:color w:val="000000" w:themeColor="text1"/>
          <w14:textFill>
            <w14:solidFill>
              <w14:schemeClr w14:val="tx1"/>
            </w14:solidFill>
          </w14:textFill>
        </w:rPr>
      </w:pPr>
      <w:r>
        <w:rPr>
          <w:color w:val="000000" w:themeColor="text1"/>
          <w:sz w:val="24"/>
          <w14:textFill>
            <w14:solidFill>
              <w14:schemeClr w14:val="tx1"/>
            </w14:solidFill>
          </w14:textFill>
        </w:rPr>
        <w:t>d′</w:t>
      </w:r>
      <w:r>
        <w:rPr>
          <w:color w:val="000000" w:themeColor="text1"/>
          <w:position w:val="-26"/>
          <w14:textFill>
            <w14:solidFill>
              <w14:schemeClr w14:val="tx1"/>
            </w14:solidFill>
          </w14:textFill>
        </w:rPr>
        <w:object>
          <v:shape id="_x0000_i1025" o:spt="75" type="#_x0000_t75" style="height:37.1pt;width:47.7pt;" o:ole="t" filled="f" o:preferrelative="t" stroked="f" coordsize="21600,21600">
            <v:path/>
            <v:fill on="f" focussize="0,0"/>
            <v:stroke on="f" joinstyle="miter"/>
            <v:imagedata r:id="rId21" o:title=""/>
            <o:lock v:ext="edit" aspectratio="t"/>
            <w10:wrap type="none"/>
            <w10:anchorlock/>
          </v:shape>
          <o:OLEObject Type="Embed" ProgID="Equation.3" ShapeID="_x0000_i1025" DrawAspect="Content" ObjectID="_1468075726" r:id="rId20">
            <o:LockedField>false</o:LockedField>
          </o:OLEObject>
        </w:object>
      </w:r>
      <w:r>
        <w:rPr>
          <w:color w:val="000000" w:themeColor="text1"/>
          <w:sz w:val="24"/>
          <w14:textFill>
            <w14:solidFill>
              <w14:schemeClr w14:val="tx1"/>
            </w14:solidFill>
          </w14:textFill>
        </w:rPr>
        <w:t>…….………………………………（5）</w:t>
      </w:r>
    </w:p>
    <w:p w14:paraId="2A5B009B">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根据半功率角度方向的保护距离，测算垂直保护距离</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w:t>
      </w:r>
    </w:p>
    <w:p w14:paraId="003301CB">
      <w:pPr>
        <w:spacing w:line="360" w:lineRule="auto"/>
        <w:ind w:firstLine="2880" w:firstLineChars="1200"/>
        <w:rPr>
          <w:color w:val="000000" w:themeColor="text1"/>
          <w:sz w:val="24"/>
          <w14:textFill>
            <w14:solidFill>
              <w14:schemeClr w14:val="tx1"/>
            </w14:solidFill>
          </w14:textFill>
        </w:rPr>
      </w:pPr>
      <w:r>
        <w:rPr>
          <w:color w:val="000000" w:themeColor="text1"/>
          <w:position w:val="-12"/>
          <w:sz w:val="24"/>
          <w14:textFill>
            <w14:solidFill>
              <w14:schemeClr w14:val="tx1"/>
            </w14:solidFill>
          </w14:textFill>
        </w:rPr>
        <w:drawing>
          <wp:inline distT="0" distB="0" distL="0" distR="0">
            <wp:extent cx="1266825" cy="23812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1266825" cy="238125"/>
                    </a:xfrm>
                    <a:prstGeom prst="rect">
                      <a:avLst/>
                    </a:prstGeom>
                    <a:noFill/>
                    <a:ln>
                      <a:noFill/>
                    </a:ln>
                  </pic:spPr>
                </pic:pic>
              </a:graphicData>
            </a:graphic>
          </wp:inline>
        </w:drawing>
      </w:r>
      <w:r>
        <w:rPr>
          <w:color w:val="000000" w:themeColor="text1"/>
          <w:sz w:val="24"/>
          <w14:textFill>
            <w14:solidFill>
              <w14:schemeClr w14:val="tx1"/>
            </w14:solidFill>
          </w14:textFill>
        </w:rPr>
        <w:t>….…………………………（6）</w:t>
      </w:r>
    </w:p>
    <w:p w14:paraId="3FD88729">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式中：</w:t>
      </w:r>
      <w:r>
        <w:rPr>
          <w:i/>
          <w:color w:val="000000" w:themeColor="text1"/>
          <w:sz w:val="24"/>
          <w14:textFill>
            <w14:solidFill>
              <w14:schemeClr w14:val="tx1"/>
            </w14:solidFill>
          </w14:textFill>
        </w:rPr>
        <w:t>θ</w:t>
      </w:r>
      <w:r>
        <w:rPr>
          <w:color w:val="000000" w:themeColor="text1"/>
          <w:sz w:val="24"/>
          <w14:textFill>
            <w14:solidFill>
              <w14:schemeClr w14:val="tx1"/>
            </w14:solidFill>
          </w14:textFill>
        </w:rPr>
        <w:t>—垂直半功率张角，°。</w:t>
      </w:r>
    </w:p>
    <w:p w14:paraId="70C6157F">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比较</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1</w:t>
      </w:r>
      <w:r>
        <w:rPr>
          <w:color w:val="000000" w:themeColor="text1"/>
          <w:sz w:val="24"/>
          <w14:textFill>
            <w14:solidFill>
              <w14:schemeClr w14:val="tx1"/>
            </w14:solidFill>
          </w14:textFill>
        </w:rPr>
        <w:t>和</w:t>
      </w:r>
      <w:r>
        <w:rPr>
          <w:i/>
          <w:color w:val="000000" w:themeColor="text1"/>
          <w:sz w:val="24"/>
          <w14:textFill>
            <w14:solidFill>
              <w14:schemeClr w14:val="tx1"/>
            </w14:solidFill>
          </w14:textFill>
        </w:rPr>
        <w:t>h</w:t>
      </w:r>
      <w:r>
        <w:rPr>
          <w:i/>
          <w:color w:val="000000" w:themeColor="text1"/>
          <w:sz w:val="24"/>
          <w:vertAlign w:val="subscript"/>
          <w14:textFill>
            <w14:solidFill>
              <w14:schemeClr w14:val="tx1"/>
            </w14:solidFill>
          </w14:textFill>
        </w:rPr>
        <w:t>2</w:t>
      </w:r>
      <w:r>
        <w:rPr>
          <w:color w:val="000000" w:themeColor="text1"/>
          <w:sz w:val="24"/>
          <w14:textFill>
            <w14:solidFill>
              <w14:schemeClr w14:val="tx1"/>
            </w14:solidFill>
          </w14:textFill>
        </w:rPr>
        <w:t>，选取较大值为基站的垂直保护距离，级差为0.5m。</w:t>
      </w:r>
    </w:p>
    <w:p w14:paraId="7A339D0C">
      <w:pPr>
        <w:spacing w:line="360" w:lineRule="auto"/>
        <w:jc w:val="center"/>
        <w:rPr>
          <w:color w:val="000000" w:themeColor="text1"/>
          <w:sz w:val="24"/>
          <w14:textFill>
            <w14:solidFill>
              <w14:schemeClr w14:val="tx1"/>
            </w14:solidFill>
          </w14:textFill>
        </w:rPr>
      </w:pPr>
      <w:r>
        <w:rPr>
          <w:color w:val="000000" w:themeColor="text1"/>
          <w:sz w:val="24"/>
          <w14:textFill>
            <w14:solidFill>
              <w14:schemeClr w14:val="tx1"/>
            </w14:solidFill>
          </w14:textFill>
        </w:rPr>
        <w:drawing>
          <wp:inline distT="0" distB="0" distL="0" distR="0">
            <wp:extent cx="3467100" cy="3086100"/>
            <wp:effectExtent l="0" t="0" r="0" b="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3467100" cy="3086100"/>
                    </a:xfrm>
                    <a:prstGeom prst="rect">
                      <a:avLst/>
                    </a:prstGeom>
                    <a:noFill/>
                    <a:ln>
                      <a:noFill/>
                    </a:ln>
                  </pic:spPr>
                </pic:pic>
              </a:graphicData>
            </a:graphic>
          </wp:inline>
        </w:drawing>
      </w:r>
    </w:p>
    <w:p w14:paraId="291CD590">
      <w:pPr>
        <w:spacing w:line="360" w:lineRule="auto"/>
        <w:jc w:val="center"/>
        <w:rPr>
          <w:b/>
          <w:color w:val="000000" w:themeColor="text1"/>
          <w:sz w:val="22"/>
          <w14:textFill>
            <w14:solidFill>
              <w14:schemeClr w14:val="tx1"/>
            </w14:solidFill>
          </w14:textFill>
        </w:rPr>
      </w:pPr>
      <w:r>
        <w:rPr>
          <w:b/>
          <w:color w:val="000000" w:themeColor="text1"/>
          <w:sz w:val="22"/>
          <w14:textFill>
            <w14:solidFill>
              <w14:schemeClr w14:val="tx1"/>
            </w14:solidFill>
          </w14:textFill>
        </w:rPr>
        <w:t>基站水平及垂直保护距离计算示意图</w:t>
      </w:r>
    </w:p>
    <w:p w14:paraId="5239C70F">
      <w:pPr>
        <w:spacing w:line="360" w:lineRule="auto"/>
        <w:ind w:firstLine="482" w:firstLineChars="200"/>
        <w:rPr>
          <w:b/>
          <w:color w:val="000000" w:themeColor="text1"/>
          <w:sz w:val="24"/>
          <w14:textFill>
            <w14:solidFill>
              <w14:schemeClr w14:val="tx1"/>
            </w14:solidFill>
          </w14:textFill>
        </w:rPr>
      </w:pPr>
      <w:r>
        <w:rPr>
          <w:b/>
          <w:color w:val="000000" w:themeColor="text1"/>
          <w:sz w:val="24"/>
          <w14:textFill>
            <w14:solidFill>
              <w14:schemeClr w14:val="tx1"/>
            </w14:solidFill>
          </w14:textFill>
        </w:rPr>
        <w:t>基站建设环评要求：</w:t>
      </w:r>
    </w:p>
    <w:p w14:paraId="0D966ACF">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基站建设过程中需根据上述计算方法计算垂直保护距离和水平保护距离，要求现场查勘、安装时确认周边环境、功能，保证基站天线辐射方向内公众日常活动范围实际距离天线垂直</w:t>
      </w:r>
      <w:r>
        <w:rPr>
          <w:rFonts w:hint="eastAsia"/>
          <w:color w:val="000000" w:themeColor="text1"/>
          <w:sz w:val="24"/>
          <w14:textFill>
            <w14:solidFill>
              <w14:schemeClr w14:val="tx1"/>
            </w14:solidFill>
          </w14:textFill>
        </w:rPr>
        <w:t>或</w:t>
      </w:r>
      <w:r>
        <w:rPr>
          <w:color w:val="000000" w:themeColor="text1"/>
          <w:sz w:val="24"/>
          <w14:textFill>
            <w14:solidFill>
              <w14:schemeClr w14:val="tx1"/>
            </w14:solidFill>
          </w14:textFill>
        </w:rPr>
        <w:t>水平最小距离要高于保护距离要求。</w:t>
      </w:r>
      <w:r>
        <w:rPr>
          <w:rFonts w:hint="eastAsia"/>
          <w:color w:val="000000" w:themeColor="text1"/>
          <w:sz w:val="24"/>
          <w14:textFill>
            <w14:solidFill>
              <w14:schemeClr w14:val="tx1"/>
            </w14:solidFill>
          </w14:textFill>
        </w:rPr>
        <w:t>（公众日常活动范围参照《移动通信基站电磁辐射环境监测办法》（HJ</w:t>
      </w:r>
      <w:r>
        <w:rPr>
          <w:color w:val="000000" w:themeColor="text1"/>
          <w:sz w:val="24"/>
          <w14:textFill>
            <w14:solidFill>
              <w14:schemeClr w14:val="tx1"/>
            </w14:solidFill>
          </w14:textFill>
        </w:rPr>
        <w:t>972</w:t>
      </w: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2018</w:t>
      </w:r>
      <w:r>
        <w:rPr>
          <w:rFonts w:hint="eastAsia"/>
          <w:color w:val="000000" w:themeColor="text1"/>
          <w:sz w:val="24"/>
          <w14:textFill>
            <w14:solidFill>
              <w14:schemeClr w14:val="tx1"/>
            </w14:solidFill>
          </w14:textFill>
        </w:rPr>
        <w:t>），公众日常活动范围为公众日常生活或工作的区域，不包括需借助工具（如梯子）或采取特殊方式到达（如攀爬）到达的位置）。</w:t>
      </w:r>
    </w:p>
    <w:p w14:paraId="5E8C514D">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（2）、</w:t>
      </w:r>
      <w:r>
        <w:rPr>
          <w:color w:val="000000" w:themeColor="text1"/>
          <w:sz w:val="24"/>
          <w14:textFill>
            <w14:solidFill>
              <w14:schemeClr w14:val="tx1"/>
            </w14:solidFill>
          </w14:textFill>
        </w:rPr>
        <w:t>基站因设计变更、工程优化导致工参发生变化，需重新按上述方法计算垂直和水平保护距离是否满足环评要求。</w:t>
      </w:r>
    </w:p>
    <w:p w14:paraId="4817E977">
      <w:pPr>
        <w:spacing w:line="360" w:lineRule="auto"/>
        <w:ind w:firstLine="482" w:firstLineChars="200"/>
        <w:rPr>
          <w:b/>
          <w:color w:val="000000" w:themeColor="text1"/>
          <w:sz w:val="24"/>
          <w14:textFill>
            <w14:solidFill>
              <w14:schemeClr w14:val="tx1"/>
            </w14:solidFill>
          </w14:textFill>
        </w:rPr>
      </w:pPr>
      <w:r>
        <w:rPr>
          <w:rFonts w:hint="eastAsia"/>
          <w:b/>
          <w:color w:val="000000" w:themeColor="text1"/>
          <w:sz w:val="24"/>
          <w14:textFill>
            <w14:solidFill>
              <w14:schemeClr w14:val="tx1"/>
            </w14:solidFill>
          </w14:textFill>
        </w:rPr>
        <w:t>同时，基站建设应符合环境管理要求：</w:t>
      </w:r>
    </w:p>
    <w:p w14:paraId="586442AF">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依据《建设项目环境影响评价分类管理名录》（环境保护部令第44号，以下简称《名录》）（2018年4月28日修正版），以及《建设项目环境影响登记表备案管理办法》（环境保护部第41号令）要求，移动通信基站将要求进行备案管理。</w:t>
      </w:r>
    </w:p>
    <w:p w14:paraId="195F2638">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、强化管理，切实做好基站建设项目相关备案工作</w:t>
      </w:r>
    </w:p>
    <w:p w14:paraId="7249E25F">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）在基站建成并投入运行前，及时办理环境影响登记备案手续，杜绝“未备先用”现象发生；</w:t>
      </w:r>
    </w:p>
    <w:p w14:paraId="177E40EA">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）基站数量数量以逻辑基站为单位进行统计备案，多余多个基站同时备案的，原则上必须是同批次建设的基站。</w:t>
      </w:r>
    </w:p>
    <w:p w14:paraId="618D01C9">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3）省通信行业主管部门要将基站建设环境影响登记表备案手续，纳入通信基站工程竣工验收备案管理，要求基站运营商或铁塔公司在办理工程竣工验收备案时，应同时提交网上备案系统自动生成的环境影响登记表备案编号，否则不予办理工程竣工验收备案。</w:t>
      </w:r>
    </w:p>
    <w:p w14:paraId="798A5F5F">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、信守承诺，务实开展通信基站电磁辐射环境监测工作</w:t>
      </w:r>
    </w:p>
    <w:p w14:paraId="4C79BA2B">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通信基站建成并投入生产运行后，各级运营商和铁塔公司要按照《备忘录》载明的相关承诺，自行或者委托依法通过计量认证的监测机构依据有关规定，对《备忘录》中确定范围内基站周围电池环境敏感目标进行电磁辐射环境监测，并确保数据真实有效，符合国家标准。</w:t>
      </w:r>
    </w:p>
    <w:p w14:paraId="74E7EACB">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）监测中发现有超过国家标准的基站，依法承担环保主体责任的项目建设单位应立即采取措施整改，确保基站周围电磁环境敏感点电磁环境符合国家标准。</w:t>
      </w:r>
    </w:p>
    <w:p w14:paraId="00277286">
      <w:pPr>
        <w:spacing w:line="360" w:lineRule="auto"/>
        <w:ind w:firstLine="480" w:firstLineChars="20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、加强沟通，做好年度环境保护工作情况报送工作</w:t>
      </w:r>
    </w:p>
    <w:p w14:paraId="04612D10">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）省、市（州）两级通信基站运营商于每年1月31日前，分别向省、市（州）环境保护主管部门和相应通信行业主管部门报送上年度电磁环境保护报告；</w:t>
      </w:r>
    </w:p>
    <w:p w14:paraId="1F0A8300">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云南省环境保护厅与云南省通信管理局每年对省级运营商和铁塔公司落实环境保护工作情况开展联合监督检查。各市（州）环境保护局和通发办对本辖区内各运营商和铁塔公司通信基站环境保护工作进行监督检查。</w:t>
      </w:r>
    </w:p>
    <w:p w14:paraId="71506416">
      <w:pPr>
        <w:spacing w:line="360" w:lineRule="auto"/>
        <w:rPr>
          <w:color w:val="000000" w:themeColor="text1"/>
          <w:sz w:val="24"/>
          <w14:textFill>
            <w14:solidFill>
              <w14:schemeClr w14:val="tx1"/>
            </w14:solidFill>
          </w14:textFill>
        </w:rPr>
      </w:pPr>
    </w:p>
    <w:p w14:paraId="341C85C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08" w:name="_Toc429313772"/>
      <w:bookmarkStart w:id="209" w:name="_Toc417651980"/>
      <w:bookmarkStart w:id="210" w:name="_Toc19087201"/>
      <w:bookmarkStart w:id="211" w:name="_Toc132902856"/>
      <w:bookmarkStart w:id="212" w:name="_Toc22324040"/>
      <w:r>
        <w:rPr>
          <w:rFonts w:ascii="黑体" w:hAnsi="黑体" w:eastAsia="黑体" w:cs="Times New Roman"/>
          <w:color w:val="000000" w:themeColor="text1"/>
          <w:sz w:val="28"/>
          <w:szCs w:val="28"/>
          <w14:textFill>
            <w14:solidFill>
              <w14:schemeClr w14:val="tx1"/>
            </w14:solidFill>
          </w14:textFill>
        </w:rPr>
        <w:t>生态环境保护</w:t>
      </w:r>
      <w:bookmarkEnd w:id="208"/>
      <w:bookmarkEnd w:id="209"/>
      <w:bookmarkEnd w:id="210"/>
      <w:bookmarkEnd w:id="211"/>
      <w:bookmarkEnd w:id="212"/>
    </w:p>
    <w:p w14:paraId="45452D8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通信局（站）选址和通信线路路由</w:t>
      </w:r>
      <w:r>
        <w:rPr>
          <w:rFonts w:hint="eastAsia"/>
          <w:color w:val="000000" w:themeColor="text1"/>
          <w:sz w:val="24"/>
          <w14:textFill>
            <w14:solidFill>
              <w14:schemeClr w14:val="tx1"/>
            </w14:solidFill>
          </w14:textFill>
        </w:rPr>
        <w:t>宜减少占用耕地、林地和草地，多利用荒芜土地。</w:t>
      </w:r>
    </w:p>
    <w:p w14:paraId="09F0BF7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在风景区</w:t>
      </w:r>
      <w:r>
        <w:rPr>
          <w:rFonts w:hint="eastAsia"/>
          <w:color w:val="000000" w:themeColor="text1"/>
          <w:sz w:val="24"/>
          <w14:textFill>
            <w14:solidFill>
              <w14:schemeClr w14:val="tx1"/>
            </w14:solidFill>
          </w14:textFill>
        </w:rPr>
        <w:t>和名胜古迹、繁华市区的通信设施，宜在形态、线形、色彩等要素上与环境相协调，不得严重影响景观。</w:t>
      </w:r>
    </w:p>
    <w:p w14:paraId="73EE9BE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通信局（站）使用的柴油发电机、</w:t>
      </w:r>
      <w:r>
        <w:rPr>
          <w:rFonts w:hint="eastAsia"/>
          <w:color w:val="000000" w:themeColor="text1"/>
          <w:sz w:val="24"/>
          <w14:textFill>
            <w14:solidFill>
              <w14:schemeClr w14:val="tx1"/>
            </w14:solidFill>
          </w14:textFill>
        </w:rPr>
        <w:t>燃气</w:t>
      </w:r>
      <w:r>
        <w:rPr>
          <w:color w:val="000000" w:themeColor="text1"/>
          <w:sz w:val="24"/>
          <w14:textFill>
            <w14:solidFill>
              <w14:schemeClr w14:val="tx1"/>
            </w14:solidFill>
          </w14:textFill>
        </w:rPr>
        <w:t>轮机的废气排放应符合</w:t>
      </w:r>
      <w:r>
        <w:rPr>
          <w:rFonts w:hint="eastAsia"/>
          <w:color w:val="000000" w:themeColor="text1"/>
          <w:sz w:val="24"/>
          <w14:textFill>
            <w14:solidFill>
              <w14:schemeClr w14:val="tx1"/>
            </w14:solidFill>
          </w14:textFill>
        </w:rPr>
        <w:t>大气污染防治的规定</w:t>
      </w:r>
      <w:r>
        <w:rPr>
          <w:color w:val="000000" w:themeColor="text1"/>
          <w:sz w:val="24"/>
          <w14:textFill>
            <w14:solidFill>
              <w14:schemeClr w14:val="tx1"/>
            </w14:solidFill>
          </w14:textFill>
        </w:rPr>
        <w:t>。</w:t>
      </w:r>
    </w:p>
    <w:p w14:paraId="23E12041">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通信局（站）内不得使用有毒害的制冷剂、清洗剂、灭火剂和溶剂等物资。</w:t>
      </w:r>
    </w:p>
    <w:p w14:paraId="0E9F1DF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通信工程建设中</w:t>
      </w:r>
      <w:r>
        <w:rPr>
          <w:rFonts w:hint="eastAsia"/>
          <w:color w:val="000000" w:themeColor="text1"/>
          <w:sz w:val="24"/>
          <w14:textFill>
            <w14:solidFill>
              <w14:schemeClr w14:val="tx1"/>
            </w14:solidFill>
          </w14:textFill>
        </w:rPr>
        <w:t>包装应符合现行国家标准《通信设备产品包装通用技术条件》G</w:t>
      </w:r>
      <w:r>
        <w:rPr>
          <w:color w:val="000000" w:themeColor="text1"/>
          <w:sz w:val="24"/>
          <w14:textFill>
            <w14:solidFill>
              <w14:schemeClr w14:val="tx1"/>
            </w14:solidFill>
          </w14:textFill>
        </w:rPr>
        <w:t>B/T 3873</w:t>
      </w:r>
      <w:r>
        <w:rPr>
          <w:rFonts w:hint="eastAsia"/>
          <w:color w:val="000000" w:themeColor="text1"/>
          <w:sz w:val="24"/>
          <w14:textFill>
            <w14:solidFill>
              <w14:schemeClr w14:val="tx1"/>
            </w14:solidFill>
          </w14:textFill>
        </w:rPr>
        <w:t>的规定，优先采用绿色包装。</w:t>
      </w:r>
    </w:p>
    <w:p w14:paraId="094DDAC9">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通信工程建设应采取措施防止或减少固体废物对环境的污染。</w:t>
      </w:r>
    </w:p>
    <w:p w14:paraId="0ACF182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严禁在崩塌滑坡危险区、泥石流易发区和易导致自然景观破坏的区域采石、采砂、取土。</w:t>
      </w:r>
    </w:p>
    <w:p w14:paraId="45DD6BE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工程竣工后，取土场、开挖面和废弃的沙、石、土存放地的裸露土地，应</w:t>
      </w:r>
      <w:r>
        <w:rPr>
          <w:rFonts w:hint="eastAsia"/>
          <w:color w:val="000000" w:themeColor="text1"/>
          <w:sz w:val="24"/>
          <w14:textFill>
            <w14:solidFill>
              <w14:schemeClr w14:val="tx1"/>
            </w14:solidFill>
          </w14:textFill>
        </w:rPr>
        <w:t>选用适合当地生长的本地物种，或适宜的花草、灌木、乔木等植物进行绿化和养护，防止</w:t>
      </w:r>
      <w:r>
        <w:rPr>
          <w:color w:val="000000" w:themeColor="text1"/>
          <w:sz w:val="24"/>
          <w14:textFill>
            <w14:solidFill>
              <w14:schemeClr w14:val="tx1"/>
            </w14:solidFill>
          </w14:textFill>
        </w:rPr>
        <w:t>水土流失。</w:t>
      </w:r>
    </w:p>
    <w:p w14:paraId="5A8236F1">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3" w:name="_Toc417651981"/>
      <w:bookmarkStart w:id="214" w:name="_Toc132902857"/>
      <w:bookmarkStart w:id="215" w:name="_Toc429313773"/>
      <w:bookmarkStart w:id="216" w:name="_Toc19087202"/>
      <w:bookmarkStart w:id="217" w:name="_Toc22324041"/>
      <w:r>
        <w:rPr>
          <w:rFonts w:ascii="黑体" w:hAnsi="黑体" w:eastAsia="黑体" w:cs="Times New Roman"/>
          <w:color w:val="000000" w:themeColor="text1"/>
          <w:sz w:val="28"/>
          <w:szCs w:val="28"/>
          <w14:textFill>
            <w14:solidFill>
              <w14:schemeClr w14:val="tx1"/>
            </w14:solidFill>
          </w14:textFill>
        </w:rPr>
        <w:t>噪声控制</w:t>
      </w:r>
      <w:bookmarkEnd w:id="213"/>
      <w:bookmarkEnd w:id="214"/>
      <w:bookmarkEnd w:id="215"/>
      <w:bookmarkEnd w:id="216"/>
      <w:bookmarkEnd w:id="217"/>
    </w:p>
    <w:p w14:paraId="50829F3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通信建设项目在城市市区范围内向周围生活环境排放的建筑施工噪声，应当符合</w:t>
      </w:r>
      <w:r>
        <w:rPr>
          <w:b/>
          <w:color w:val="000000" w:themeColor="text1"/>
          <w:sz w:val="24"/>
          <w14:textFill>
            <w14:solidFill>
              <w14:schemeClr w14:val="tx1"/>
            </w14:solidFill>
          </w14:textFill>
        </w:rPr>
        <w:t>GB 12523-2011《建筑施工场界环境噪声排放标准》</w:t>
      </w:r>
      <w:r>
        <w:rPr>
          <w:color w:val="000000" w:themeColor="text1"/>
          <w:sz w:val="24"/>
          <w14:textFill>
            <w14:solidFill>
              <w14:schemeClr w14:val="tx1"/>
            </w14:solidFill>
          </w14:textFill>
        </w:rPr>
        <w:t>的规定，并符合当地环保部门的相关要求。</w:t>
      </w:r>
    </w:p>
    <w:p w14:paraId="3E227E0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在城市范围内的通信局（站），向周围生活环境排放噪声的，应符合</w:t>
      </w:r>
      <w:r>
        <w:rPr>
          <w:b/>
          <w:color w:val="000000" w:themeColor="text1"/>
          <w:sz w:val="24"/>
          <w14:textFill>
            <w14:solidFill>
              <w14:schemeClr w14:val="tx1"/>
            </w14:solidFill>
          </w14:textFill>
        </w:rPr>
        <w:t>GB 12348-2008《工业企业厂界噪声排放标准》</w:t>
      </w:r>
      <w:r>
        <w:rPr>
          <w:color w:val="000000" w:themeColor="text1"/>
          <w:sz w:val="24"/>
          <w14:textFill>
            <w14:solidFill>
              <w14:schemeClr w14:val="tx1"/>
            </w14:solidFill>
          </w14:textFill>
        </w:rPr>
        <w:t>的相关要求。</w:t>
      </w:r>
    </w:p>
    <w:p w14:paraId="4C4ADC1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必须保持防治环境噪声污染的设施正常使用；拆除或闲置环境噪声污染防治设施应报环境保护行政主管部门批准。</w:t>
      </w:r>
    </w:p>
    <w:p w14:paraId="6EE9511D">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18" w:name="_Toc19087203"/>
      <w:bookmarkStart w:id="219" w:name="_Toc22324042"/>
      <w:bookmarkStart w:id="220" w:name="_Toc132902858"/>
      <w:bookmarkStart w:id="221" w:name="_Toc417651982"/>
      <w:bookmarkStart w:id="222" w:name="_Toc429313774"/>
      <w:r>
        <w:rPr>
          <w:rFonts w:ascii="黑体" w:hAnsi="黑体" w:eastAsia="黑体" w:cs="Times New Roman"/>
          <w:color w:val="000000" w:themeColor="text1"/>
          <w:sz w:val="28"/>
          <w:szCs w:val="28"/>
          <w14:textFill>
            <w14:solidFill>
              <w14:schemeClr w14:val="tx1"/>
            </w14:solidFill>
          </w14:textFill>
        </w:rPr>
        <w:t>废旧物品回收及处置</w:t>
      </w:r>
      <w:bookmarkEnd w:id="218"/>
      <w:bookmarkEnd w:id="219"/>
      <w:bookmarkEnd w:id="220"/>
      <w:bookmarkEnd w:id="221"/>
      <w:bookmarkEnd w:id="222"/>
    </w:p>
    <w:p w14:paraId="07D9B6A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通信工程建设单位和施工单位应采取措施，防止或减少固体废物对环境的污染。施工单位应及时清运施工过程中产生的固体废弃物，并按照环境卫生行政主管部门的规定进行利用或处置。</w:t>
      </w:r>
    </w:p>
    <w:p w14:paraId="4641EF7A">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各类废旧物品的回收处理应按照相应的现行标准执行，原企业无力回收的应交由有资质的企业处置。</w:t>
      </w:r>
    </w:p>
    <w:p w14:paraId="6A8CF2F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江河、湖泊、运河、渠道、水库及其最高水位线以下的滩地和岸坡倾倒、堆放固体废弃物。废旧电池、废矿物油、含汞废日光灯管等毒性大、不宜用通用方法进行管理和处置的特殊危险废物，应与生活垃圾分类收集、妥善贮存、安全处置。</w:t>
      </w:r>
    </w:p>
    <w:p w14:paraId="3C529B51">
      <w:pPr>
        <w:spacing w:line="360" w:lineRule="auto"/>
        <w:ind w:firstLine="480"/>
        <w:rPr>
          <w:color w:val="000000" w:themeColor="text1"/>
          <w:sz w:val="24"/>
          <w14:textFill>
            <w14:solidFill>
              <w14:schemeClr w14:val="tx1"/>
            </w14:solidFill>
          </w14:textFill>
        </w:rPr>
      </w:pPr>
    </w:p>
    <w:p w14:paraId="481D503C">
      <w:pPr>
        <w:pStyle w:val="45"/>
        <w:numPr>
          <w:ilvl w:val="0"/>
          <w:numId w:val="1"/>
        </w:numPr>
        <w:rPr>
          <w:rFonts w:cs="Times New Roman"/>
          <w:color w:val="000000" w:themeColor="text1"/>
          <w:sz w:val="28"/>
          <w:szCs w:val="28"/>
          <w14:textFill>
            <w14:solidFill>
              <w14:schemeClr w14:val="tx1"/>
            </w14:solidFill>
          </w14:textFill>
        </w:rPr>
      </w:pPr>
      <w:bookmarkStart w:id="223" w:name="_Toc19087204"/>
      <w:bookmarkStart w:id="224" w:name="_Toc132902859"/>
      <w:bookmarkStart w:id="225" w:name="_Toc22324043"/>
      <w:bookmarkStart w:id="226" w:name="_Toc429313775"/>
      <w:bookmarkStart w:id="227" w:name="_Toc417651983"/>
      <w:bookmarkStart w:id="228" w:name="_Toc66786777"/>
      <w:bookmarkStart w:id="229" w:name="_Toc3086621"/>
      <w:r>
        <w:rPr>
          <w:rFonts w:cs="Times New Roman"/>
          <w:color w:val="000000" w:themeColor="text1"/>
          <w:sz w:val="28"/>
          <w:szCs w:val="28"/>
          <w14:textFill>
            <w14:solidFill>
              <w14:schemeClr w14:val="tx1"/>
            </w14:solidFill>
          </w14:textFill>
        </w:rPr>
        <w:t>节能减排</w:t>
      </w:r>
      <w:bookmarkEnd w:id="223"/>
      <w:bookmarkEnd w:id="224"/>
      <w:bookmarkEnd w:id="225"/>
      <w:bookmarkEnd w:id="226"/>
      <w:bookmarkEnd w:id="227"/>
    </w:p>
    <w:p w14:paraId="279BF78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本工程主要依靠技术进步，降低主设备和电源、配套设备的造价、运维费用及设备能耗，达到国家在设备节能、电磁辐射安全、环境污染等方面的标准，保证网络的可持续发展。</w:t>
      </w:r>
    </w:p>
    <w:p w14:paraId="25738E79">
      <w:pPr>
        <w:spacing w:line="360" w:lineRule="auto"/>
        <w:ind w:firstLine="480" w:firstLineChars="20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采购方面明确设备环保的要求，来加大绿色环保设备的采购力度。从网络发展的源头做起。设备厂家需要对产品的环保指标进行检测和报告，确保产品能够达到国内国际的环保的标准，以减少和避免产品对客户安全产生不利的影响。</w:t>
      </w:r>
    </w:p>
    <w:p w14:paraId="5D2D73AC">
      <w:pPr>
        <w:spacing w:line="360" w:lineRule="auto"/>
        <w:ind w:firstLine="480"/>
        <w:rPr>
          <w:color w:val="000000" w:themeColor="text1"/>
          <w:sz w:val="24"/>
          <w14:textFill>
            <w14:solidFill>
              <w14:schemeClr w14:val="tx1"/>
            </w14:solidFill>
          </w14:textFill>
        </w:rPr>
      </w:pPr>
    </w:p>
    <w:p w14:paraId="33BB84C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0" w:name="_Toc19087205"/>
      <w:bookmarkStart w:id="231" w:name="_Toc22324044"/>
      <w:bookmarkStart w:id="232" w:name="_Toc417651984"/>
      <w:bookmarkStart w:id="233" w:name="_Toc132902860"/>
      <w:bookmarkStart w:id="234" w:name="_Toc429313776"/>
      <w:r>
        <w:rPr>
          <w:rFonts w:ascii="黑体" w:hAnsi="黑体" w:eastAsia="黑体" w:cs="Times New Roman"/>
          <w:color w:val="000000" w:themeColor="text1"/>
          <w:sz w:val="28"/>
          <w:szCs w:val="28"/>
          <w14:textFill>
            <w14:solidFill>
              <w14:schemeClr w14:val="tx1"/>
            </w14:solidFill>
          </w14:textFill>
        </w:rPr>
        <w:t>移动通信基站节能遵循的基本原则</w:t>
      </w:r>
      <w:bookmarkEnd w:id="230"/>
      <w:bookmarkEnd w:id="231"/>
      <w:bookmarkEnd w:id="232"/>
      <w:bookmarkEnd w:id="233"/>
      <w:bookmarkEnd w:id="234"/>
    </w:p>
    <w:p w14:paraId="3BE15A0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（1）系统可靠性。节能绝不能以牺牲通信系统的安全作为代价。</w:t>
      </w:r>
    </w:p>
    <w:p w14:paraId="4F46831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技术可行性。节能降耗实现途径多种多样，各有其优缺点和适用范围。在实施过程中，要因地制宜，综合考虑设备要求、机房布局和地理位置等诸多因素，合理选择可行的节能技术，以实现节能效率的最大化。</w:t>
      </w:r>
    </w:p>
    <w:p w14:paraId="5F1F37E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（3）经济合理性。节能应兼顾经济效益增长，实施前期要做好试点工作，关注节能方案的投资回收期。</w:t>
      </w:r>
    </w:p>
    <w:p w14:paraId="4BB0AE7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35" w:name="_Toc429313777"/>
      <w:bookmarkStart w:id="236" w:name="_Toc132902861"/>
      <w:bookmarkStart w:id="237" w:name="_Toc19087206"/>
      <w:bookmarkStart w:id="238" w:name="_Toc22324045"/>
      <w:bookmarkStart w:id="239" w:name="_Toc417651985"/>
      <w:r>
        <w:rPr>
          <w:rFonts w:ascii="黑体" w:hAnsi="黑体" w:eastAsia="黑体" w:cs="Times New Roman"/>
          <w:color w:val="000000" w:themeColor="text1"/>
          <w:sz w:val="28"/>
          <w:szCs w:val="28"/>
          <w14:textFill>
            <w14:solidFill>
              <w14:schemeClr w14:val="tx1"/>
            </w14:solidFill>
          </w14:textFill>
        </w:rPr>
        <w:t>新建基站的节能减排主要实施方案</w:t>
      </w:r>
      <w:bookmarkEnd w:id="235"/>
      <w:bookmarkEnd w:id="236"/>
      <w:bookmarkEnd w:id="237"/>
      <w:bookmarkEnd w:id="238"/>
      <w:bookmarkEnd w:id="239"/>
    </w:p>
    <w:p w14:paraId="54224713">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配套设备节能</w:t>
      </w:r>
    </w:p>
    <w:p w14:paraId="420D8C0E">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智能通风系统</w:t>
      </w:r>
    </w:p>
    <w:p w14:paraId="1CC2BAF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确保基站运行环境要求的前提下，在基站安装智能通风控制系统，根据基站室内外温、湿度的监测和逻辑判别去控制基站智能通风设备，在满足一定条件下直接引入室外冷空气对基站进行自然冷却，并可联动控制基站原有空调设备的启停，有效降低基站空调的运行时间或替代基站空调设备，从而达到基站通风散热、降低基站电能消耗的目的。</w:t>
      </w:r>
    </w:p>
    <w:p w14:paraId="758C8E2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由于智能通风系统对空气洁净度有一定要求并且系统本身产生一定噪音，因此在选取站点的时候要注意尽量选择空气质量较好且避开民居的基站</w:t>
      </w:r>
    </w:p>
    <w:p w14:paraId="2C36F70A">
      <w:pPr>
        <w:pStyle w:val="50"/>
        <w:numPr>
          <w:ilvl w:val="0"/>
          <w:numId w:val="9"/>
        </w:numPr>
        <w:spacing w:line="360" w:lineRule="auto"/>
        <w:ind w:left="372" w:leftChars="177" w:firstLine="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智能通风窗</w:t>
      </w:r>
    </w:p>
    <w:p w14:paraId="53B0185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安装于活动机房的基站，根据空气流体学“冷空气向下运动、热空气向上运动”的原理，机房内、外部存在温差时，将形成气流压力差，因此，在机房每面墙的上部开孔装出风窗、墙体下面装进风窗，使得内、外空气形成对流，以达到自然散热的目的。同时系统可以在室内温度、室外湿度、室内外温差、风力达到设定值时，控制窗体的活动叶片关闭或开启状态，并可与空调进行联动，达到节能的目的。</w:t>
      </w:r>
    </w:p>
    <w:p w14:paraId="25A3B0E8">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基站节地、节材</w:t>
      </w:r>
    </w:p>
    <w:p w14:paraId="13C67732">
      <w:pPr>
        <w:tabs>
          <w:tab w:val="left" w:pos="720"/>
          <w:tab w:val="left" w:pos="144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的节地、节材主要通过基站建设的标准化来实现。通过科学测算、现场测试，积极推进基站的建筑标准化、铁塔标准化和设计标准化，重新拟定基站配套设备的建设标准，在确保网络安全和网络质量的前提下，对配套建设合理“瘦身”，实现节地、节材、节能。通过标准化建设降低网络建设成本。</w:t>
      </w:r>
    </w:p>
    <w:p w14:paraId="3FD7748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另外，力争在做到满足网络覆盖、业务需求的情况下，通过科学合理的网络规划，减少基站数量、降低设备发射功率、提高设备利用率，从而达到降低基站能耗、降低建站成本及维护成本的目的。</w:t>
      </w:r>
      <w:bookmarkEnd w:id="228"/>
      <w:bookmarkEnd w:id="229"/>
    </w:p>
    <w:p w14:paraId="479D73AC">
      <w:pPr>
        <w:spacing w:line="360" w:lineRule="auto"/>
        <w:ind w:firstLine="480"/>
        <w:rPr>
          <w:color w:val="000000" w:themeColor="text1"/>
          <w:sz w:val="24"/>
          <w14:textFill>
            <w14:solidFill>
              <w14:schemeClr w14:val="tx1"/>
            </w14:solidFill>
          </w14:textFill>
        </w:rPr>
      </w:pPr>
    </w:p>
    <w:p w14:paraId="7E6B5C28">
      <w:pPr>
        <w:pStyle w:val="45"/>
        <w:numPr>
          <w:ilvl w:val="0"/>
          <w:numId w:val="1"/>
        </w:numPr>
        <w:rPr>
          <w:rFonts w:cs="Times New Roman"/>
          <w:color w:val="000000" w:themeColor="text1"/>
          <w:sz w:val="28"/>
          <w:szCs w:val="28"/>
          <w14:textFill>
            <w14:solidFill>
              <w14:schemeClr w14:val="tx1"/>
            </w14:solidFill>
          </w14:textFill>
        </w:rPr>
      </w:pPr>
      <w:bookmarkStart w:id="240" w:name="_Toc19087207"/>
      <w:bookmarkStart w:id="241" w:name="_Toc22324046"/>
      <w:bookmarkStart w:id="242" w:name="_Toc132902862"/>
      <w:r>
        <w:rPr>
          <w:rFonts w:cs="Times New Roman"/>
          <w:color w:val="000000" w:themeColor="text1"/>
          <w:sz w:val="28"/>
          <w:szCs w:val="28"/>
          <w14:textFill>
            <w14:solidFill>
              <w14:schemeClr w14:val="tx1"/>
            </w14:solidFill>
          </w14:textFill>
        </w:rPr>
        <w:t>通信建设工程标准强制性条文</w:t>
      </w:r>
      <w:bookmarkEnd w:id="240"/>
      <w:bookmarkEnd w:id="241"/>
      <w:bookmarkEnd w:id="242"/>
      <w:bookmarkStart w:id="243" w:name="_Hlk112782364"/>
    </w:p>
    <w:p w14:paraId="77BB6017">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 YD 5003-2014 4.0.3</w:t>
      </w:r>
      <w:r>
        <w:rPr>
          <w:rFonts w:ascii="Times New Roman" w:hAnsi="Times New Roman"/>
          <w:bCs/>
          <w:color w:val="000000" w:themeColor="text1"/>
          <w:sz w:val="24"/>
          <w14:textFill>
            <w14:solidFill>
              <w14:schemeClr w14:val="tx1"/>
            </w14:solidFill>
          </w14:textFill>
        </w:rPr>
        <w:t>规定：</w:t>
      </w:r>
    </w:p>
    <w:p w14:paraId="6A62526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局、站址应有安全环境，不应选择在生产及储存易燃、易爆、有毒物质的建筑物和堆积场附近。</w:t>
      </w:r>
    </w:p>
    <w:p w14:paraId="590049F4">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4.0.5</w:t>
      </w:r>
      <w:r>
        <w:rPr>
          <w:rFonts w:ascii="Times New Roman" w:hAnsi="Times New Roman"/>
          <w:bCs/>
          <w:color w:val="000000" w:themeColor="text1"/>
          <w:sz w:val="24"/>
          <w14:textFill>
            <w14:solidFill>
              <w14:schemeClr w14:val="tx1"/>
            </w14:solidFill>
          </w14:textFill>
        </w:rPr>
        <w:t>规定：</w:t>
      </w:r>
    </w:p>
    <w:p w14:paraId="7B21FE3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局、站址不应选择在易受洪水淹灌的地区；无法避开时，可选在场地高程高于计算洪水水位0.5 m以上的地方；仍达不到上述要求时，应符合GB 50201《防洪标准》的要求：</w:t>
      </w:r>
    </w:p>
    <w:p w14:paraId="622359E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a）.城市已有防洪设施，并能保证建筑物的安全时，可不采取防洪措施，但应防止内涝对生产的影响。</w:t>
      </w:r>
    </w:p>
    <w:p w14:paraId="013BDFF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b）.城市没有设防时，通信建筑应采取防洪措施，洪水计算水位应将浪高及其他原因的壅水增高考虑在内。</w:t>
      </w:r>
    </w:p>
    <w:p w14:paraId="710C98D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c）.洪水频率应按通信建筑的等级确定：特别重要的及重要的通信建筑防洪标准等级为I级，重现期(年)为100年；其余的通信建筑为II级，重现期(年)为50年。</w:t>
      </w:r>
    </w:p>
    <w:p w14:paraId="0B4F74B4">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通信建筑工程设计规范》YD 5003-2014 8.3.2</w:t>
      </w:r>
      <w:r>
        <w:rPr>
          <w:rFonts w:ascii="Times New Roman" w:hAnsi="Times New Roman"/>
          <w:color w:val="000000" w:themeColor="text1"/>
          <w:sz w:val="24"/>
          <w14:textFill>
            <w14:solidFill>
              <w14:schemeClr w14:val="tx1"/>
            </w14:solidFill>
          </w14:textFill>
        </w:rPr>
        <w:t>规定：</w:t>
      </w:r>
    </w:p>
    <w:p w14:paraId="023CD64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在地震区，通信建筑应避开抗震不利地段；当条件不允许避开不利地段时，应采取有效措施；对危险地段，严禁建造特殊设防类(甲类)、重点设防类(乙类)通信建筑，不应建造标准设防类(丙类)通信建筑。</w:t>
      </w:r>
    </w:p>
    <w:p w14:paraId="72F49D02">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《移动通信直放站工程技术规范》YD 5115-2015 5.0.7</w:t>
      </w:r>
      <w:r>
        <w:rPr>
          <w:rFonts w:ascii="Times New Roman" w:hAnsi="Times New Roman"/>
          <w:color w:val="000000" w:themeColor="text1"/>
          <w:sz w:val="24"/>
          <w14:textFill>
            <w14:solidFill>
              <w14:schemeClr w14:val="tx1"/>
            </w14:solidFill>
          </w14:textFill>
        </w:rPr>
        <w:t>规定：</w:t>
      </w:r>
    </w:p>
    <w:p w14:paraId="2D38394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严禁在易燃、易爆的仓库、材料堆积场以及在生产过程中容易发生火灾和有爆炸危险的区域设站。</w:t>
      </w:r>
    </w:p>
    <w:p w14:paraId="60FB6589">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3.2.2</w:t>
      </w:r>
      <w:r>
        <w:rPr>
          <w:rFonts w:ascii="Times New Roman" w:hAnsi="Times New Roman"/>
          <w:color w:val="000000" w:themeColor="text1"/>
          <w:sz w:val="24"/>
          <w14:textFill>
            <w14:solidFill>
              <w14:schemeClr w14:val="tx1"/>
            </w14:solidFill>
          </w14:textFill>
        </w:rPr>
        <w:t>规定：</w:t>
      </w:r>
    </w:p>
    <w:p w14:paraId="277330C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通信建筑的结构安全等级应符合下列规定：</w:t>
      </w:r>
    </w:p>
    <w:p w14:paraId="0924283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a）.特别重要的及重要的通信建筑结构的安全等级为一级；</w:t>
      </w:r>
    </w:p>
    <w:p w14:paraId="4B28074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b）.其他通信建筑结构的安全等级为二级。</w:t>
      </w:r>
    </w:p>
    <w:p w14:paraId="59ACBA5C">
      <w:pPr>
        <w:pStyle w:val="50"/>
        <w:numPr>
          <w:ilvl w:val="0"/>
          <w:numId w:val="10"/>
        </w:numPr>
        <w:spacing w:line="360" w:lineRule="auto"/>
        <w:ind w:left="567" w:hanging="153"/>
        <w:rPr>
          <w:rFonts w:ascii="Times New Roman" w:hAnsi="Times New Roman"/>
          <w:bCs/>
          <w:color w:val="000000" w:themeColor="text1"/>
          <w:sz w:val="24"/>
          <w14:textFill>
            <w14:solidFill>
              <w14:schemeClr w14:val="tx1"/>
            </w14:solidFill>
          </w14:textFill>
        </w:rPr>
      </w:pPr>
      <w:bookmarkStart w:id="244" w:name="_Toc359309935"/>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2020 4.1.5</w:t>
      </w:r>
      <w:r>
        <w:rPr>
          <w:rFonts w:ascii="Times New Roman" w:hAnsi="Times New Roman"/>
          <w:bCs/>
          <w:color w:val="000000" w:themeColor="text1"/>
          <w:sz w:val="24"/>
          <w14:textFill>
            <w14:solidFill>
              <w14:schemeClr w14:val="tx1"/>
            </w14:solidFill>
          </w14:textFill>
        </w:rPr>
        <w:t>规定：</w:t>
      </w:r>
      <w:bookmarkEnd w:id="244"/>
    </w:p>
    <w:p w14:paraId="52764DC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杆路与35kV以上电力线应垂直交越，不能垂直交越时，最小交越角度不得小于45度。</w:t>
      </w:r>
    </w:p>
    <w:p w14:paraId="1F9212B9">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《架空光（电）缆通信杆路工程</w:t>
      </w:r>
      <w:r>
        <w:rPr>
          <w:rFonts w:hint="eastAsia" w:ascii="Times New Roman" w:hAnsi="Times New Roman"/>
          <w:b/>
          <w:color w:val="000000" w:themeColor="text1"/>
          <w:sz w:val="24"/>
          <w14:textFill>
            <w14:solidFill>
              <w14:schemeClr w14:val="tx1"/>
            </w14:solidFill>
          </w14:textFill>
        </w:rPr>
        <w:t>技术标准</w:t>
      </w:r>
      <w:r>
        <w:rPr>
          <w:rFonts w:ascii="Times New Roman" w:hAnsi="Times New Roman"/>
          <w:b/>
          <w:color w:val="000000" w:themeColor="text1"/>
          <w:sz w:val="24"/>
          <w14:textFill>
            <w14:solidFill>
              <w14:schemeClr w14:val="tx1"/>
            </w14:solidFill>
          </w14:textFill>
        </w:rPr>
        <w:t>》GB/T51421</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2020 4.1.6</w:t>
      </w:r>
      <w:r>
        <w:rPr>
          <w:rFonts w:ascii="Times New Roman" w:hAnsi="Times New Roman"/>
          <w:color w:val="000000" w:themeColor="text1"/>
          <w:sz w:val="24"/>
          <w14:textFill>
            <w14:solidFill>
              <w14:schemeClr w14:val="tx1"/>
            </w14:solidFill>
          </w14:textFill>
        </w:rPr>
        <w:t>规定：</w:t>
      </w:r>
    </w:p>
    <w:p w14:paraId="41E517BA">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架空光（电）缆与电气设施交越时的最小垂子净距应符合表4</w:t>
      </w:r>
      <w:r>
        <w:rPr>
          <w:color w:val="000000" w:themeColor="text1"/>
          <w:sz w:val="24"/>
          <w14:textFill>
            <w14:solidFill>
              <w14:schemeClr w14:val="tx1"/>
            </w14:solidFill>
          </w14:textFill>
        </w:rPr>
        <w:t>.1.6</w:t>
      </w:r>
      <w:r>
        <w:rPr>
          <w:rFonts w:hint="eastAsia"/>
          <w:color w:val="000000" w:themeColor="text1"/>
          <w:sz w:val="24"/>
          <w14:textFill>
            <w14:solidFill>
              <w14:schemeClr w14:val="tx1"/>
            </w14:solidFill>
          </w14:textFill>
        </w:rPr>
        <w:t>的规定。</w:t>
      </w:r>
    </w:p>
    <w:p w14:paraId="0CCC103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《通信建筑工程设计规范》YD 5003-2014 6.3.3</w:t>
      </w:r>
      <w:r>
        <w:rPr>
          <w:rFonts w:ascii="Times New Roman" w:hAnsi="Times New Roman"/>
          <w:color w:val="000000" w:themeColor="text1"/>
          <w:sz w:val="24"/>
          <w14:textFill>
            <w14:solidFill>
              <w14:schemeClr w14:val="tx1"/>
            </w14:solidFill>
          </w14:textFill>
        </w:rPr>
        <w:t>规定：</w:t>
      </w:r>
    </w:p>
    <w:p w14:paraId="0B96D91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局址内禁止设置公众停车场。</w:t>
      </w:r>
    </w:p>
    <w:p w14:paraId="3511EE70">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14:paraId="0BF51E4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监理人员应对电信专用房屋建筑的耐火等级进行重点检查验收并核实电信专用房屋每层每个防火分区建筑面积是否符合《邮电建筑设计防火规范》YD 5002-2005有关规定。</w:t>
      </w:r>
    </w:p>
    <w:p w14:paraId="55981AC1">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14:paraId="4747537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重点检查电缆井、管道井是否已在每层楼板处用符合设计要求的非燃烧体进行防火分隔；检验通过楼板及墙体之间的孔洞、电缆与楼板间的孔隙是否已用非燃烧体材料密封，以及检验室内装修材料的阻燃性能。</w:t>
      </w:r>
    </w:p>
    <w:p w14:paraId="16594DDA">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9.0.3</w:t>
      </w:r>
      <w:r>
        <w:rPr>
          <w:rFonts w:ascii="Times New Roman" w:hAnsi="Times New Roman"/>
          <w:color w:val="000000" w:themeColor="text1"/>
          <w:sz w:val="24"/>
          <w14:textFill>
            <w14:solidFill>
              <w14:schemeClr w14:val="tx1"/>
            </w14:solidFill>
          </w14:textFill>
        </w:rPr>
        <w:t>规定：</w:t>
      </w:r>
    </w:p>
    <w:p w14:paraId="7B0C6D5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机房内的导线应采用阻燃电缆或耐火电缆。</w:t>
      </w:r>
    </w:p>
    <w:p w14:paraId="26CAEDC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《通信高压直流电源设备工程设计规范》GB 51215-2017 7.1.1</w:t>
      </w:r>
      <w:r>
        <w:rPr>
          <w:rFonts w:ascii="Times New Roman" w:hAnsi="Times New Roman"/>
          <w:color w:val="000000" w:themeColor="text1"/>
          <w:sz w:val="24"/>
          <w14:textFill>
            <w14:solidFill>
              <w14:schemeClr w14:val="tx1"/>
            </w14:solidFill>
          </w14:textFill>
        </w:rPr>
        <w:t>规定：</w:t>
      </w:r>
    </w:p>
    <w:p w14:paraId="5210E96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机房内的导线必须采用非延燃电缆。</w:t>
      </w:r>
    </w:p>
    <w:p w14:paraId="6DD6BC6D">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《通信高压直流电源设备工程设计规范》GB 51215-2017 8.1.1规定：</w:t>
      </w:r>
    </w:p>
    <w:p w14:paraId="6207A1A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系统直流输出必须具备绝缘监察功能，并应对总母排的对地绝缘状态进行在线监测。</w:t>
      </w:r>
    </w:p>
    <w:p w14:paraId="59D1477A">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14:paraId="4CAFFBE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重点检查消防系统导线和电缆的产品合格证书或质量保证书，保证其阻燃耐火性能符合要求。</w:t>
      </w:r>
    </w:p>
    <w:p w14:paraId="1660561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2.0.10</w:t>
      </w:r>
      <w:r>
        <w:rPr>
          <w:rFonts w:ascii="Times New Roman" w:hAnsi="Times New Roman"/>
          <w:color w:val="000000" w:themeColor="text1"/>
          <w:sz w:val="24"/>
          <w14:textFill>
            <w14:solidFill>
              <w14:schemeClr w14:val="tx1"/>
            </w14:solidFill>
          </w14:textFill>
        </w:rPr>
        <w:t>规定：</w:t>
      </w:r>
    </w:p>
    <w:p w14:paraId="08D3838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机房内严禁存放易燃、易爆等危险物品。</w:t>
      </w:r>
    </w:p>
    <w:p w14:paraId="35699D59">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5" w:name="_Toc359309830"/>
      <w:r>
        <w:rPr>
          <w:rFonts w:ascii="Times New Roman" w:hAnsi="Times New Roman"/>
          <w:b/>
          <w:color w:val="000000" w:themeColor="text1"/>
          <w:sz w:val="24"/>
          <w14:textFill>
            <w14:solidFill>
              <w14:schemeClr w14:val="tx1"/>
            </w14:solidFill>
          </w14:textFill>
        </w:rPr>
        <w:t>《通信建筑抗震设防分类标准》YD/T 5054-2019 1.0.4</w:t>
      </w:r>
      <w:r>
        <w:rPr>
          <w:rFonts w:ascii="Times New Roman" w:hAnsi="Times New Roman"/>
          <w:color w:val="000000" w:themeColor="text1"/>
          <w:sz w:val="24"/>
          <w14:textFill>
            <w14:solidFill>
              <w14:schemeClr w14:val="tx1"/>
            </w14:solidFill>
          </w14:textFill>
        </w:rPr>
        <w:t>规定：</w:t>
      </w:r>
      <w:bookmarkEnd w:id="245"/>
    </w:p>
    <w:p w14:paraId="2FC627DD">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通信建筑工程应按本标准划分的抗震设防类别进行抗震设计外，尚应符合国家现行的有关强制性标准的规定</w:t>
      </w:r>
      <w:r>
        <w:rPr>
          <w:color w:val="000000" w:themeColor="text1"/>
          <w:sz w:val="24"/>
          <w14:textFill>
            <w14:solidFill>
              <w14:schemeClr w14:val="tx1"/>
            </w14:solidFill>
          </w14:textFill>
        </w:rPr>
        <w:t>。</w:t>
      </w:r>
    </w:p>
    <w:p w14:paraId="5FF41C87">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6" w:name="_Toc359481948"/>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5.1.1</w:t>
      </w:r>
      <w:r>
        <w:rPr>
          <w:rFonts w:ascii="Times New Roman" w:hAnsi="Times New Roman"/>
          <w:color w:val="000000" w:themeColor="text1"/>
          <w:sz w:val="24"/>
          <w14:textFill>
            <w14:solidFill>
              <w14:schemeClr w14:val="tx1"/>
            </w14:solidFill>
          </w14:textFill>
        </w:rPr>
        <w:t>规定：</w:t>
      </w:r>
      <w:bookmarkEnd w:id="246"/>
    </w:p>
    <w:p w14:paraId="32F75FA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应与联结架或顶部支撑构件连接。联结架的构件之间或顶部支撑构件应按有关规定联结牢固，使之成为一个整体，并与房屋结构锚固。联结架见本标准图5</w:t>
      </w:r>
      <w:r>
        <w:rPr>
          <w:color w:val="000000" w:themeColor="text1"/>
          <w:sz w:val="24"/>
          <w14:textFill>
            <w14:solidFill>
              <w14:schemeClr w14:val="tx1"/>
            </w14:solidFill>
          </w14:textFill>
        </w:rPr>
        <w:t>.1.1</w:t>
      </w:r>
    </w:p>
    <w:p w14:paraId="571E5A9F">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7" w:name="_Toc359481949"/>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5.1.2</w:t>
      </w:r>
      <w:r>
        <w:rPr>
          <w:rFonts w:ascii="Times New Roman" w:hAnsi="Times New Roman"/>
          <w:color w:val="000000" w:themeColor="text1"/>
          <w:sz w:val="24"/>
          <w14:textFill>
            <w14:solidFill>
              <w14:schemeClr w14:val="tx1"/>
            </w14:solidFill>
          </w14:textFill>
        </w:rPr>
        <w:t>规定：</w:t>
      </w:r>
      <w:bookmarkEnd w:id="247"/>
    </w:p>
    <w:p w14:paraId="42875962">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14:paraId="5D7CD35A">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8" w:name="_Toc359481950"/>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5.1.3</w:t>
      </w:r>
      <w:r>
        <w:rPr>
          <w:rFonts w:ascii="Times New Roman" w:hAnsi="Times New Roman"/>
          <w:color w:val="000000" w:themeColor="text1"/>
          <w:sz w:val="24"/>
          <w14:textFill>
            <w14:solidFill>
              <w14:schemeClr w14:val="tx1"/>
            </w14:solidFill>
          </w14:textFill>
        </w:rPr>
        <w:t>规定：</w:t>
      </w:r>
      <w:bookmarkEnd w:id="248"/>
    </w:p>
    <w:p w14:paraId="18C4F9DE">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架式通信设备底部应与楼板锚固，锚固的规格应按本标准第4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p>
    <w:p w14:paraId="57B268C7">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5.1.4</w:t>
      </w:r>
      <w:r>
        <w:rPr>
          <w:rFonts w:ascii="Times New Roman" w:hAnsi="Times New Roman"/>
          <w:color w:val="000000" w:themeColor="text1"/>
          <w:sz w:val="24"/>
          <w14:textFill>
            <w14:solidFill>
              <w14:schemeClr w14:val="tx1"/>
            </w14:solidFill>
          </w14:textFill>
        </w:rPr>
        <w:t>规定：</w:t>
      </w:r>
    </w:p>
    <w:p w14:paraId="726A7DCC">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锚固架式设备的联结架应通过连固铁、旁侧撑铁、列间撑铁等与房屋承重结构进行锚固。连固铁、旁侧撑铁、列间撑铁等支撑构件规格及锚栓规格应按本标准第4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14:paraId="7A68DD56">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6.1.1</w:t>
      </w:r>
      <w:r>
        <w:rPr>
          <w:rFonts w:ascii="Times New Roman" w:hAnsi="Times New Roman"/>
          <w:color w:val="000000" w:themeColor="text1"/>
          <w:sz w:val="24"/>
          <w14:textFill>
            <w14:solidFill>
              <w14:schemeClr w14:val="tx1"/>
            </w14:solidFill>
          </w14:textFill>
        </w:rPr>
        <w:t>规定：</w:t>
      </w:r>
    </w:p>
    <w:p w14:paraId="2400318B">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抗震设防时，应采用刚抗震架（柜）安装蓄电池组，刚抗震架（柜）底部应与地面锚固，锚固用锚栓规格数量应按本标准第4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w:t>
      </w:r>
    </w:p>
    <w:p w14:paraId="36795A5E">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49" w:name="_Toc35948196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通信设备安装工程抗震设计标准</w:t>
      </w:r>
      <w:r>
        <w:rPr>
          <w:rFonts w:ascii="Times New Roman" w:hAnsi="Times New Roman"/>
          <w:b/>
          <w:color w:val="000000" w:themeColor="text1"/>
          <w:sz w:val="24"/>
          <w14:textFill>
            <w14:solidFill>
              <w14:schemeClr w14:val="tx1"/>
            </w14:solidFill>
          </w14:textFill>
        </w:rPr>
        <w:t>》GB/T 51369-2019 6.5.1</w:t>
      </w:r>
      <w:r>
        <w:rPr>
          <w:rFonts w:ascii="Times New Roman" w:hAnsi="Times New Roman"/>
          <w:color w:val="000000" w:themeColor="text1"/>
          <w:sz w:val="24"/>
          <w14:textFill>
            <w14:solidFill>
              <w14:schemeClr w14:val="tx1"/>
            </w14:solidFill>
          </w14:textFill>
        </w:rPr>
        <w:t>规定：</w:t>
      </w:r>
      <w:bookmarkEnd w:id="249"/>
    </w:p>
    <w:p w14:paraId="688C9CD1">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蓄电池组与电源设备之间应采用软电缆连接，并满足工程要求的变形余量</w:t>
      </w:r>
      <w:r>
        <w:rPr>
          <w:color w:val="000000" w:themeColor="text1"/>
          <w:sz w:val="24"/>
          <w14:textFill>
            <w14:solidFill>
              <w14:schemeClr w14:val="tx1"/>
            </w14:solidFill>
          </w14:textFill>
        </w:rPr>
        <w:t>。</w:t>
      </w:r>
    </w:p>
    <w:p w14:paraId="7568E181">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1.0.4</w:t>
      </w:r>
      <w:r>
        <w:rPr>
          <w:rFonts w:ascii="Times New Roman" w:hAnsi="Times New Roman"/>
          <w:color w:val="000000" w:themeColor="text1"/>
          <w:sz w:val="24"/>
          <w14:textFill>
            <w14:solidFill>
              <w14:schemeClr w14:val="tx1"/>
            </w14:solidFill>
          </w14:textFill>
        </w:rPr>
        <w:t>规定：</w:t>
      </w:r>
    </w:p>
    <w:p w14:paraId="539FFB1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在我国抗震设防烈度7度以上（含7度）地区，公用电信网中使用的电源设备必须满足抗震设防要求。</w:t>
      </w:r>
    </w:p>
    <w:p w14:paraId="3B6F6F8D">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《通信用电源设备抗地震</w:t>
      </w:r>
      <w:r>
        <w:rPr>
          <w:rFonts w:hint="eastAsia" w:ascii="Times New Roman" w:hAnsi="Times New Roman"/>
          <w:b/>
          <w:color w:val="000000" w:themeColor="text1"/>
          <w:sz w:val="24"/>
          <w14:textFill>
            <w14:solidFill>
              <w14:schemeClr w14:val="tx1"/>
            </w14:solidFill>
          </w14:textFill>
        </w:rPr>
        <w:t>性能</w:t>
      </w:r>
      <w:r>
        <w:rPr>
          <w:rFonts w:ascii="Times New Roman" w:hAnsi="Times New Roman"/>
          <w:b/>
          <w:color w:val="000000" w:themeColor="text1"/>
          <w:sz w:val="24"/>
          <w14:textFill>
            <w14:solidFill>
              <w14:schemeClr w14:val="tx1"/>
            </w14:solidFill>
          </w14:textFill>
        </w:rPr>
        <w:t>检测规范》YD/T 5096-2016 1.0.2</w:t>
      </w:r>
    </w:p>
    <w:p w14:paraId="3D174CC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在我国抗震设防烈度7度</w:t>
      </w:r>
      <w:r>
        <w:rPr>
          <w:rFonts w:hint="eastAsia"/>
          <w:color w:val="000000" w:themeColor="text1"/>
          <w:sz w:val="24"/>
          <w14:textFill>
            <w14:solidFill>
              <w14:schemeClr w14:val="tx1"/>
            </w14:solidFill>
          </w14:textFill>
        </w:rPr>
        <w:t>及</w:t>
      </w:r>
      <w:r>
        <w:rPr>
          <w:color w:val="000000" w:themeColor="text1"/>
          <w:sz w:val="24"/>
          <w14:textFill>
            <w14:solidFill>
              <w14:schemeClr w14:val="tx1"/>
            </w14:solidFill>
          </w14:textFill>
        </w:rPr>
        <w:t>以上地区</w:t>
      </w:r>
      <w:r>
        <w:rPr>
          <w:rFonts w:hint="eastAsia"/>
          <w:color w:val="000000" w:themeColor="text1"/>
          <w:sz w:val="24"/>
          <w14:textFill>
            <w14:solidFill>
              <w14:schemeClr w14:val="tx1"/>
            </w14:solidFill>
          </w14:textFill>
        </w:rPr>
        <w:t>进行电信网络建设时应满足抗震设防的要求，使用的主要电信设备结构抗震性能应符合YD</w:t>
      </w:r>
      <w:r>
        <w:rPr>
          <w:color w:val="000000" w:themeColor="text1"/>
          <w:sz w:val="24"/>
          <w14:textFill>
            <w14:solidFill>
              <w14:schemeClr w14:val="tx1"/>
            </w14:solidFill>
          </w14:textFill>
        </w:rPr>
        <w:t xml:space="preserve"> 5083</w:t>
      </w:r>
      <w:r>
        <w:rPr>
          <w:rFonts w:hint="eastAsia"/>
          <w:color w:val="000000" w:themeColor="text1"/>
          <w:sz w:val="24"/>
          <w14:textFill>
            <w14:solidFill>
              <w14:schemeClr w14:val="tx1"/>
            </w14:solidFill>
          </w14:textFill>
        </w:rPr>
        <w:t>《信息通信设备抗震性能检测规范》的规定，抗震通信技术性能应符合本规范的规定</w:t>
      </w:r>
      <w:r>
        <w:rPr>
          <w:color w:val="000000" w:themeColor="text1"/>
          <w:sz w:val="24"/>
          <w14:textFill>
            <w14:solidFill>
              <w14:schemeClr w14:val="tx1"/>
            </w14:solidFill>
          </w14:textFill>
        </w:rPr>
        <w:t>。</w:t>
      </w:r>
    </w:p>
    <w:p w14:paraId="41E9AFAF">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《通信电源设备安装工程设计规范》GB 51194-2016 7.0.2</w:t>
      </w:r>
      <w:r>
        <w:rPr>
          <w:rFonts w:ascii="Times New Roman" w:hAnsi="Times New Roman"/>
          <w:color w:val="000000" w:themeColor="text1"/>
          <w:sz w:val="24"/>
          <w14:textFill>
            <w14:solidFill>
              <w14:schemeClr w14:val="tx1"/>
            </w14:solidFill>
          </w14:textFill>
        </w:rPr>
        <w:t>规定：</w:t>
      </w:r>
    </w:p>
    <w:p w14:paraId="3D059F4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通信局站应采用联合接地方式。</w:t>
      </w:r>
    </w:p>
    <w:p w14:paraId="1BBCEE7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《电信专用房屋工程施工监理规范》YD/T 5073-2021</w:t>
      </w:r>
      <w:r>
        <w:rPr>
          <w:rFonts w:ascii="Times New Roman" w:hAnsi="Times New Roman"/>
          <w:color w:val="000000" w:themeColor="text1"/>
          <w:sz w:val="24"/>
          <w14:textFill>
            <w14:solidFill>
              <w14:schemeClr w14:val="tx1"/>
            </w14:solidFill>
          </w14:textFill>
        </w:rPr>
        <w:t>规定：</w:t>
      </w:r>
    </w:p>
    <w:p w14:paraId="3A152C7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监理工程师应检查所用材料的质量，要求符合设计要求，检查接地装置和接地电阻值。</w:t>
      </w:r>
    </w:p>
    <w:p w14:paraId="5958886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《通信电源设备安装工程验收规范》GB 51199-2016 3.3.5</w:t>
      </w:r>
      <w:r>
        <w:rPr>
          <w:rFonts w:ascii="Times New Roman" w:hAnsi="Times New Roman"/>
          <w:color w:val="000000" w:themeColor="text1"/>
          <w:sz w:val="24"/>
          <w14:textFill>
            <w14:solidFill>
              <w14:schemeClr w14:val="tx1"/>
            </w14:solidFill>
          </w14:textFill>
        </w:rPr>
        <w:t>规定：</w:t>
      </w:r>
    </w:p>
    <w:p w14:paraId="3475E52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电源线中间严禁有接头。</w:t>
      </w:r>
    </w:p>
    <w:p w14:paraId="29E60907">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3.3.3</w:t>
      </w:r>
      <w:r>
        <w:rPr>
          <w:rFonts w:ascii="Times New Roman" w:hAnsi="Times New Roman"/>
          <w:color w:val="000000" w:themeColor="text1"/>
          <w:sz w:val="24"/>
          <w14:textFill>
            <w14:solidFill>
              <w14:schemeClr w14:val="tx1"/>
            </w14:solidFill>
          </w14:textFill>
        </w:rPr>
        <w:t>规定：</w:t>
      </w:r>
    </w:p>
    <w:p w14:paraId="78F519E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直流电源线、交流电源线、信号线</w:t>
      </w:r>
      <w:r>
        <w:rPr>
          <w:rFonts w:hint="eastAsia"/>
          <w:color w:val="000000" w:themeColor="text1"/>
          <w:sz w:val="24"/>
          <w14:textFill>
            <w14:solidFill>
              <w14:schemeClr w14:val="tx1"/>
            </w14:solidFill>
          </w14:textFill>
        </w:rPr>
        <w:t>应</w:t>
      </w:r>
      <w:r>
        <w:rPr>
          <w:color w:val="000000" w:themeColor="text1"/>
          <w:sz w:val="24"/>
          <w14:textFill>
            <w14:solidFill>
              <w14:schemeClr w14:val="tx1"/>
            </w14:solidFill>
          </w14:textFill>
        </w:rPr>
        <w:t>分开布放，应避免在同一线束内。</w:t>
      </w:r>
    </w:p>
    <w:p w14:paraId="6DF05E67">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《通信电源设备安装</w:t>
      </w:r>
      <w:r>
        <w:rPr>
          <w:rFonts w:hint="eastAsia" w:ascii="Times New Roman" w:hAnsi="Times New Roman"/>
          <w:b/>
          <w:color w:val="000000" w:themeColor="text1"/>
          <w:sz w:val="24"/>
          <w14:textFill>
            <w14:solidFill>
              <w14:schemeClr w14:val="tx1"/>
            </w14:solidFill>
          </w14:textFill>
        </w:rPr>
        <w:t>工程</w:t>
      </w:r>
      <w:r>
        <w:rPr>
          <w:rFonts w:ascii="Times New Roman" w:hAnsi="Times New Roman"/>
          <w:b/>
          <w:color w:val="000000" w:themeColor="text1"/>
          <w:sz w:val="24"/>
          <w14:textFill>
            <w14:solidFill>
              <w14:schemeClr w14:val="tx1"/>
            </w14:solidFill>
          </w14:textFill>
        </w:rPr>
        <w:t>验收规范》GB 51199-2016 3.3.4</w:t>
      </w:r>
      <w:r>
        <w:rPr>
          <w:rFonts w:ascii="Times New Roman" w:hAnsi="Times New Roman"/>
          <w:color w:val="000000" w:themeColor="text1"/>
          <w:sz w:val="24"/>
          <w14:textFill>
            <w14:solidFill>
              <w14:schemeClr w14:val="tx1"/>
            </w14:solidFill>
          </w14:textFill>
        </w:rPr>
        <w:t>规定：</w:t>
      </w:r>
    </w:p>
    <w:p w14:paraId="3962965F">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电源线外皮应符合表3</w:t>
      </w:r>
      <w:r>
        <w:rPr>
          <w:color w:val="000000" w:themeColor="text1"/>
          <w:sz w:val="24"/>
          <w14:textFill>
            <w14:solidFill>
              <w14:schemeClr w14:val="tx1"/>
            </w14:solidFill>
          </w14:textFill>
        </w:rPr>
        <w:t>.3.4</w:t>
      </w:r>
      <w:r>
        <w:rPr>
          <w:rFonts w:hint="eastAsia"/>
          <w:color w:val="000000" w:themeColor="text1"/>
          <w:sz w:val="24"/>
          <w14:textFill>
            <w14:solidFill>
              <w14:schemeClr w14:val="tx1"/>
            </w14:solidFill>
          </w14:textFill>
        </w:rPr>
        <w:t>规定，直流电源线正极为红色，负极为蓝色；交流电源线L</w:t>
      </w: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相为黄色，L2相为绿色，L</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相为红色，中性线为浅蓝色，保护接地线为黄绿色。</w:t>
      </w:r>
    </w:p>
    <w:p w14:paraId="162F8538">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3.6.8</w:t>
      </w:r>
      <w:r>
        <w:rPr>
          <w:rFonts w:ascii="Times New Roman" w:hAnsi="Times New Roman"/>
          <w:color w:val="000000" w:themeColor="text1"/>
          <w:sz w:val="24"/>
          <w14:textFill>
            <w14:solidFill>
              <w14:schemeClr w14:val="tx1"/>
            </w14:solidFill>
          </w14:textFill>
        </w:rPr>
        <w:t>规定：</w:t>
      </w:r>
    </w:p>
    <w:p w14:paraId="38166C7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接地线中严禁加装开关或熔断器。</w:t>
      </w:r>
    </w:p>
    <w:p w14:paraId="4F4CEBA0">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3.9.1</w:t>
      </w:r>
      <w:r>
        <w:rPr>
          <w:rFonts w:ascii="Times New Roman" w:hAnsi="Times New Roman"/>
          <w:color w:val="000000" w:themeColor="text1"/>
          <w:sz w:val="24"/>
          <w14:textFill>
            <w14:solidFill>
              <w14:schemeClr w14:val="tx1"/>
            </w14:solidFill>
          </w14:textFill>
        </w:rPr>
        <w:t>规定：</w:t>
      </w:r>
    </w:p>
    <w:p w14:paraId="54F8286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接地线与设备及接地排连接时，必须加装铜接线端子，并应压（焊）接牢固。</w:t>
      </w:r>
    </w:p>
    <w:p w14:paraId="4F32B1A3">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7.4.6</w:t>
      </w:r>
      <w:r>
        <w:rPr>
          <w:rFonts w:ascii="Times New Roman" w:hAnsi="Times New Roman"/>
          <w:color w:val="000000" w:themeColor="text1"/>
          <w:sz w:val="24"/>
          <w14:textFill>
            <w14:solidFill>
              <w14:schemeClr w14:val="tx1"/>
            </w14:solidFill>
          </w14:textFill>
        </w:rPr>
        <w:t>规定：</w:t>
      </w:r>
    </w:p>
    <w:p w14:paraId="66D5993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缆线严禁系挂在避雷网或避雷带上。</w:t>
      </w:r>
    </w:p>
    <w:p w14:paraId="2B6405D6">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3.13.6</w:t>
      </w:r>
      <w:r>
        <w:rPr>
          <w:rFonts w:ascii="Times New Roman" w:hAnsi="Times New Roman"/>
          <w:color w:val="000000" w:themeColor="text1"/>
          <w:sz w:val="24"/>
          <w14:textFill>
            <w14:solidFill>
              <w14:schemeClr w14:val="tx1"/>
            </w14:solidFill>
          </w14:textFill>
        </w:rPr>
        <w:t>规定：</w:t>
      </w:r>
    </w:p>
    <w:p w14:paraId="3740AC5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局（站）机房内配电设备的正常不带电部分均应接地，严禁做接零保护。</w:t>
      </w:r>
    </w:p>
    <w:p w14:paraId="471FADDD">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3.14.1</w:t>
      </w:r>
      <w:r>
        <w:rPr>
          <w:rFonts w:ascii="Times New Roman" w:hAnsi="Times New Roman"/>
          <w:color w:val="000000" w:themeColor="text1"/>
          <w:sz w:val="24"/>
          <w14:textFill>
            <w14:solidFill>
              <w14:schemeClr w14:val="tx1"/>
            </w14:solidFill>
          </w14:textFill>
        </w:rPr>
        <w:t>规定：</w:t>
      </w:r>
    </w:p>
    <w:p w14:paraId="255DDC9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室内的走线架及各类金属构件必须接地，各段走线架之间必须采用电气连接。</w:t>
      </w:r>
    </w:p>
    <w:p w14:paraId="1CE45683">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4.8.1</w:t>
      </w:r>
      <w:r>
        <w:rPr>
          <w:rFonts w:ascii="Times New Roman" w:hAnsi="Times New Roman"/>
          <w:color w:val="000000" w:themeColor="text1"/>
          <w:sz w:val="24"/>
          <w14:textFill>
            <w14:solidFill>
              <w14:schemeClr w14:val="tx1"/>
            </w14:solidFill>
          </w14:textFill>
        </w:rPr>
        <w:t>规定：</w:t>
      </w:r>
    </w:p>
    <w:p w14:paraId="7ED7A84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14:paraId="325F4040">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《通信局（站）防雷与接地工程设计规范》GB 50689-2011 6.4.3</w:t>
      </w:r>
      <w:r>
        <w:rPr>
          <w:rFonts w:ascii="Times New Roman" w:hAnsi="Times New Roman"/>
          <w:color w:val="000000" w:themeColor="text1"/>
          <w:sz w:val="24"/>
          <w14:textFill>
            <w14:solidFill>
              <w14:schemeClr w14:val="tx1"/>
            </w14:solidFill>
          </w14:textFill>
        </w:rPr>
        <w:t>规定：</w:t>
      </w:r>
    </w:p>
    <w:p w14:paraId="0B30A15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接地排严禁连接到铁塔塔角。</w:t>
      </w:r>
    </w:p>
    <w:p w14:paraId="63AAEC2F">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《通信局（站）防雷与接地工程施工监理暂行规定》YD 5219-2015 5.1.7</w:t>
      </w:r>
      <w:r>
        <w:rPr>
          <w:rFonts w:ascii="Times New Roman" w:hAnsi="Times New Roman"/>
          <w:color w:val="000000" w:themeColor="text1"/>
          <w:sz w:val="24"/>
          <w14:textFill>
            <w14:solidFill>
              <w14:schemeClr w14:val="tx1"/>
            </w14:solidFill>
          </w14:textFill>
        </w:rPr>
        <w:t>规定：</w:t>
      </w:r>
    </w:p>
    <w:p w14:paraId="2F33B5E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楼顶的各种金属设施必须分别与楼顶避雷带或接地预留端子就近连通。</w:t>
      </w:r>
    </w:p>
    <w:p w14:paraId="6DD5DE77">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5</w:t>
      </w:r>
      <w:r>
        <w:rPr>
          <w:rFonts w:hint="eastAsia" w:ascii="Times New Roman" w:hAnsi="Times New Roman"/>
          <w:b/>
          <w:color w:val="000000" w:themeColor="text1"/>
          <w:sz w:val="24"/>
          <w14:textFill>
            <w14:solidFill>
              <w14:schemeClr w14:val="tx1"/>
            </w14:solidFill>
          </w14:textFill>
        </w:rPr>
        <w:t xml:space="preserve"> </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.3.1</w:t>
      </w:r>
      <w:r>
        <w:rPr>
          <w:rFonts w:hint="eastAsia" w:ascii="Times New Roman" w:hAnsi="Times New Roman"/>
          <w:b/>
          <w:color w:val="000000" w:themeColor="text1"/>
          <w:sz w:val="24"/>
          <w14:textFill>
            <w14:solidFill>
              <w14:schemeClr w14:val="tx1"/>
            </w14:solidFill>
          </w14:textFill>
        </w:rPr>
        <w:t>规定：</w:t>
      </w:r>
    </w:p>
    <w:p w14:paraId="40C477FD">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线缆严禁系挂在避雷网、避雷带或引下线上。</w:t>
      </w:r>
    </w:p>
    <w:p w14:paraId="4C3BE905">
      <w:pPr>
        <w:pStyle w:val="50"/>
        <w:numPr>
          <w:ilvl w:val="0"/>
          <w:numId w:val="10"/>
        </w:numPr>
        <w:spacing w:line="360" w:lineRule="auto"/>
        <w:ind w:left="0" w:firstLine="414"/>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《通信局(站)防雷与接地工程验收规范》GB5</w:t>
      </w:r>
      <w:r>
        <w:rPr>
          <w:rFonts w:ascii="Times New Roman" w:hAnsi="Times New Roman"/>
          <w:b/>
          <w:color w:val="000000" w:themeColor="text1"/>
          <w:sz w:val="24"/>
          <w14:textFill>
            <w14:solidFill>
              <w14:schemeClr w14:val="tx1"/>
            </w14:solidFill>
          </w14:textFill>
        </w:rPr>
        <w:t>1120</w:t>
      </w:r>
      <w:r>
        <w:rPr>
          <w:rFonts w:hint="eastAsia" w:ascii="Times New Roman" w:hAnsi="Times New Roman"/>
          <w:b/>
          <w:color w:val="000000" w:themeColor="text1"/>
          <w:sz w:val="24"/>
          <w14:textFill>
            <w14:solidFill>
              <w14:schemeClr w14:val="tx1"/>
            </w14:solidFill>
          </w14:textFill>
        </w:rPr>
        <w:t>-201</w:t>
      </w:r>
      <w:r>
        <w:rPr>
          <w:rFonts w:ascii="Times New Roman" w:hAnsi="Times New Roman"/>
          <w:b/>
          <w:color w:val="000000" w:themeColor="text1"/>
          <w:sz w:val="24"/>
          <w14:textFill>
            <w14:solidFill>
              <w14:schemeClr w14:val="tx1"/>
            </w14:solidFill>
          </w14:textFill>
        </w:rPr>
        <w:t xml:space="preserve">5  </w:t>
      </w:r>
      <w:r>
        <w:rPr>
          <w:rFonts w:hint="eastAsia" w:ascii="Times New Roman" w:hAnsi="Times New Roman"/>
          <w:b/>
          <w:color w:val="000000" w:themeColor="text1"/>
          <w:sz w:val="24"/>
          <w14:textFill>
            <w14:solidFill>
              <w14:schemeClr w14:val="tx1"/>
            </w14:solidFill>
          </w14:textFill>
        </w:rPr>
        <w:t>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规定：</w:t>
      </w:r>
    </w:p>
    <w:p w14:paraId="316742ED">
      <w:pPr>
        <w:pStyle w:val="50"/>
        <w:spacing w:line="360" w:lineRule="auto"/>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弱电信号线缆应与电力电缆和其他管线分开布放，其间距应符合表7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1</w:t>
      </w:r>
      <w:r>
        <w:rPr>
          <w:rFonts w:hint="eastAsia" w:ascii="Times New Roman" w:hAnsi="Times New Roman"/>
          <w:b/>
          <w:color w:val="000000" w:themeColor="text1"/>
          <w:sz w:val="24"/>
          <w14:textFill>
            <w14:solidFill>
              <w14:schemeClr w14:val="tx1"/>
            </w14:solidFill>
          </w14:textFill>
        </w:rPr>
        <w:t>和表7</w:t>
      </w:r>
      <w:r>
        <w:rPr>
          <w:rFonts w:ascii="Times New Roman" w:hAnsi="Times New Roman"/>
          <w:b/>
          <w:color w:val="000000" w:themeColor="text1"/>
          <w:sz w:val="24"/>
          <w14:textFill>
            <w14:solidFill>
              <w14:schemeClr w14:val="tx1"/>
            </w14:solidFill>
          </w14:textFill>
        </w:rPr>
        <w:t>.3.2</w:t>
      </w:r>
      <w:r>
        <w:rPr>
          <w:rFonts w:hint="eastAsia" w:ascii="Times New Roman" w:hAnsi="Times New Roman"/>
          <w:b/>
          <w:color w:val="000000" w:themeColor="text1"/>
          <w:sz w:val="24"/>
          <w14:textFill>
            <w14:solidFill>
              <w14:schemeClr w14:val="tx1"/>
            </w14:solidFill>
          </w14:textFill>
        </w:rPr>
        <w:t>-</w:t>
      </w:r>
      <w:r>
        <w:rPr>
          <w:rFonts w:ascii="Times New Roman" w:hAnsi="Times New Roman"/>
          <w:b/>
          <w:color w:val="000000" w:themeColor="text1"/>
          <w:sz w:val="24"/>
          <w14:textFill>
            <w14:solidFill>
              <w14:schemeClr w14:val="tx1"/>
            </w14:solidFill>
          </w14:textFill>
        </w:rPr>
        <w:t>2</w:t>
      </w:r>
      <w:r>
        <w:rPr>
          <w:rFonts w:hint="eastAsia" w:ascii="Times New Roman" w:hAnsi="Times New Roman"/>
          <w:b/>
          <w:color w:val="000000" w:themeColor="text1"/>
          <w:sz w:val="24"/>
          <w14:textFill>
            <w14:solidFill>
              <w14:schemeClr w14:val="tx1"/>
            </w14:solidFill>
          </w14:textFill>
        </w:rPr>
        <w:t>的规定。</w:t>
      </w:r>
    </w:p>
    <w:p w14:paraId="617F5D54">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bookmarkStart w:id="250" w:name="_Toc359309824"/>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019  4.1.3</w:t>
      </w:r>
      <w:r>
        <w:rPr>
          <w:rFonts w:ascii="Times New Roman" w:hAnsi="Times New Roman"/>
          <w:color w:val="000000" w:themeColor="text1"/>
          <w:sz w:val="24"/>
          <w14:textFill>
            <w14:solidFill>
              <w14:schemeClr w14:val="tx1"/>
            </w14:solidFill>
          </w14:textFill>
        </w:rPr>
        <w:t>规定：</w:t>
      </w:r>
      <w:bookmarkEnd w:id="250"/>
    </w:p>
    <w:p w14:paraId="6E2C5A8C">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通信工程建设中不得砍伐或危害保护植物，不得砍伐风景名胜和人文及自然保护地的树木</w:t>
      </w:r>
      <w:r>
        <w:rPr>
          <w:color w:val="000000" w:themeColor="text1"/>
          <w:sz w:val="24"/>
          <w14:textFill>
            <w14:solidFill>
              <w14:schemeClr w14:val="tx1"/>
            </w14:solidFill>
          </w14:textFill>
        </w:rPr>
        <w:t>。</w:t>
      </w:r>
    </w:p>
    <w:p w14:paraId="369A9071">
      <w:pPr>
        <w:spacing w:line="360" w:lineRule="auto"/>
        <w:ind w:firstLine="480"/>
        <w:rPr>
          <w:color w:val="000000" w:themeColor="text1"/>
          <w:sz w:val="24"/>
          <w14:textFill>
            <w14:solidFill>
              <w14:schemeClr w14:val="tx1"/>
            </w14:solidFill>
          </w14:textFill>
        </w:rPr>
      </w:pPr>
    </w:p>
    <w:p w14:paraId="62A401F6">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019  4.2.1</w:t>
      </w:r>
      <w:r>
        <w:rPr>
          <w:rFonts w:ascii="Times New Roman" w:hAnsi="Times New Roman"/>
          <w:color w:val="000000" w:themeColor="text1"/>
          <w:sz w:val="24"/>
          <w14:textFill>
            <w14:solidFill>
              <w14:schemeClr w14:val="tx1"/>
            </w14:solidFill>
          </w14:textFill>
        </w:rPr>
        <w:t>规定：</w:t>
      </w:r>
    </w:p>
    <w:p w14:paraId="48EC1C1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通信局（站）选址和通信线路路由宜减少占用耕地、林地和草地，多利用荒芜土地。</w:t>
      </w:r>
    </w:p>
    <w:p w14:paraId="24FDD959">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019  4.2.2</w:t>
      </w:r>
      <w:r>
        <w:rPr>
          <w:rFonts w:ascii="Times New Roman" w:hAnsi="Times New Roman"/>
          <w:color w:val="000000" w:themeColor="text1"/>
          <w:sz w:val="24"/>
          <w14:textFill>
            <w14:solidFill>
              <w14:schemeClr w14:val="tx1"/>
            </w14:solidFill>
          </w14:textFill>
        </w:rPr>
        <w:t>规定：</w:t>
      </w:r>
    </w:p>
    <w:p w14:paraId="3987FA02">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设置取土（沙、石）场应符合现行国家标准《生产建设项目水土保护技术标准》G</w:t>
      </w:r>
      <w:r>
        <w:rPr>
          <w:color w:val="000000" w:themeColor="text1"/>
          <w:sz w:val="24"/>
          <w14:textFill>
            <w14:solidFill>
              <w14:schemeClr w14:val="tx1"/>
            </w14:solidFill>
          </w14:textFill>
        </w:rPr>
        <w:t>B 50433</w:t>
      </w:r>
      <w:r>
        <w:rPr>
          <w:rFonts w:hint="eastAsia"/>
          <w:color w:val="000000" w:themeColor="text1"/>
          <w:sz w:val="24"/>
          <w14:textFill>
            <w14:solidFill>
              <w14:schemeClr w14:val="tx1"/>
            </w14:solidFill>
          </w14:textFill>
        </w:rPr>
        <w:t>的规定。</w:t>
      </w:r>
    </w:p>
    <w:p w14:paraId="308EEDED">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w:t>
      </w:r>
      <w:r>
        <w:rPr>
          <w:rFonts w:hint="eastAsia" w:ascii="Times New Roman" w:hAnsi="Times New Roman"/>
          <w:b/>
          <w:color w:val="000000" w:themeColor="text1"/>
          <w:sz w:val="24"/>
          <w14:textFill>
            <w14:solidFill>
              <w14:schemeClr w14:val="tx1"/>
            </w14:solidFill>
          </w14:textFill>
        </w:rPr>
        <w:t>通信工程建设环境保护技术标准</w:t>
      </w:r>
      <w:r>
        <w:rPr>
          <w:rFonts w:ascii="Times New Roman" w:hAnsi="Times New Roman"/>
          <w:b/>
          <w:color w:val="000000" w:themeColor="text1"/>
          <w:sz w:val="24"/>
          <w14:textFill>
            <w14:solidFill>
              <w14:schemeClr w14:val="tx1"/>
            </w14:solidFill>
          </w14:textFill>
        </w:rPr>
        <w:t>》</w:t>
      </w:r>
      <w:r>
        <w:fldChar w:fldCharType="begin"/>
      </w:r>
      <w:r>
        <w:instrText xml:space="preserve"> HYPERLINK "javascript:__doPostBack('ctl00$ctl00$ContentPlaceHolder1$ContentPlaceHolder1$rptStandard$ctl00$lbtnDetail','')" \o "点击查看标准详细信息" </w:instrText>
      </w:r>
      <w:r>
        <w:fldChar w:fldCharType="separate"/>
      </w:r>
      <w:r>
        <w:rPr>
          <w:rFonts w:hint="eastAsia" w:ascii="Times New Roman" w:hAnsi="Times New Roman"/>
          <w:b/>
          <w:color w:val="000000" w:themeColor="text1"/>
          <w:sz w:val="24"/>
          <w14:textFill>
            <w14:solidFill>
              <w14:schemeClr w14:val="tx1"/>
            </w14:solidFill>
          </w14:textFill>
        </w:rPr>
        <w:t>GB/T 51391-2</w:t>
      </w:r>
      <w:r>
        <w:rPr>
          <w:rFonts w:hint="eastAsia" w:ascii="Times New Roman" w:hAnsi="Times New Roman"/>
          <w:b/>
          <w:color w:val="000000" w:themeColor="text1"/>
          <w:sz w:val="24"/>
          <w14:textFill>
            <w14:solidFill>
              <w14:schemeClr w14:val="tx1"/>
            </w14:solidFill>
          </w14:textFill>
        </w:rPr>
        <w:fldChar w:fldCharType="end"/>
      </w:r>
      <w:r>
        <w:rPr>
          <w:rFonts w:ascii="Times New Roman" w:hAnsi="Times New Roman"/>
          <w:b/>
          <w:color w:val="000000" w:themeColor="text1"/>
          <w:sz w:val="24"/>
          <w14:textFill>
            <w14:solidFill>
              <w14:schemeClr w14:val="tx1"/>
            </w14:solidFill>
          </w14:textFill>
        </w:rPr>
        <w:t>019  4.2.3</w:t>
      </w:r>
      <w:r>
        <w:rPr>
          <w:rFonts w:ascii="Times New Roman" w:hAnsi="Times New Roman"/>
          <w:color w:val="000000" w:themeColor="text1"/>
          <w:sz w:val="24"/>
          <w14:textFill>
            <w14:solidFill>
              <w14:schemeClr w14:val="tx1"/>
            </w14:solidFill>
          </w14:textFill>
        </w:rPr>
        <w:t>规定：</w:t>
      </w:r>
    </w:p>
    <w:p w14:paraId="764A76B5">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在山区、丘陵区、风沙区敷设的埋地管道、线缆，应根据实际情况采取有效的水土保护措施 ，以防止水土流失。</w:t>
      </w:r>
    </w:p>
    <w:p w14:paraId="21B90740">
      <w:pPr>
        <w:pStyle w:val="50"/>
        <w:numPr>
          <w:ilvl w:val="0"/>
          <w:numId w:val="10"/>
        </w:numPr>
        <w:spacing w:line="360" w:lineRule="auto"/>
        <w:ind w:left="0" w:firstLine="414"/>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《通信建设工程节能与环境保护监理暂行规定》YD 5205-2014 8.0.2</w:t>
      </w:r>
      <w:r>
        <w:rPr>
          <w:rFonts w:ascii="Times New Roman" w:hAnsi="Times New Roman"/>
          <w:color w:val="000000" w:themeColor="text1"/>
          <w:sz w:val="24"/>
          <w14:textFill>
            <w14:solidFill>
              <w14:schemeClr w14:val="tx1"/>
            </w14:solidFill>
          </w14:textFill>
        </w:rPr>
        <w:t>规定：</w:t>
      </w:r>
    </w:p>
    <w:p w14:paraId="5257E1B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严禁向草原、江河、湖泊、运河、渠道、水库及其最高水位线以下的滩地和岸坡倾倒、堆放废弃物。</w:t>
      </w:r>
    </w:p>
    <w:p w14:paraId="107AFD8E">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《通信设备安装工程施工监理规范》YD 5125-2014 5.1.3</w:t>
      </w:r>
      <w:r>
        <w:rPr>
          <w:rFonts w:ascii="Times New Roman" w:hAnsi="Times New Roman"/>
          <w:color w:val="000000" w:themeColor="text1"/>
          <w:sz w:val="24"/>
          <w14:textFill>
            <w14:solidFill>
              <w14:schemeClr w14:val="tx1"/>
            </w14:solidFill>
          </w14:textFill>
        </w:rPr>
        <w:t>规定：</w:t>
      </w:r>
    </w:p>
    <w:p w14:paraId="595DDC6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质量控制措施，对关键部位、关键工序的施工过程，监理人员必须旁站监理。并应根据施工单位报送的隐蔽工序报验申请表进行检查，符合要求方可签认。隐蔽工序报验申请表应采用GB/T 50319《建设工程监理规范》B.0.7表。</w:t>
      </w:r>
    </w:p>
    <w:p w14:paraId="00DDD8AE">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5.7.1</w:t>
      </w:r>
      <w:r>
        <w:rPr>
          <w:rFonts w:ascii="Times New Roman" w:hAnsi="Times New Roman"/>
          <w:color w:val="000000" w:themeColor="text1"/>
          <w:sz w:val="24"/>
          <w14:textFill>
            <w14:solidFill>
              <w14:schemeClr w14:val="tx1"/>
            </w14:solidFill>
          </w14:textFill>
        </w:rPr>
        <w:t>规定：</w:t>
      </w:r>
    </w:p>
    <w:p w14:paraId="59CE3C9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雷雨天气严禁进行防雷设施拆除作业。</w:t>
      </w:r>
    </w:p>
    <w:p w14:paraId="57F73B3B">
      <w:pPr>
        <w:pStyle w:val="50"/>
        <w:numPr>
          <w:ilvl w:val="0"/>
          <w:numId w:val="10"/>
        </w:numPr>
        <w:spacing w:line="360" w:lineRule="auto"/>
        <w:ind w:left="567" w:hanging="153"/>
        <w:rPr>
          <w:rFonts w:ascii="Times New Roman" w:hAnsi="Times New Roman"/>
          <w:b/>
          <w:color w:val="000000" w:themeColor="text1"/>
          <w:sz w:val="24"/>
          <w14:textFill>
            <w14:solidFill>
              <w14:schemeClr w14:val="tx1"/>
            </w14:solidFill>
          </w14:textFill>
        </w:rPr>
      </w:pPr>
      <w:r>
        <w:rPr>
          <w:rFonts w:hint="eastAsia" w:ascii="Times New Roman" w:hAnsi="Times New Roman"/>
          <w:b/>
          <w:color w:val="000000" w:themeColor="text1"/>
          <w:sz w:val="24"/>
          <w14:textFill>
            <w14:solidFill>
              <w14:schemeClr w14:val="tx1"/>
            </w14:solidFill>
          </w14:textFill>
        </w:rPr>
        <w:t>《通信局(站)节能设计规范》YD/T</w:t>
      </w:r>
      <w:r>
        <w:rPr>
          <w:rFonts w:ascii="Times New Roman" w:hAnsi="Times New Roman"/>
          <w:b/>
          <w:color w:val="000000" w:themeColor="text1"/>
          <w:sz w:val="24"/>
          <w14:textFill>
            <w14:solidFill>
              <w14:schemeClr w14:val="tx1"/>
            </w14:solidFill>
          </w14:textFill>
        </w:rPr>
        <w:t xml:space="preserve"> </w:t>
      </w:r>
      <w:r>
        <w:rPr>
          <w:rFonts w:hint="eastAsia" w:ascii="Times New Roman" w:hAnsi="Times New Roman"/>
          <w:b/>
          <w:color w:val="000000" w:themeColor="text1"/>
          <w:sz w:val="24"/>
          <w14:textFill>
            <w14:solidFill>
              <w14:schemeClr w14:val="tx1"/>
            </w14:solidFill>
          </w14:textFill>
        </w:rPr>
        <w:t>5184-20</w:t>
      </w:r>
      <w:r>
        <w:rPr>
          <w:rFonts w:ascii="Times New Roman" w:hAnsi="Times New Roman"/>
          <w:b/>
          <w:color w:val="000000" w:themeColor="text1"/>
          <w:sz w:val="24"/>
          <w14:textFill>
            <w14:solidFill>
              <w14:schemeClr w14:val="tx1"/>
            </w14:solidFill>
          </w14:textFill>
        </w:rPr>
        <w:t xml:space="preserve">18 6.3.1 </w:t>
      </w:r>
      <w:r>
        <w:rPr>
          <w:rFonts w:hint="eastAsia" w:ascii="Times New Roman" w:hAnsi="Times New Roman"/>
          <w:b/>
          <w:color w:val="000000" w:themeColor="text1"/>
          <w:sz w:val="24"/>
          <w14:textFill>
            <w14:solidFill>
              <w14:schemeClr w14:val="tx1"/>
            </w14:solidFill>
          </w14:textFill>
        </w:rPr>
        <w:t>规定：</w:t>
      </w:r>
    </w:p>
    <w:p w14:paraId="42A82B96">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设备的选型应符合下列要求：</w:t>
      </w:r>
    </w:p>
    <w:p w14:paraId="489CFB93">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国家认证机构确定的节能型设备。</w:t>
      </w:r>
    </w:p>
    <w:p w14:paraId="496C0753">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符合国家、行业节能标准的设备。</w:t>
      </w:r>
    </w:p>
    <w:p w14:paraId="5061DB96">
      <w:pPr>
        <w:pStyle w:val="58"/>
        <w:numPr>
          <w:ilvl w:val="3"/>
          <w:numId w:val="10"/>
        </w:numPr>
        <w:spacing w:line="360" w:lineRule="auto"/>
        <w:ind w:firstLineChars="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自身功耗低的通信电源设备。</w:t>
      </w:r>
    </w:p>
    <w:p w14:paraId="5531DA90">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6.1.3</w:t>
      </w:r>
      <w:r>
        <w:rPr>
          <w:rFonts w:ascii="Times New Roman" w:hAnsi="Times New Roman"/>
          <w:color w:val="000000" w:themeColor="text1"/>
          <w:sz w:val="24"/>
          <w14:textFill>
            <w14:solidFill>
              <w14:schemeClr w14:val="tx1"/>
            </w14:solidFill>
          </w14:textFill>
        </w:rPr>
        <w:t>规定：</w:t>
      </w:r>
    </w:p>
    <w:p w14:paraId="749AB4A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在强电输电线路及设施附近进行通信线路拆除作业，必须采取防护措施，保持安全隔距，在确保人身及通信线路安全的同时，尚应确保输电线路不因通信线路拆除施工发生故障。</w:t>
      </w:r>
    </w:p>
    <w:p w14:paraId="6E126667">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《通信设施拆除安全暂行规定》YD 5221-2015 6.2.2</w:t>
      </w:r>
      <w:r>
        <w:rPr>
          <w:rFonts w:ascii="Times New Roman" w:hAnsi="Times New Roman"/>
          <w:color w:val="000000" w:themeColor="text1"/>
          <w:sz w:val="24"/>
          <w14:textFill>
            <w14:solidFill>
              <w14:schemeClr w14:val="tx1"/>
            </w14:solidFill>
          </w14:textFill>
        </w:rPr>
        <w:t>规定：</w:t>
      </w:r>
    </w:p>
    <w:p w14:paraId="52EF6C8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进入地下室、地下通道、管道人孔前，必须使用专用气体检测仪器进行气体检测，确认无易燃、易爆、有毒、有害气体并通风后方可进入。作业期间，必须保证通风良好，并使用专用气体检测仪器进行气体监测。进入人孔的人员必须系好安全绳。</w:t>
      </w:r>
    </w:p>
    <w:p w14:paraId="4623ABFF">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4.2.2</w:t>
      </w:r>
      <w:r>
        <w:rPr>
          <w:rFonts w:ascii="Times New Roman" w:hAnsi="Times New Roman"/>
          <w:color w:val="000000" w:themeColor="text1"/>
          <w:sz w:val="24"/>
          <w14:textFill>
            <w14:solidFill>
              <w14:schemeClr w14:val="tx1"/>
            </w14:solidFill>
          </w14:textFill>
        </w:rPr>
        <w:t>规定：</w:t>
      </w:r>
    </w:p>
    <w:p w14:paraId="618A228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在已有建筑物里共建基站机房时，必须根据所有设备的重量、尺寸、排列方式及楼面结构布置等对机房楼面结构进行安全评估，必要时采取加固措施，保证结构安全。</w:t>
      </w:r>
    </w:p>
    <w:p w14:paraId="0B5AE35E">
      <w:pPr>
        <w:pStyle w:val="50"/>
        <w:numPr>
          <w:ilvl w:val="0"/>
          <w:numId w:val="10"/>
        </w:numPr>
        <w:spacing w:line="360" w:lineRule="auto"/>
        <w:ind w:left="567" w:hanging="153"/>
        <w:rPr>
          <w:rFonts w:ascii="Times New Roman" w:hAnsi="Times New Roman"/>
          <w:color w:val="000000" w:themeColor="text1"/>
          <w:sz w:val="24"/>
          <w14:textFill>
            <w14:solidFill>
              <w14:schemeClr w14:val="tx1"/>
            </w14:solidFill>
          </w14:textFill>
        </w:rPr>
      </w:pPr>
      <w:r>
        <w:rPr>
          <w:rFonts w:ascii="Times New Roman" w:hAnsi="Times New Roman"/>
          <w:b/>
          <w:color w:val="000000" w:themeColor="text1"/>
          <w:sz w:val="24"/>
          <w14:textFill>
            <w14:solidFill>
              <w14:schemeClr w14:val="tx1"/>
            </w14:solidFill>
          </w14:textFill>
        </w:rPr>
        <w:t>《电信基础设施共建共享工程技术暂行规定》YD 5191-2009 5.0.3</w:t>
      </w:r>
      <w:r>
        <w:rPr>
          <w:rFonts w:ascii="Times New Roman" w:hAnsi="Times New Roman"/>
          <w:color w:val="000000" w:themeColor="text1"/>
          <w:sz w:val="24"/>
          <w14:textFill>
            <w14:solidFill>
              <w14:schemeClr w14:val="tx1"/>
            </w14:solidFill>
          </w14:textFill>
        </w:rPr>
        <w:t>规定：</w:t>
      </w:r>
    </w:p>
    <w:p w14:paraId="38D1569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基站天面共建共享时，必须根据各电信业务经营者的天线及其支撑设施的尺寸、重量和安装方式等情况对支撑设施及屋面结构进行安全评估，必要时采取加固措施，保证结构安全。</w:t>
      </w:r>
    </w:p>
    <w:bookmarkEnd w:id="243"/>
    <w:p w14:paraId="51F345E7">
      <w:pPr>
        <w:spacing w:line="360" w:lineRule="auto"/>
        <w:ind w:firstLine="480"/>
        <w:rPr>
          <w:color w:val="000000" w:themeColor="text1"/>
          <w:sz w:val="24"/>
          <w14:textFill>
            <w14:solidFill>
              <w14:schemeClr w14:val="tx1"/>
            </w14:solidFill>
          </w14:textFill>
        </w:rPr>
      </w:pPr>
    </w:p>
    <w:p w14:paraId="7CCD9C76">
      <w:pPr>
        <w:pStyle w:val="45"/>
        <w:numPr>
          <w:ilvl w:val="0"/>
          <w:numId w:val="1"/>
        </w:numPr>
        <w:rPr>
          <w:rFonts w:cs="Times New Roman"/>
          <w:color w:val="000000" w:themeColor="text1"/>
          <w:sz w:val="28"/>
          <w:szCs w:val="28"/>
          <w14:textFill>
            <w14:solidFill>
              <w14:schemeClr w14:val="tx1"/>
            </w14:solidFill>
          </w14:textFill>
        </w:rPr>
      </w:pPr>
      <w:bookmarkStart w:id="251" w:name="_Toc22324047"/>
      <w:bookmarkStart w:id="252" w:name="_Toc132902863"/>
      <w:bookmarkStart w:id="253" w:name="_Toc19087208"/>
      <w:r>
        <w:rPr>
          <w:rFonts w:cs="Times New Roman"/>
          <w:color w:val="000000" w:themeColor="text1"/>
          <w:sz w:val="28"/>
          <w:szCs w:val="28"/>
          <w14:textFill>
            <w14:solidFill>
              <w14:schemeClr w14:val="tx1"/>
            </w14:solidFill>
          </w14:textFill>
        </w:rPr>
        <w:t>安全风险防范</w:t>
      </w:r>
      <w:bookmarkEnd w:id="251"/>
      <w:bookmarkEnd w:id="252"/>
      <w:bookmarkEnd w:id="253"/>
    </w:p>
    <w:p w14:paraId="76F84A22">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4" w:name="_Toc19087209"/>
      <w:bookmarkStart w:id="255" w:name="_Toc132902864"/>
      <w:bookmarkStart w:id="256" w:name="_Toc486184219"/>
      <w:bookmarkStart w:id="257" w:name="_Toc22324048"/>
      <w:bookmarkStart w:id="258" w:name="_Hlk112745821"/>
      <w:r>
        <w:rPr>
          <w:rFonts w:ascii="黑体" w:hAnsi="黑体" w:eastAsia="黑体" w:cs="Times New Roman"/>
          <w:color w:val="000000" w:themeColor="text1"/>
          <w:sz w:val="28"/>
          <w:szCs w:val="28"/>
          <w14:textFill>
            <w14:solidFill>
              <w14:schemeClr w14:val="tx1"/>
            </w14:solidFill>
          </w14:textFill>
        </w:rPr>
        <w:t>塔桅施工安全风险防范</w:t>
      </w:r>
      <w:bookmarkEnd w:id="254"/>
      <w:bookmarkEnd w:id="255"/>
      <w:bookmarkEnd w:id="256"/>
      <w:bookmarkEnd w:id="257"/>
    </w:p>
    <w:p w14:paraId="2E40F08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铁塔安装时应注意以下事项：</w:t>
      </w:r>
    </w:p>
    <w:p w14:paraId="0C57BCAA">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铁塔安装高空作业人员必须具有登高证书，并定期进行健康检查。作业区域现场需设立安全员。饮酒人员、身体不适或服用相关药品后等不宜上塔的人员不得上塔作业。</w:t>
      </w:r>
    </w:p>
    <w:p w14:paraId="1CED8EE4">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遇到下列气候环境条件时严禁上塔施工作业:</w:t>
      </w:r>
    </w:p>
    <w:p w14:paraId="608F7F1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 地面气温超过40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或低于-20</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时;</w:t>
      </w:r>
    </w:p>
    <w:p w14:paraId="7C0B936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 .五级风及以上;</w:t>
      </w:r>
    </w:p>
    <w:p w14:paraId="6322045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 .沙尘、云雾或能见度低;</w:t>
      </w:r>
    </w:p>
    <w:p w14:paraId="2B0E8E6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 .雷、雨、雪天气;</w:t>
      </w:r>
    </w:p>
    <w:p w14:paraId="6879A96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 .杆塔上有冰冻、霜雪尚未融化前。</w:t>
      </w:r>
    </w:p>
    <w:p w14:paraId="1E63F5A3">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竖立警示明显标识以提醒施工无关人员远离施工现场，并在一定范围内设置防护围栏。以塔基为圆心，以塔高的1.05倍为半径的范围为施工区，应进行圈围，非施工人员不得进入。以塔基为圆心，塔高的20%为半径的范围为施工禁区，施工时未经现场指挥人员同意并通知塔上作业人员暂停作业前，任何人不进入。</w:t>
      </w:r>
    </w:p>
    <w:p w14:paraId="7BD32A4E">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登高作业必须使用符合技术要求的安全帽、安全带、防滑鞋等安全防护器具，必要时设置防护板、安全网。安全防护器具在使用前必须检查其是否处于合格状态，确保安全可靠,安全防护器具要穿戴整齐，裤角要扎住，不准穿光滑的硬底鞋、拖鞋或赤脚上塔作业。</w:t>
      </w:r>
    </w:p>
    <w:p w14:paraId="6F0AE619">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安全带要牢系在人体上方坚固的建筑结构件上或金属结构架上，不准系在活动物件上。扣好安全带后，应进行试拉，确认安全后，方可施工,如身体靠近塔身，安全带松驰，应随时检查挂钩是否正常，确认正常后方可继续作业。</w:t>
      </w:r>
    </w:p>
    <w:p w14:paraId="102A3F5A">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使用的所有可能滑落造成塔下人员伤害的器具须做安全处理，对暂不使用的工具、金属安装件等应及时装入工具袋，工具袋随用随封口,上下塔时手中不得拿物件，并必须从指定的路线上下。不得在高空投掷材料或工具等物。不得将易滚易滑的工具、材料随意放置塔上。作业完毕应及时将易坠落物件清理干净，以防止落下伤人。</w:t>
      </w:r>
    </w:p>
    <w:p w14:paraId="3FCD1352">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塔上作业人员不得在同一垂直面同时作业。上、下塔时必须按规定路线攀登，人与人之间距离应不小于3米，行动速度宜慢不宜快。</w:t>
      </w:r>
    </w:p>
    <w:p w14:paraId="396B1066">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高空电焊时，除相关人员外，其他人员均应下塔并远离铁塔。凡焊渣飘到的地方，禁止人员通行。焊接人员必须穿绝缘鞋，带防护眼镜和手套，电焊机外壳应接地。</w:t>
      </w:r>
    </w:p>
    <w:p w14:paraId="5B60EA33">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上下大型物件应采用可靠的起吊机具。吊装物件时，必须系好物件的尾绳，不得碰撞塔体。牵拉尾绳的作业人员应密切注意指挥人员的口令，松绳、放绳应平稳。</w:t>
      </w:r>
    </w:p>
    <w:p w14:paraId="30059BDE">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电动卷扬机、手摇绞车的稳装位置必须设在施工区外。架设拉线塔时，临时拉线或正式拉线没有卡好之前，不允许上塔作业。</w:t>
      </w:r>
    </w:p>
    <w:p w14:paraId="6239585B">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指挥人员应密切关注塔上作业人员的工作状态，发现违章行为应立即进行制止，任何时候都不得离开现场。</w:t>
      </w:r>
    </w:p>
    <w:p w14:paraId="4CFF8A8D">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建议在铁塔改造施工前对铁塔进行垂直度测量，并更换锈蚀的构件或螺栓。</w:t>
      </w:r>
    </w:p>
    <w:p w14:paraId="027327DB">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p>
    <w:p w14:paraId="16CCADDD">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施工中需做好防登高坠落、防物体下坠等措施。</w:t>
      </w:r>
    </w:p>
    <w:p w14:paraId="4536BEB2">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工程完成后应按照建设单位要求在显著位置悬挂警示标识。</w:t>
      </w:r>
    </w:p>
    <w:p w14:paraId="603E811D">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结构需定期维护，确保安全；检查内容包括所有螺栓、焊缝连接节点及防腐层、杆塔的垂直度、杆塔底座与基础的连接是否牢靠等，每经八级或八级以上大风、六度以上地震等情况，应及时对杆塔进行安全检查。</w:t>
      </w:r>
    </w:p>
    <w:p w14:paraId="58EC1631">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未经设计同意或技术鉴定，不得改变杆体使用环境和用途，严禁超范围使用。</w:t>
      </w:r>
    </w:p>
    <w:p w14:paraId="741C3BC6">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楼顶塔施工时往楼上吊件时，支架一定要固定牢固。安装过程中，一定要有专人注意楼下行人车辆等的安全。</w:t>
      </w:r>
    </w:p>
    <w:p w14:paraId="7A2E234C">
      <w:pPr>
        <w:pStyle w:val="50"/>
        <w:numPr>
          <w:ilvl w:val="0"/>
          <w:numId w:val="11"/>
        </w:numPr>
        <w:spacing w:line="360" w:lineRule="auto"/>
        <w:ind w:left="0" w:firstLine="48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起重吊装作业安全保证措施：</w:t>
      </w:r>
    </w:p>
    <w:p w14:paraId="570D0AED">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（a）吊装前明确起重吊装安全技术要点和保证安全的技术措施。</w:t>
      </w:r>
    </w:p>
    <w:p w14:paraId="2A690ABA">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（b）起重司机必须经过培训并持有效驾驶证及起重吊装特种作业证，参加吊装的人员经体格检查合格，在开始吊装前进行安全技术教育和安全技术交底。</w:t>
      </w:r>
    </w:p>
    <w:p w14:paraId="1ACD593D">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c）吊装工作开始前，应对起重运输和吊装设备以及所用索具、卡环、夹具、卡具、锚碇等的规格、技术性能进行细致检查或实验，发现有损坏或松动现象，应立即调换或修好。起重设备应进行试运转，发现转动不灵活、有磨损的应及时修理；重要构件吊装前应进行试吊；经检查各部位正常后 才可进行正式吊装。</w:t>
      </w:r>
    </w:p>
    <w:p w14:paraId="52E54091">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（d）吊装人员应戴安全帽；高空作业人员应佩戴安全带，穿防滑鞋，带工具袋。</w:t>
      </w:r>
    </w:p>
    <w:p w14:paraId="3FEAD87D">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（e）吊装工作区设有明显标志，并设专人警戒，与吊装无关人员严禁入内。起重机工作时，起重臂杆旋转半径范围内，严禁站人或通过。</w:t>
      </w:r>
    </w:p>
    <w:p w14:paraId="2F7FF6C6">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（f）运输、吊装构件时，严禁在被运输、吊装的构件上站人指挥和放置材料、工具。</w:t>
      </w:r>
    </w:p>
    <w:p w14:paraId="5B2AC8B8">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（g）高空作业施工人员站在操作平台或轻便梯子上工作。吊装层设临时安全防护栏杆或采取其他安全措施。</w:t>
      </w:r>
    </w:p>
    <w:p w14:paraId="13631CEE">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（h）登高用梯子、临时操作台应绑扎牢靠；梯子与地面夹角以60-70度为宜，操作台跳板应铺平绑扎，严禁出现挑头板。</w:t>
      </w:r>
    </w:p>
    <w:p w14:paraId="5C598105">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i）高空往地面运输物件时，应用绳捆好吊下。吊装时，不得在构件上堆放或悬挂零星物件。零星材料和物件必须用吊笼或钢丝绳、保险绳捆扎牢固后才能吊运和传递，不得随意抛掷材料物体、工具，防止滑脱伤人或意外事故。</w:t>
      </w:r>
    </w:p>
    <w:p w14:paraId="70B77D3F">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（j）构件必须绑扎牢固，起吊点应通过构件的重心位置，吊升时应平稳，避免振动或摆动。</w:t>
      </w:r>
    </w:p>
    <w:p w14:paraId="4A4CD152">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（k）起吊构件时，速度不应太快，不得在高空停留过久，严禁猛升猛降，以防构件脱落。</w:t>
      </w:r>
    </w:p>
    <w:p w14:paraId="00072550">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（l）构件就位后临时固定前，不得松钩、解开吊装索具。构件固定后，应检查连接牢固和稳定情况，当连接确定安全可靠，才可拆除临时固定工具和进行下步吊装。</w:t>
      </w:r>
    </w:p>
    <w:p w14:paraId="2D2F1E78">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（m）一般情况吊装作业应避开风雪天、霜雾天和雨天，若特殊或紧急情况必须施做吊装作业时应采取必要的防滑措施，夜间作业应有充分照明。</w:t>
      </w:r>
    </w:p>
    <w:p w14:paraId="03B0A21D">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（n）起重机行驶的道路必须平整、坚实、可靠，停放地点必须平坦。</w:t>
      </w:r>
    </w:p>
    <w:p w14:paraId="2A47DC59">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（o）起重机不得停放在斜坡道上工作，不允许起重机两条覆带或支腿停留部位一高一低或土质一硬一软。</w:t>
      </w:r>
    </w:p>
    <w:p w14:paraId="21DD0372">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（p）起吊构件时，吊索要保持垂直，不得超出起重机回转半径斜向拖拉，一面超负荷和钢丝绳滑脱或拉断绳索而使起重机失稳。起吊重型构件时应设牵拉绳。</w:t>
      </w:r>
    </w:p>
    <w:p w14:paraId="36DA0056">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q）起重机操作时，臂杆提升、下降、回转要平稳，不得在空中摇晃，同时要尽量避免紧急制动或冲击振动等现象发生。未采取可靠的技术措施和未经有关技术部门批准，起重机严禁超负荷吊装，以避免加速机械零件的磨损和造成起重机倾翻。</w:t>
      </w:r>
    </w:p>
    <w:p w14:paraId="644BA780">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r）起重机应尽量避免满负荷行驶；在满负荷或接近满负荷时，严禁同时进行提升与回转（起升与水平转动或起升与行走）两种动作，以免因道路不平或惯性力等原因引起起重机构件时，要根据起重机的起重能力进行合理的负荷分配（吊重质量不得超过两台起重机所允许起重量总和的75%，每一台起重机的负荷量不宜超过其安全负荷量的80%）。操作时，必须在统一指挥下，动作协调，同时升降和移动，并使两台起重机的吊钩、滑车组均应基本保持垂直状态。两台起重机的驾驶人员要相互密切配合，防止一台起重机失重，而使另一台起重机超载。</w:t>
      </w:r>
    </w:p>
    <w:p w14:paraId="4565C58C">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s）吊装时，应有专人负责统一指挥，指挥人员应位于操作人员视力能及的地点，并能清楚地看到吊装的全过程。起重机驾驶人员必须熟悉信号，并按指挥人员的各种信号进行操作；指挥信号应事先统一规定，发出的信号要鲜明、准确。</w:t>
      </w:r>
    </w:p>
    <w:p w14:paraId="6C5862D9">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（t）在风力等于或大于六级时，禁止在露天进行起重机移动和吊装作业。</w:t>
      </w:r>
    </w:p>
    <w:p w14:paraId="15D51A9E">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（u）起重机停止工作时，应刹住回转和行走机构，锁好司机室门。吊钩上不得悬挂构件，并应升到高处，以免摆动伤人和造成吊车失稳。</w:t>
      </w:r>
    </w:p>
    <w:p w14:paraId="2B6AD593">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（v）构件吊装应按规定的吊装工艺和程序进行，未经计算和采取可靠的技术措施，不得随意改变或颠倒工艺程序安装结构构件。</w:t>
      </w:r>
    </w:p>
    <w:p w14:paraId="3C902864">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（w）构件吊装就位，应经初校和临时固定或连接可靠后始可卸钩，最后固定后方可拆除临时固定的工具。高宽比很大的单个构件，未经临时或最后固定组成一稳定单元体系前，应设溜绳或斜撑拉（撑）固。</w:t>
      </w:r>
    </w:p>
    <w:p w14:paraId="016A62D1">
      <w:pPr>
        <w:pStyle w:val="50"/>
        <w:spacing w:line="360" w:lineRule="auto"/>
        <w:ind w:firstLine="480" w:firstLineChars="200"/>
        <w:rPr>
          <w:rFonts w:hint="eastAsia" w:ascii="宋体" w:hAnsi="宋体"/>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（x）构件固定后不得随意撬动或移动位置，如需重校时，必须回钩。</w:t>
      </w:r>
    </w:p>
    <w:p w14:paraId="695DA146">
      <w:pPr>
        <w:pStyle w:val="50"/>
        <w:numPr>
          <w:ilvl w:val="0"/>
          <w:numId w:val="1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楼顶塔架安装施工前，务必仔细检查现场房屋有无安全隐患，有无高压线等危险源，做好安全防护，若有异常情况，如墙体或楼板开裂，屋面渗水需及时通知设计、监理等相关单位做相关处理，施工过程中应全程有监理现场监督。</w:t>
      </w:r>
    </w:p>
    <w:p w14:paraId="4800E0DC">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59" w:name="_Toc22324049"/>
      <w:bookmarkStart w:id="260" w:name="_Toc132902865"/>
      <w:bookmarkStart w:id="261" w:name="_Toc19087210"/>
      <w:r>
        <w:rPr>
          <w:rFonts w:ascii="黑体" w:hAnsi="黑体" w:eastAsia="黑体" w:cs="Times New Roman"/>
          <w:color w:val="000000" w:themeColor="text1"/>
          <w:sz w:val="28"/>
          <w:szCs w:val="28"/>
          <w14:textFill>
            <w14:solidFill>
              <w14:schemeClr w14:val="tx1"/>
            </w14:solidFill>
          </w14:textFill>
        </w:rPr>
        <w:t>基础施工安全风险防范</w:t>
      </w:r>
      <w:bookmarkEnd w:id="259"/>
      <w:bookmarkEnd w:id="260"/>
      <w:bookmarkEnd w:id="261"/>
    </w:p>
    <w:p w14:paraId="64BF2279">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基础施工中注意事项</w:t>
      </w:r>
    </w:p>
    <w:p w14:paraId="139A71E6">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施工单位需做好详细的施工组织方案，严格按照相关施工及验收规范组织施工。</w:t>
      </w:r>
    </w:p>
    <w:p w14:paraId="27103449">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施工前需探明相关区域，确认无地下管线或地下构筑物后方可施工；否则需采取有效措施确保相关地下管线及地下构筑物的安全。</w:t>
      </w:r>
    </w:p>
    <w:p w14:paraId="33B2A30C">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铁塔和杆路与铁路、电力线、高速公路、国道、省道的安全距离需满足相关法律法规及相关业主单位的要求。</w:t>
      </w:r>
    </w:p>
    <w:p w14:paraId="6725C49F">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建设场地范围有架空电力线路时，施工过程需停电施工或采取相关防范措施。</w:t>
      </w:r>
    </w:p>
    <w:p w14:paraId="2EF4E99F">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杆塔基础离稳定边坡边缘的水平距离不小于5m和0.4倍桩长；且应做好场地地表水的疏导路径，防止雨水冲刷边坡，造成滑坡。</w:t>
      </w:r>
    </w:p>
    <w:p w14:paraId="04B334C9">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杆塔基础离相邻建筑物的净距离不小于2.5m；当杆塔选用天然基础时，其基础埋深需小于相邻建筑物基础埋深，否则施工过程应确保安全距离（确保两者基础水平净距大于两者基础埋深高差）或进行基坑支护。</w:t>
      </w:r>
    </w:p>
    <w:p w14:paraId="69FCA316">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站址距离业主已有房屋或其他构筑物较近时，塔基施工中需做好原建筑基础的保护和变形监测，确保安全生产。</w:t>
      </w:r>
    </w:p>
    <w:p w14:paraId="1C09794E">
      <w:pPr>
        <w:pStyle w:val="50"/>
        <w:numPr>
          <w:ilvl w:val="0"/>
          <w:numId w:val="12"/>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施工过程中需做好对相邻建筑物的保护措施，防止对相邻建筑物造成结构损伤。</w:t>
      </w:r>
    </w:p>
    <w:p w14:paraId="327F77E8">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人工挖孔桩施工安全风险防范</w:t>
      </w:r>
    </w:p>
    <w:p w14:paraId="5F27DF90">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孔内必须设置应急软爬梯供人员上下；使用的电葫芦、吊笼等应安全可靠，并配有自动卡紧保险装置，不得使用麻绳和尼龙绳吊挂或脚踏井壁凸缘上下。电葫芦宜用按钮式开关，使用前必须检验其安全起吊能力。</w:t>
      </w:r>
    </w:p>
    <w:p w14:paraId="17B880D0">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每日开工前必须检测井下的有毒、有害气体，并应有足够的安全防范措施。当桩孔开挖深度超过10m 时，应有专门向井下送风的设备，风量不宜少于25L/s。</w:t>
      </w:r>
    </w:p>
    <w:p w14:paraId="1C327BD0">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孔口四周必须设置护栏，护栏高度宜为0.8m；孔口应防止杂物掉落孔内。</w:t>
      </w:r>
    </w:p>
    <w:p w14:paraId="57C4A2A4">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挖出的土石方应及时运离孔口，不得堆放在孔口周边1m 范围内，机动车辆的通行不得对井壁的安全造成影响；当孔深大于6m时，应采用机械动力提升土石方，提升机构应有反向锁定装置。</w:t>
      </w:r>
    </w:p>
    <w:p w14:paraId="2DA063BE">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孔内作业照明应采用12V以下的安全灯,电压不得高于36伏，供电给井下的用电设备的线路必须装漏电保护装置。</w:t>
      </w:r>
    </w:p>
    <w:p w14:paraId="7D1F34A8">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施工现场的临时用电安装和拆除必须有特种作业证和上岗证的专业电工操作。井底抽水时，原则上应在挖孔作业人员上到地面后再合闸抽水，然后立即关闭电源，严禁带电作业。</w:t>
      </w:r>
    </w:p>
    <w:p w14:paraId="3133F98F">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基础在施工过程中对场地原有边坡、边沟及植被等周边环境破坏后，施工完成后必须对其恢复原状。</w:t>
      </w:r>
    </w:p>
    <w:p w14:paraId="31F9A569">
      <w:pPr>
        <w:pStyle w:val="50"/>
        <w:numPr>
          <w:ilvl w:val="0"/>
          <w:numId w:val="13"/>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雨、雪、冰冻天气应采取相应的安全措施，雨后施工应排除积水。</w:t>
      </w:r>
    </w:p>
    <w:p w14:paraId="514B8B67">
      <w:pPr>
        <w:pStyle w:val="50"/>
        <w:numPr>
          <w:ilvl w:val="2"/>
          <w:numId w:val="1"/>
        </w:numPr>
        <w:spacing w:line="360" w:lineRule="auto"/>
        <w:ind w:left="426" w:hanging="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大开挖施工安全风险防范</w:t>
      </w:r>
    </w:p>
    <w:p w14:paraId="5A2FDB96">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基础施工前应探明并清除表层浮土、积水和地下障碍物，以免施工时发生困难，影响施工质量。</w:t>
      </w:r>
    </w:p>
    <w:p w14:paraId="7907FC47">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基坑开挖时应做好支护工作或人工放坡，并应加强防排水措施，确保施工安全；人工放坡应按现行国家标准的规定控制坡度。</w:t>
      </w:r>
    </w:p>
    <w:p w14:paraId="42663A7C">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土方工程施工前，应采取有效的地下水控制措施。基坑内地下水位应降至拟开挖下层土方的底面以下不小于0.5m。</w:t>
      </w:r>
    </w:p>
    <w:p w14:paraId="66DE8947">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基坑开挖的分层厚度宜控制在3m以内，并应配合支护结构的设置和施工的要求。</w:t>
      </w:r>
    </w:p>
    <w:p w14:paraId="024547A8">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在基坑开挖期间，应采取对周边环境的保护措施，不得影晌周围建(构)筑物及邻近市政管线与地下设施等的正常使用功能；</w:t>
      </w:r>
    </w:p>
    <w:p w14:paraId="36DAA9DC">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基础回填土请严格按</w:t>
      </w:r>
      <w:r>
        <w:rPr>
          <w:rFonts w:hint="eastAsia" w:ascii="Times New Roman" w:hAnsi="Times New Roman"/>
          <w:color w:val="000000" w:themeColor="text1"/>
          <w:sz w:val="24"/>
          <w14:textFill>
            <w14:solidFill>
              <w14:schemeClr w14:val="tx1"/>
            </w14:solidFill>
          </w14:textFill>
        </w:rPr>
        <w:t>国家及行业标准</w:t>
      </w:r>
      <w:r>
        <w:rPr>
          <w:rFonts w:ascii="Times New Roman" w:hAnsi="Times New Roman"/>
          <w:color w:val="000000" w:themeColor="text1"/>
          <w:sz w:val="24"/>
          <w14:textFill>
            <w14:solidFill>
              <w14:schemeClr w14:val="tx1"/>
            </w14:solidFill>
          </w14:textFill>
        </w:rPr>
        <w:t>施工，人工夯实时，每层铺土厚度不大于200；机械夯实时，每层铺土厚度不大于250，压实遍数不小于3遍，压实系数大于0.94，容重不得小于16.5kN/m³。</w:t>
      </w:r>
    </w:p>
    <w:p w14:paraId="7DB32EBE">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施工安全应符合现行行业标准</w:t>
      </w:r>
      <w:r>
        <w:rPr>
          <w:rFonts w:ascii="Times New Roman" w:hAnsi="Times New Roman"/>
          <w:b/>
          <w:bCs/>
          <w:color w:val="000000" w:themeColor="text1"/>
          <w:sz w:val="24"/>
          <w14:textFill>
            <w14:solidFill>
              <w14:schemeClr w14:val="tx1"/>
            </w14:solidFill>
          </w14:textFill>
        </w:rPr>
        <w:t>《建筑施工安全检查标准》 JGJ 59</w:t>
      </w:r>
      <w:r>
        <w:rPr>
          <w:rFonts w:ascii="Times New Roman" w:hAnsi="Times New Roman"/>
          <w:color w:val="000000" w:themeColor="text1"/>
          <w:sz w:val="24"/>
          <w14:textFill>
            <w14:solidFill>
              <w14:schemeClr w14:val="tx1"/>
            </w14:solidFill>
          </w14:textFill>
        </w:rPr>
        <w:t>的有关规定。</w:t>
      </w:r>
    </w:p>
    <w:p w14:paraId="5E152D5A">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操作人员应经过安全教育后进场。施工过程中应定期召开安全工作会议及开展现场安全检查工作。</w:t>
      </w:r>
    </w:p>
    <w:p w14:paraId="6D79B91F">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机电设备应由专人操作，并应遵守操作规程；施工临时用电应符合现行行业标准</w:t>
      </w:r>
      <w:r>
        <w:rPr>
          <w:rFonts w:ascii="Times New Roman" w:hAnsi="Times New Roman"/>
          <w:b/>
          <w:bCs/>
          <w:color w:val="000000" w:themeColor="text1"/>
          <w:sz w:val="24"/>
          <w14:textFill>
            <w14:solidFill>
              <w14:schemeClr w14:val="tx1"/>
            </w14:solidFill>
          </w14:textFill>
        </w:rPr>
        <w:t>《施工现场临时用电安全技术规范》JGJ 46</w:t>
      </w:r>
      <w:r>
        <w:rPr>
          <w:rFonts w:ascii="Times New Roman" w:hAnsi="Times New Roman"/>
          <w:color w:val="000000" w:themeColor="text1"/>
          <w:sz w:val="24"/>
          <w14:textFill>
            <w14:solidFill>
              <w14:schemeClr w14:val="tx1"/>
            </w14:solidFill>
          </w14:textFill>
        </w:rPr>
        <w:t>的规定。</w:t>
      </w:r>
    </w:p>
    <w:p w14:paraId="71BFDBE3">
      <w:pPr>
        <w:pStyle w:val="50"/>
        <w:numPr>
          <w:ilvl w:val="0"/>
          <w:numId w:val="14"/>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施工过程的环境保护应符合现行行业标准</w:t>
      </w:r>
      <w:r>
        <w:rPr>
          <w:rFonts w:ascii="Times New Roman" w:hAnsi="Times New Roman"/>
          <w:b/>
          <w:bCs/>
          <w:color w:val="000000" w:themeColor="text1"/>
          <w:sz w:val="24"/>
          <w14:textFill>
            <w14:solidFill>
              <w14:schemeClr w14:val="tx1"/>
            </w14:solidFill>
          </w14:textFill>
        </w:rPr>
        <w:t>《建设工程施工现场环境与卫生标准》JGJ 146</w:t>
      </w:r>
      <w:r>
        <w:rPr>
          <w:rFonts w:ascii="Times New Roman" w:hAnsi="Times New Roman"/>
          <w:color w:val="000000" w:themeColor="text1"/>
          <w:sz w:val="24"/>
          <w14:textFill>
            <w14:solidFill>
              <w14:schemeClr w14:val="tx1"/>
            </w14:solidFill>
          </w14:textFill>
        </w:rPr>
        <w:t>的有关规定。</w:t>
      </w:r>
    </w:p>
    <w:p w14:paraId="68637698">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2" w:name="_Toc19087211"/>
      <w:bookmarkStart w:id="263" w:name="_Toc486184220"/>
      <w:bookmarkStart w:id="264" w:name="_Toc132902866"/>
      <w:bookmarkStart w:id="265" w:name="_Toc22324050"/>
      <w:r>
        <w:rPr>
          <w:rFonts w:ascii="黑体" w:hAnsi="黑体" w:eastAsia="黑体" w:cs="Times New Roman"/>
          <w:color w:val="000000" w:themeColor="text1"/>
          <w:sz w:val="28"/>
          <w:szCs w:val="28"/>
          <w14:textFill>
            <w14:solidFill>
              <w14:schemeClr w14:val="tx1"/>
            </w14:solidFill>
          </w14:textFill>
        </w:rPr>
        <w:t>动力配套设备安装安全风险防范</w:t>
      </w:r>
      <w:bookmarkEnd w:id="262"/>
      <w:bookmarkEnd w:id="263"/>
      <w:bookmarkEnd w:id="264"/>
      <w:bookmarkEnd w:id="265"/>
    </w:p>
    <w:p w14:paraId="4AC98B0C">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机房作业中涉及到线缆布放及设备、器件安装的，必须严格遵照机房工艺规范要求和其他技术要求；不得因作业而破坏机房原有工艺规范，或降低机房安全标准。</w:t>
      </w:r>
    </w:p>
    <w:p w14:paraId="30E81F6E">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除非设备特殊要求，机房的设备布线宜采用上走线方式，若采用下走线方式，则需要采取防火措施后方可布线。</w:t>
      </w:r>
    </w:p>
    <w:p w14:paraId="540A9128">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力电缆与信号电缆的孔洞、管道应分开设置，机房内信号电缆与电力电缆应尽可能沿不同的走线架或槽道布放，并尽量作到不交叉走线，必须同槽同孔敷设的或交叉的要采取可靠的隔离措施。如：在同一走线架或槽道布放时应隔开150mm以上。除非设备的特殊要求外，一律采用不封闭架空走线架。有条件的局站应考虑装备自动报警、消防系统。</w:t>
      </w:r>
    </w:p>
    <w:p w14:paraId="346F8F56">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金属走线架或走线槽应有良好的电气连接，必须做好接地处理。信号地和机架地都应良好接地。</w:t>
      </w:r>
    </w:p>
    <w:p w14:paraId="36DAADFC">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施工过程中应对DC、PDB或列柜电源容量进行安全检测，在通电时应对可能引发的故障作充分的应急措施。</w:t>
      </w:r>
    </w:p>
    <w:p w14:paraId="7E516AEB">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更换电源设备的空气开关、熔丝时要注意操作的安全性，严格避免误操作造成短路等事故。</w:t>
      </w:r>
    </w:p>
    <w:p w14:paraId="147FB96D">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涉及在线扩容、割接和带电作业的工程，必须与维护部门商定实施方案，保护措施，应急方案，作好安全防范措施，保证工程顺利进行。应做好失败倒回方案，确保施工过程万一出现紧急情况而不能成功割接可以顺利倒回至割接前工作状态。施工单位必须与分局以及各相关部门密切配合，相互沟通，及时解决问题，以免影响工程质量和进度。</w:t>
      </w:r>
    </w:p>
    <w:p w14:paraId="02F94E69">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工程所需的设备、部件、器材、主要材料等均应选择有监制合格优质产品，禁止使用低劣和不合格的产品和物质。</w:t>
      </w:r>
    </w:p>
    <w:p w14:paraId="3141D462">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在工程建设中必须有通信工程项目经理在施工现场指导施工，严格执行施工操作规范，施工和安全责任落实到人，确保工程建设质量，杜绝在工程建设和维护中发生安全事故。施工单位必须在严格遵守施工规范和要求外，应同时根据设计文件和相关厂家产品安装与维护手册的要求进行施工，注意施工工艺。</w:t>
      </w:r>
    </w:p>
    <w:p w14:paraId="457D7CF5">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施工单位在进入机房施工前，必须按安保和维护部门的规定，办理相关手续后才能进入机房实施。必须在节假日进行施工的工程，也必须向相关部门完善手续后，方能进行施工。</w:t>
      </w:r>
    </w:p>
    <w:p w14:paraId="7A2FAD2D">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施工中监理单位应严格按相关安全施工规范实施安全监督和管理。设备安装前监理工程师应会同有关单位对机房进行安全检查，包括消防、防震和接地。</w:t>
      </w:r>
    </w:p>
    <w:p w14:paraId="12137FF3">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起重工、电工、电焊工等特殊工种作业人员必须接受培训，考试合格后持有效证件上岗。</w:t>
      </w:r>
    </w:p>
    <w:p w14:paraId="112056A3">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铜缆转弯时最小弯曲半径不得小于铜缆缆径的4倍，光缆转弯时最小弯曲半径不得小于缆径的15倍。</w:t>
      </w:r>
    </w:p>
    <w:p w14:paraId="20A85806">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为了减少尾纤在走线架中因弯折等造成的衰耗和保护尾纤，要求工程中对尾纤采取保护措施，如光跳线露出在走线架的部分用塑料套管(25~30mm)或蛇皮管保护。</w:t>
      </w:r>
    </w:p>
    <w:p w14:paraId="7545A97B">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连接电缆及机房内各类电缆走线必须有明了的标签，同类电缆绑扎紧凑,布放路由合理。所有电缆线应摆放整齐并捆扎好，并加防火措施及防鼠措施。电缆布放完工后，应对所有楼板洞、墙洞用防火堵料进行封堵。</w:t>
      </w:r>
    </w:p>
    <w:p w14:paraId="0C83C295">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通信施工企业应制定详细的安全管理条例、办法，对登高、触电防护、作业现场、工具使用、装置检修等工序的安全防护进行详细规定。</w:t>
      </w:r>
    </w:p>
    <w:p w14:paraId="35CC7B03">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14:paraId="0097F45E">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14:paraId="60865831">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14:paraId="1CF249CA">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工程施工时应做好防火安全工作，严禁在机房内使用明火作业，施工完毕后应及时清理多余的材料。</w:t>
      </w:r>
    </w:p>
    <w:p w14:paraId="16057E3C">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施工人员在机房内由于施工需要取用电时(施工工具用电和调测设备用电)，禁止使用机房通信设备专用的交直流电源，只允许使用机房照明用电或其它电源。</w:t>
      </w:r>
    </w:p>
    <w:p w14:paraId="6BC891F2">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机房内施工时应采取防尘措施，保证设备的正常运行以及施工现场清洁。</w:t>
      </w:r>
    </w:p>
    <w:p w14:paraId="0893DC11">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用的电力电缆布放和安装结束后须仔细检查其安装是否正确，核对是否有出现短路的可能。在设备加电前，须分析出现短路或过载时，对其它在网设备用电的影响，确保此次加电后不至导致整个配电柜的跳闸断电。</w:t>
      </w:r>
    </w:p>
    <w:p w14:paraId="2B6E2210">
      <w:pPr>
        <w:pStyle w:val="50"/>
        <w:numPr>
          <w:ilvl w:val="0"/>
          <w:numId w:val="15"/>
        </w:numPr>
        <w:spacing w:line="360" w:lineRule="auto"/>
        <w:ind w:left="0" w:firstLine="426"/>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电源线的安装路由、数量应符合施工图的规定，电源线的规格、开关的容量均应符合设计要求。不同电压等级和相位的电源线应用不同颜色区分，并用标签进行标识。</w:t>
      </w:r>
    </w:p>
    <w:bookmarkEnd w:id="258"/>
    <w:p w14:paraId="3B1D87E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66" w:name="_Toc22324051"/>
      <w:bookmarkStart w:id="267" w:name="_Toc19087212"/>
      <w:bookmarkStart w:id="268" w:name="_Toc132902867"/>
      <w:bookmarkStart w:id="269" w:name="_Hlk112746171"/>
      <w:r>
        <w:rPr>
          <w:rFonts w:ascii="黑体" w:hAnsi="黑体" w:eastAsia="黑体" w:cs="Times New Roman"/>
          <w:color w:val="000000" w:themeColor="text1"/>
          <w:sz w:val="28"/>
          <w:szCs w:val="28"/>
          <w14:textFill>
            <w14:solidFill>
              <w14:schemeClr w14:val="tx1"/>
            </w14:solidFill>
          </w14:textFill>
        </w:rPr>
        <w:t>其他相关安全风险防范</w:t>
      </w:r>
      <w:bookmarkEnd w:id="266"/>
      <w:bookmarkEnd w:id="267"/>
      <w:bookmarkEnd w:id="268"/>
    </w:p>
    <w:p w14:paraId="76F32BF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对建材的要求，对使用新材料、新技术、新工艺的要求：</w:t>
      </w:r>
    </w:p>
    <w:p w14:paraId="69EB73E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所有施工用材料不得使用伪劣材料，均应符合设计要求；在施工时必须保证质量，特别是隐蔽工程；装修应以经济、快速的方式，使用简单易操作的工艺，达到整洁、美观的标准。</w:t>
      </w:r>
    </w:p>
    <w:p w14:paraId="08CA73C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（1）如需使用新材料或者其他材料代替原材料必须经由设计院同意后才可使用。</w:t>
      </w:r>
    </w:p>
    <w:p w14:paraId="59C98E9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（2）施工单位可以提出新技术，新工艺，但必须经由设计院同意后才可执行。</w:t>
      </w:r>
    </w:p>
    <w:p w14:paraId="246FE7C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其他相关说明：</w:t>
      </w:r>
    </w:p>
    <w:p w14:paraId="741BD4F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（1）施工前应做好用电设备的漏电检测，确保安全施工作业。</w:t>
      </w:r>
    </w:p>
    <w:p w14:paraId="6AC53A5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（2）涉水作业时，必须做好漏电检测，确保不能涉电作业和安全施工作业。</w:t>
      </w:r>
    </w:p>
    <w:p w14:paraId="2B5B907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（3）施工现场的一切电源、电路的安装和拆除必须遵守现行行业标准</w:t>
      </w:r>
      <w:r>
        <w:rPr>
          <w:b/>
          <w:bCs/>
          <w:color w:val="000000" w:themeColor="text1"/>
          <w:sz w:val="24"/>
          <w14:textFill>
            <w14:solidFill>
              <w14:schemeClr w14:val="tx1"/>
            </w14:solidFill>
          </w14:textFill>
        </w:rPr>
        <w:t>《施工现场临时用电安全技术规范》JGJ46</w:t>
      </w:r>
      <w:r>
        <w:rPr>
          <w:color w:val="000000" w:themeColor="text1"/>
          <w:sz w:val="24"/>
          <w14:textFill>
            <w14:solidFill>
              <w14:schemeClr w14:val="tx1"/>
            </w14:solidFill>
          </w14:textFill>
        </w:rPr>
        <w:t>的规定。</w:t>
      </w:r>
    </w:p>
    <w:p w14:paraId="72C1167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（4）每日开工及下井前必须检测井下的有毒、有害气体，并应有相应的安全防范措施；当桩孔开挖深度超过10m时，应有专门向下送风的设备，风量不宜少于25L/S。</w:t>
      </w:r>
    </w:p>
    <w:p w14:paraId="7488B8A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（5）严禁夜间挖空；孔内带电施工设备必须有防漏电措施。</w:t>
      </w:r>
    </w:p>
    <w:p w14:paraId="3C202F8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（6）其他未尽事宜，请严格按照相关规范的有关安全施工要求执行。</w:t>
      </w:r>
    </w:p>
    <w:p w14:paraId="39CC9162">
      <w:pPr>
        <w:spacing w:line="360" w:lineRule="auto"/>
        <w:ind w:firstLine="480"/>
        <w:rPr>
          <w:color w:val="000000" w:themeColor="text1"/>
          <w:sz w:val="24"/>
          <w14:textFill>
            <w14:solidFill>
              <w14:schemeClr w14:val="tx1"/>
            </w14:solidFill>
          </w14:textFill>
        </w:rPr>
      </w:pPr>
    </w:p>
    <w:bookmarkEnd w:id="269"/>
    <w:p w14:paraId="77F224AE">
      <w:pPr>
        <w:pStyle w:val="45"/>
        <w:numPr>
          <w:ilvl w:val="0"/>
          <w:numId w:val="1"/>
        </w:numPr>
        <w:rPr>
          <w:rFonts w:cs="Times New Roman"/>
          <w:color w:val="000000" w:themeColor="text1"/>
          <w:sz w:val="28"/>
          <w:szCs w:val="28"/>
          <w14:textFill>
            <w14:solidFill>
              <w14:schemeClr w14:val="tx1"/>
            </w14:solidFill>
          </w14:textFill>
        </w:rPr>
      </w:pPr>
      <w:bookmarkStart w:id="270" w:name="_Toc19087213"/>
      <w:bookmarkStart w:id="271" w:name="_Toc429313778"/>
      <w:bookmarkStart w:id="272" w:name="_Toc22324052"/>
      <w:bookmarkStart w:id="273" w:name="_Toc417651986"/>
      <w:bookmarkStart w:id="274" w:name="_Toc132902868"/>
      <w:bookmarkStart w:id="275" w:name="_Toc224123814"/>
      <w:r>
        <w:rPr>
          <w:rFonts w:cs="Times New Roman"/>
          <w:color w:val="000000" w:themeColor="text1"/>
          <w:sz w:val="28"/>
          <w:szCs w:val="28"/>
          <w14:textFill>
            <w14:solidFill>
              <w14:schemeClr w14:val="tx1"/>
            </w14:solidFill>
          </w14:textFill>
        </w:rPr>
        <w:t>消防及安全生产要求</w:t>
      </w:r>
      <w:bookmarkEnd w:id="270"/>
      <w:bookmarkEnd w:id="271"/>
      <w:bookmarkEnd w:id="272"/>
      <w:bookmarkEnd w:id="273"/>
      <w:bookmarkEnd w:id="274"/>
      <w:bookmarkStart w:id="276" w:name="_Toc417651987"/>
      <w:bookmarkStart w:id="277" w:name="_Toc429313779"/>
      <w:bookmarkStart w:id="278" w:name="_Toc396990758"/>
    </w:p>
    <w:p w14:paraId="1F761D60">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79" w:name="_Toc19087214"/>
      <w:bookmarkStart w:id="280" w:name="_Toc132902869"/>
      <w:bookmarkStart w:id="281" w:name="_Toc22324053"/>
      <w:r>
        <w:rPr>
          <w:rFonts w:ascii="黑体" w:hAnsi="黑体" w:eastAsia="黑体" w:cs="Times New Roman"/>
          <w:color w:val="000000" w:themeColor="text1"/>
          <w:sz w:val="28"/>
          <w:szCs w:val="28"/>
          <w14:textFill>
            <w14:solidFill>
              <w14:schemeClr w14:val="tx1"/>
            </w14:solidFill>
          </w14:textFill>
        </w:rPr>
        <w:t>消防安全要求</w:t>
      </w:r>
      <w:bookmarkEnd w:id="276"/>
      <w:bookmarkEnd w:id="277"/>
      <w:bookmarkEnd w:id="278"/>
      <w:bookmarkEnd w:id="279"/>
      <w:bookmarkEnd w:id="280"/>
      <w:bookmarkEnd w:id="281"/>
    </w:p>
    <w:p w14:paraId="1151B09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各级通信机房建筑的消防安全要求必须符合工信部电管[2010]543号“关于印发《通信机楼消防安全监督管理办法》的通知”。</w:t>
      </w:r>
    </w:p>
    <w:p w14:paraId="05F033A0">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高层电信建筑中的国际局、大区中心、省中心和10000路地区中心长途电信局、20000线市话汇接局和60000门程控市话端局、以及建筑高度大于50m的电信建筑属于一类建筑，其余的高层电信建筑属于二类建筑。一类建筑的耐火等级应为一级，二类建筑以及多层电信建筑的耐火等级均不应低于二级。</w:t>
      </w:r>
    </w:p>
    <w:p w14:paraId="6AF93F63">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电信建筑的机房内均应配置手提式灭火器或移动式灭火器。</w:t>
      </w:r>
    </w:p>
    <w:p w14:paraId="7701B6FE">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机房内不应采用水喷淋消防系统。机房及楼道应配置手提式或移动式灭火器、防毒面具。消防通道有疏散指示，通道内不得堆放杂物和易燃物品，不得封堵消防疏散通道，以利发生火灾时安全疏散人员。重要通信机房应设早期火灾自动报警系统。</w:t>
      </w:r>
    </w:p>
    <w:p w14:paraId="17D61C32">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机房内严禁存放易燃、易爆等危险物品。</w:t>
      </w:r>
    </w:p>
    <w:p w14:paraId="0C046FA0">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防火封堵要求：</w:t>
      </w:r>
    </w:p>
    <w:p w14:paraId="213B0F37">
      <w:pPr>
        <w:spacing w:line="360" w:lineRule="auto"/>
        <w:ind w:firstLine="480"/>
        <w:rPr>
          <w:bCs/>
          <w:color w:val="000000" w:themeColor="text1"/>
          <w:sz w:val="24"/>
          <w14:textFill>
            <w14:solidFill>
              <w14:schemeClr w14:val="tx1"/>
            </w14:solidFill>
          </w14:textFill>
        </w:rPr>
      </w:pPr>
      <w:r>
        <w:rPr>
          <w:bCs/>
          <w:color w:val="000000" w:themeColor="text1"/>
          <w:sz w:val="24"/>
          <w14:textFill>
            <w14:solidFill>
              <w14:schemeClr w14:val="tx1"/>
            </w14:solidFill>
          </w14:textFill>
        </w:rPr>
        <w:t>机房预留孔洞及导线管和电（光）缆贯穿孔口的防火封堵，在每一工程项目贯穿布线完毕后，应及时予以封堵。</w:t>
      </w:r>
    </w:p>
    <w:p w14:paraId="71C36C65">
      <w:pPr>
        <w:widowControl/>
        <w:numPr>
          <w:ilvl w:val="0"/>
          <w:numId w:val="17"/>
        </w:numPr>
        <w:tabs>
          <w:tab w:val="left" w:pos="900"/>
          <w:tab w:val="clear" w:pos="840"/>
        </w:tabs>
        <w:snapToGrid w:val="0"/>
        <w:spacing w:line="360" w:lineRule="auto"/>
        <w:ind w:left="0" w:firstLine="480"/>
        <w:rPr>
          <w:color w:val="000000" w:themeColor="text1"/>
          <w:sz w:val="24"/>
          <w14:textFill>
            <w14:solidFill>
              <w14:schemeClr w14:val="tx1"/>
            </w14:solidFill>
          </w14:textFill>
        </w:rPr>
      </w:pPr>
      <w:r>
        <w:rPr>
          <w:color w:val="000000" w:themeColor="text1"/>
          <w:kern w:val="0"/>
          <w:sz w:val="24"/>
          <w14:textFill>
            <w14:solidFill>
              <w14:schemeClr w14:val="tx1"/>
            </w14:solidFill>
          </w14:textFill>
        </w:rPr>
        <w:t>电缆井、管道井应在楼板处用耐火极限不低于1.5h的非燃烧体作为防火分隔，通过楼板的孔洞，电缆与楼板的孔隙应用非燃烧材料密封，通向其他房间的地槽、墙上的孔洞，已装电缆者。其与墙体的孔隙亦宜采用非燃烧材料封隔，凡近期不使用者均宜用非燃烧材料封闭。</w:t>
      </w:r>
    </w:p>
    <w:p w14:paraId="71226077">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孔洞封堵必须采用不低于楼板耐火等级的不燃烧材料封堵。</w:t>
      </w:r>
    </w:p>
    <w:p w14:paraId="4EDBA626">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防火封堵应当综合考虑贯穿物、贯穿孔口类型、建筑缝隙的类型以及机房环境等因素，选择适当的防火封堵组件；防火封堵组件的耐火极限不应当低于被贯穿物的耐火极限；防火封堵材料应当符合国家和行业标准要求；应用于重点区域的防火封堵，应当具有良好的耐久和烟密性能。</w:t>
      </w:r>
    </w:p>
    <w:p w14:paraId="5B81CF74">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机房装修要求：</w:t>
      </w:r>
    </w:p>
    <w:p w14:paraId="1E007234">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室内装修材料应采用非燃烧材料。</w:t>
      </w:r>
    </w:p>
    <w:p w14:paraId="1229FF4C">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电信机房不设吊顶。</w:t>
      </w:r>
    </w:p>
    <w:p w14:paraId="7033C83E">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通信机楼不得使用易燃材料进行装修，楼内不得堆放易燃易爆物品。</w:t>
      </w:r>
    </w:p>
    <w:p w14:paraId="0D95F73A">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施工单位应当在施工现场建立消防安全责任制度，并确定消防安全责任人，制定用火、用电、使用易燃易爆材料等各项消防安全管理制度和操作规程。</w:t>
      </w:r>
    </w:p>
    <w:p w14:paraId="4D3A138F">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施工现场应配备必要的消防器材。消防器材设置地点应合理，便于取用，使用方法应明示。</w:t>
      </w:r>
    </w:p>
    <w:p w14:paraId="480D2439">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施工现场配备的消防器材应完好无损且在有效期内。</w:t>
      </w:r>
    </w:p>
    <w:p w14:paraId="3B337F4A">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人员首次进人施工现场，应首先了解消防设施、器材的设置点，不得随意挪动。</w:t>
      </w:r>
    </w:p>
    <w:p w14:paraId="41A718E4">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不得堵塞消防通道、遮挡消防设施。</w:t>
      </w:r>
    </w:p>
    <w:p w14:paraId="4272C8F5">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光（电）缆进线室、水线房、机房、无（有）人站、木工场地、仓库、林区、草原等处施工时，严禁烟火。在禁火区施工需动用明火时，必须经相关部门批准，并采取严密的防范措施。施工车辆进入禁火区必须加装排气管防火装置。（</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第3.6.6条）。</w:t>
      </w:r>
    </w:p>
    <w:p w14:paraId="48942895">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在室内进行油漆作业时，应保持通风良好，不得有烟火，照明灯具应使用防爆灯。</w:t>
      </w:r>
    </w:p>
    <w:p w14:paraId="76E5C434">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电缆等各种贯穿物穿越墙壁或楼板时，必须按要求用防火封堵材料封堵洞口。（</w:t>
      </w:r>
      <w:r>
        <w:rPr>
          <w:rFonts w:ascii="Times New Roman" w:hAnsi="Times New Roman"/>
          <w:b/>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第3.6.8条）。</w:t>
      </w:r>
    </w:p>
    <w:p w14:paraId="67A4E431">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电气设备着火时，必须首先切断电源。（</w:t>
      </w:r>
      <w:r>
        <w:rPr>
          <w:rFonts w:ascii="Times New Roman" w:hAnsi="Times New Roman"/>
          <w:b/>
          <w:bCs/>
          <w:color w:val="000000" w:themeColor="text1"/>
          <w:sz w:val="24"/>
          <w14:textFill>
            <w14:solidFill>
              <w14:schemeClr w14:val="tx1"/>
            </w14:solidFill>
          </w14:textFill>
        </w:rPr>
        <w:t>《通信建设工程安全生产操作规范》YD 5201-2014</w:t>
      </w:r>
      <w:r>
        <w:rPr>
          <w:rFonts w:ascii="Times New Roman" w:hAnsi="Times New Roman"/>
          <w:color w:val="000000" w:themeColor="text1"/>
          <w:sz w:val="24"/>
          <w14:textFill>
            <w14:solidFill>
              <w14:schemeClr w14:val="tx1"/>
            </w14:solidFill>
          </w14:textFill>
        </w:rPr>
        <w:t>第3.6.9条）。</w:t>
      </w:r>
    </w:p>
    <w:p w14:paraId="3BD31BD2">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机房失火时，严禁使用水和泡沫灭火器灭火。</w:t>
      </w:r>
    </w:p>
    <w:p w14:paraId="2CDF0FF9">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施工现场防火要求</w:t>
      </w:r>
    </w:p>
    <w:p w14:paraId="04747E48">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电气设备着火时，应首先切断电源，必须使用干粉灭火器，严禁使用水和泡沫灭火器。</w:t>
      </w:r>
    </w:p>
    <w:p w14:paraId="041D33D3">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在封闭和特殊要求的施工场所严禁吸烟。</w:t>
      </w:r>
    </w:p>
    <w:p w14:paraId="6F59EACF">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易燃、易爆的化学危险品和压缩可燃气体容器等应当按其性质分类放置并保持安全距离。</w:t>
      </w:r>
    </w:p>
    <w:p w14:paraId="6791FA23">
      <w:pPr>
        <w:widowControl/>
        <w:numPr>
          <w:ilvl w:val="0"/>
          <w:numId w:val="17"/>
        </w:numPr>
        <w:tabs>
          <w:tab w:val="left" w:pos="900"/>
          <w:tab w:val="clear" w:pos="840"/>
        </w:tabs>
        <w:snapToGrid w:val="0"/>
        <w:spacing w:line="360" w:lineRule="auto"/>
        <w:ind w:left="0" w:firstLine="480"/>
        <w:rPr>
          <w:color w:val="000000" w:themeColor="text1"/>
          <w:kern w:val="0"/>
          <w:sz w:val="24"/>
          <w14:textFill>
            <w14:solidFill>
              <w14:schemeClr w14:val="tx1"/>
            </w14:solidFill>
          </w14:textFill>
        </w:rPr>
      </w:pPr>
      <w:r>
        <w:rPr>
          <w:color w:val="000000" w:themeColor="text1"/>
          <w:kern w:val="0"/>
          <w:sz w:val="24"/>
          <w14:textFill>
            <w14:solidFill>
              <w14:schemeClr w14:val="tx1"/>
            </w14:solidFill>
          </w14:textFill>
        </w:rPr>
        <w:t>机房内施工不得使用明火。需要使用明火时应经相关单位部门批准，落实安全防火措施，并在指定的地点、时间内作业。每天施工结束后必须认真清理现场，消除火种。</w:t>
      </w:r>
    </w:p>
    <w:p w14:paraId="66360321">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机房的电源线与信号线的孔洞、管道应分开设置；交流线应采用绝燃材料加护套。</w:t>
      </w:r>
    </w:p>
    <w:p w14:paraId="4122F0D7">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机房建筑材料要采用非易燃或阻燃材料。</w:t>
      </w:r>
    </w:p>
    <w:p w14:paraId="747E3880">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主机房要同时设计安装消防报警系统。</w:t>
      </w:r>
    </w:p>
    <w:p w14:paraId="294A82E2">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施工中要把电力线与信号线分架分孔洞敷设；必须同槽同孔敷设的或交叉的要采取可靠的隔离措施。</w:t>
      </w:r>
    </w:p>
    <w:p w14:paraId="2A8BDFA9">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机房设备的排水管不能与电源线同槽敷设或交叉穿越；确实必须同槽或交叉的要采取可靠的防渗漏防潮措施。</w:t>
      </w:r>
    </w:p>
    <w:p w14:paraId="53101BC7">
      <w:pPr>
        <w:pStyle w:val="50"/>
        <w:numPr>
          <w:ilvl w:val="0"/>
          <w:numId w:val="1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机房空调隔热层不能采用易燃和可燃材料。</w:t>
      </w:r>
    </w:p>
    <w:p w14:paraId="2C0682C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82" w:name="_Toc396990768"/>
      <w:bookmarkStart w:id="283" w:name="_Toc429313789"/>
      <w:bookmarkStart w:id="284" w:name="_Toc417651997"/>
      <w:bookmarkStart w:id="285" w:name="_Toc22324054"/>
      <w:bookmarkStart w:id="286" w:name="_Toc19087215"/>
      <w:bookmarkStart w:id="287" w:name="_Toc132902870"/>
      <w:bookmarkStart w:id="288" w:name="_Toc429313780"/>
      <w:bookmarkStart w:id="289" w:name="_Toc417651988"/>
      <w:bookmarkStart w:id="290" w:name="_Toc396990759"/>
      <w:r>
        <w:rPr>
          <w:rFonts w:ascii="黑体" w:hAnsi="黑体" w:eastAsia="黑体" w:cs="Times New Roman"/>
          <w:color w:val="000000" w:themeColor="text1"/>
          <w:sz w:val="28"/>
          <w:szCs w:val="28"/>
          <w14:textFill>
            <w14:solidFill>
              <w14:schemeClr w14:val="tx1"/>
            </w14:solidFill>
          </w14:textFill>
        </w:rPr>
        <w:t>安全生产</w:t>
      </w:r>
      <w:bookmarkEnd w:id="282"/>
      <w:bookmarkEnd w:id="283"/>
      <w:bookmarkEnd w:id="284"/>
      <w:r>
        <w:rPr>
          <w:rFonts w:ascii="黑体" w:hAnsi="黑体" w:eastAsia="黑体" w:cs="Times New Roman"/>
          <w:color w:val="000000" w:themeColor="text1"/>
          <w:sz w:val="28"/>
          <w:szCs w:val="28"/>
          <w14:textFill>
            <w14:solidFill>
              <w14:schemeClr w14:val="tx1"/>
            </w14:solidFill>
          </w14:textFill>
        </w:rPr>
        <w:t>相关要求</w:t>
      </w:r>
      <w:bookmarkEnd w:id="285"/>
      <w:bookmarkEnd w:id="286"/>
      <w:bookmarkEnd w:id="287"/>
    </w:p>
    <w:p w14:paraId="10D3CBD6">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施工单位在工程施工过程中应该严格遵守国家颁布的</w:t>
      </w:r>
      <w:r>
        <w:rPr>
          <w:rFonts w:hint="eastAsia" w:ascii="Times New Roman" w:hAnsi="Times New Roman"/>
          <w:color w:val="000000" w:themeColor="text1"/>
          <w:sz w:val="24"/>
          <w14:textFill>
            <w14:solidFill>
              <w14:schemeClr w14:val="tx1"/>
            </w14:solidFill>
          </w14:textFill>
        </w:rPr>
        <w:t>最新</w:t>
      </w:r>
      <w:r>
        <w:rPr>
          <w:rFonts w:ascii="Times New Roman" w:hAnsi="Times New Roman"/>
          <w:b/>
          <w:bCs/>
          <w:color w:val="000000" w:themeColor="text1"/>
          <w:sz w:val="24"/>
          <w14:textFill>
            <w14:solidFill>
              <w14:schemeClr w14:val="tx1"/>
            </w14:solidFill>
          </w14:textFill>
        </w:rPr>
        <w:t>《中华人民共和国工程建设标准强制性条文》</w:t>
      </w:r>
      <w:r>
        <w:rPr>
          <w:rFonts w:ascii="Times New Roman" w:hAnsi="Times New Roman"/>
          <w:color w:val="000000" w:themeColor="text1"/>
          <w:sz w:val="24"/>
          <w14:textFill>
            <w14:solidFill>
              <w14:schemeClr w14:val="tx1"/>
            </w14:solidFill>
          </w14:textFill>
        </w:rPr>
        <w:t>的相关要求。</w:t>
      </w:r>
    </w:p>
    <w:p w14:paraId="283F856B">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设备施工、维护操作过程中应严格执行国家及行业有关施工作业安全技术规范、施工及验收技术规范严格，严格遵守各项操作规程，施工、监理和维护单位应当协力保证工程进行中的人身及设备安全。</w:t>
      </w:r>
    </w:p>
    <w:p w14:paraId="27EE27F3">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进入工程建设施工的单位，必须具备相应的施工资质，施工人员必须经过安全生产教育和技术培训并持有相应的上岗证。</w:t>
      </w:r>
    </w:p>
    <w:p w14:paraId="767F5317">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p w14:paraId="0DA393F1">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施工单位必须坚持“安全第一、预防为主”的方针，加强安全生产管理。</w:t>
      </w:r>
    </w:p>
    <w:p w14:paraId="576F3E52">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施工前，施工单位必须对施工现场环境及安全条件进行检查，要求符合施工安全；对有危险性的施工、操作，须按要求制订安全防护措施，并认真执行，准备好安全防护用品。</w:t>
      </w:r>
    </w:p>
    <w:p w14:paraId="61B6AB5A">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施工过程中，施工单位要与建设单位、设计单位、监理单位等相互联系，密切配合，遇到有其他实际情况需对设计做个别变更时，应与相关单位商量解决。</w:t>
      </w:r>
    </w:p>
    <w:p w14:paraId="37D87430">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施工人员应正确穿戴和使用符合国家或行业质量标准的劳动防护用品、工具，在使用登高工具、设备和防护用品时应在使用之前进行严格的质量检查。</w:t>
      </w:r>
    </w:p>
    <w:p w14:paraId="05EE1CC6">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因施工作业需要使用电缆槽道、桥架、竖井、爬梯时，须征得维护部门的同意；需要对电缆孔洞进行拆封时，必须征得安全保卫部门同意；施工完毕应将竖井和孔洞用不燃或阻燃材料封堵。</w:t>
      </w:r>
    </w:p>
    <w:p w14:paraId="1AD28869">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施工过程中出现雷雨或其他不安全隐患应立即停止施工，待不安全情况消除后方可继续施工，时刻注意人身安全。</w:t>
      </w:r>
    </w:p>
    <w:p w14:paraId="19C7EBA1">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在安装设备和接触走线梯前应对安装位置附近设备和走线梯进行验电。</w:t>
      </w:r>
    </w:p>
    <w:p w14:paraId="25A73DE8">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机房内施工时，施工单位应采取措施确保施工工作不对原有的传输设备和系统造成影响；在设备安装布线过程中，应注意不能踩压机柜顶部；在高空（线槽上、设备上），严禁佩带手机、钥匙、钢笔等一切能导电的物品，防止金属物品落入机架内造成短路；施工用的工器具应加保护，如缠绕绝缘胶布，对运作的设备进行保护。</w:t>
      </w:r>
    </w:p>
    <w:p w14:paraId="1BFEAC86">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施工过程中涉及墙、顶、地板等易产生灰尘的作业时，必须采取严格、有效的防尘措施，并及时清理。</w:t>
      </w:r>
    </w:p>
    <w:p w14:paraId="142D4FD9">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监理单位在监理过程中除了把好质量和进度关外，还应注意安全管理，特别是设备在线扩容、割接，线路工程中各种线路交越区域，必须进行全过程监理，谨防重大通信事故和人身伤亡事故的发生。</w:t>
      </w:r>
    </w:p>
    <w:bookmarkEnd w:id="288"/>
    <w:bookmarkEnd w:id="289"/>
    <w:bookmarkEnd w:id="290"/>
    <w:p w14:paraId="295CF008">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通信建设施工企业在施工生产中，以下几方面必须符合国家法律、法规相关规定。</w:t>
      </w:r>
    </w:p>
    <w:p w14:paraId="6D711F3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a）施工企业资质及安全生产许可证情况；</w:t>
      </w:r>
    </w:p>
    <w:p w14:paraId="27C7B00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b）施工单位安全生产管理机构设置情况；</w:t>
      </w:r>
    </w:p>
    <w:p w14:paraId="32B848E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c）施工单位的主要负责人、项目负责人、专职安全生产管理人员、特种作业人员任职或上岗条件；</w:t>
      </w:r>
    </w:p>
    <w:p w14:paraId="62D2337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d）施工单位主要负责人、项目负责人、专职安全生产管理人员的职责；</w:t>
      </w:r>
    </w:p>
    <w:p w14:paraId="350C484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e）施工人员的权利和义务。</w:t>
      </w:r>
    </w:p>
    <w:p w14:paraId="333C7CB1">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工程项目施工必须实行安全技术交底制度，接受交底的人员必须覆盖全体作业人员。</w:t>
      </w:r>
    </w:p>
    <w:p w14:paraId="32886A0B">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工程项目施工应实行安全技术交底制度，接受交底的人员应覆盖全体作业人员。安全技术交底应包括以下主要内容：</w:t>
      </w:r>
    </w:p>
    <w:p w14:paraId="3658F65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a）工程项目的施工作业特点和危险因素；</w:t>
      </w:r>
    </w:p>
    <w:p w14:paraId="0DF0743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b）针对危险因素制定的具体预防措施；</w:t>
      </w:r>
    </w:p>
    <w:p w14:paraId="5CA6B2A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c）相应的安全生产操作规程和标准；</w:t>
      </w:r>
    </w:p>
    <w:p w14:paraId="021F85C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d）在施工生产中应注意的安全事项；</w:t>
      </w:r>
    </w:p>
    <w:p w14:paraId="0E5B30F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e）发生事故后应采取的应急措施。</w:t>
      </w:r>
    </w:p>
    <w:p w14:paraId="5B71D370">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对于有割接工作的项目，割接前应制定割接方案，充分考虑安全因素，并同时制定应急预案，经有关部门批准后方可实施。</w:t>
      </w:r>
    </w:p>
    <w:p w14:paraId="38C95584">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在公路、高速公路、铁路、桥梁、通航的河道等特殊地段施工时必须设置有关部门规定的警示标志，必要时派专人警戒看守。</w:t>
      </w:r>
    </w:p>
    <w:p w14:paraId="1EE27D06">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人员必须遵守交通法规，保证工程车辆行车安全、人身及财产安全。驾驶员驾驶车辆必须注意交通标志、标线，保持安全行车距离，不强行超车、不超速行驶、不疲劳驾驶、不驾驶故障车辆，严禁酒后驾驶、无证驾驶。严禁车辆客货混装或超员、超载。</w:t>
      </w:r>
    </w:p>
    <w:p w14:paraId="71E32160">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施工现场配备的消防器材必须完好无损且必须在有效期内。</w:t>
      </w:r>
    </w:p>
    <w:p w14:paraId="318443AE">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安全生产事故，必须及时按规定上报。项目负责人接到事故报告后，必须立即启动相应的事故应急预案，迅速采取有效措施，积极组织救护、抢险，防止事故继续扩大，减少人员伤亡和财产损失，并立即报告安全生产主管部门或上级应急指挥中心。</w:t>
      </w:r>
    </w:p>
    <w:p w14:paraId="3A2541F4">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伸缩梯伸缩长度严禁超过其规定值。在电力线、电力设备下方或危险范围内，严禁使用金属伸缩梯。配发的安全带必须符合国家标准。严禁用一般绳索、电线等代替安全带（绳）。在易燃、易爆场所，必须使用防爆式用电工具。电焊时，必须穿电焊服装、戴电焊手套及电焊面罩，清除焊渣时必须戴防护眼镜。焊接带电的设备时必须先断电。焊接贮存过易燃、易爆、有毒物质的容器或管道，必须清洗干净，并将所有孔口打开。严禁在带压力的容器或管道上施焊。</w:t>
      </w:r>
    </w:p>
    <w:p w14:paraId="425FFC04">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接触或靠近油脂物和其它易燃品。严禁氧气瓶的瓶阀及其附件沾附油脂；手臂或手套上沾附油污后，严禁操作氧气瓶。严禁与乙炔等可燃气体的气瓶放在一起或同车运输。严禁使用气压表指示不正常的氧气瓶。严禁氧气瓶内气体用尽。氧气瓶、乙炔瓶必须直立存放和使用。严禁使用汽油、煤油洗刷空气压缩机曲轴箱、滤清器或空气通路的零部件。严禁曝晒、烧烤储气罐。</w:t>
      </w:r>
    </w:p>
    <w:p w14:paraId="7753FF24">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作业人员必须远离发电机排出的热废气。严禁发电机的排气口直对易燃物品。严禁在发电机周围吸烟或使用明火。严禁在密闭环境下使用发电机。</w:t>
      </w:r>
    </w:p>
    <w:p w14:paraId="6C6FF22D">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潜水泵必须装设保护接地和漏电保护装置。检修或清洗时，必须先切断电源，并把料斗固定好。进入滚筒内检查、清洗，必须设专人监护。严禁在砂轮切割片侧面磨削。</w:t>
      </w:r>
    </w:p>
    <w:p w14:paraId="1DAA89FB">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用挖掘机运输器材。推土机在行驶和作业过程中严禁上下人。停车或坡道上熄火时，必须将刀铲落地。吊装物件时，严禁有人在吊臂下停留或走动，严禁在吊具上或被吊物上站人，严禁用人在吊装物上配重、找平衡。严禁用吊车拖拉物件或车辆。严禁吊拉凝结在地面或设备上的物件。</w:t>
      </w:r>
    </w:p>
    <w:p w14:paraId="327C2FBC">
      <w:pPr>
        <w:pStyle w:val="50"/>
        <w:numPr>
          <w:ilvl w:val="0"/>
          <w:numId w:val="18"/>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易燃、易爆的化学危险品和压缩可燃气体容器等必须按其性质分类放置并保持安全距离。易燃、易爆物必须远离火源和高温。严禁将危险品存放在职工宿舍或办公室内。废弃的易燃、易爆化学危险物料必须按照相关部门的有关规定及时清除。</w:t>
      </w:r>
      <w:bookmarkStart w:id="291" w:name="_Toc396990760"/>
      <w:bookmarkStart w:id="292" w:name="_Toc429313781"/>
      <w:bookmarkStart w:id="293" w:name="_Toc417651989"/>
    </w:p>
    <w:p w14:paraId="6140190F">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294" w:name="_Toc417651994"/>
      <w:bookmarkStart w:id="295" w:name="_Toc22324055"/>
      <w:bookmarkStart w:id="296" w:name="_Toc396990765"/>
      <w:bookmarkStart w:id="297" w:name="_Toc429313786"/>
      <w:bookmarkStart w:id="298" w:name="_Toc19087216"/>
      <w:bookmarkStart w:id="299" w:name="_Toc132902871"/>
      <w:r>
        <w:rPr>
          <w:rFonts w:ascii="黑体" w:hAnsi="黑体" w:eastAsia="黑体" w:cs="Times New Roman"/>
          <w:color w:val="000000" w:themeColor="text1"/>
          <w:sz w:val="28"/>
          <w:szCs w:val="28"/>
          <w14:textFill>
            <w14:solidFill>
              <w14:schemeClr w14:val="tx1"/>
            </w14:solidFill>
          </w14:textFill>
        </w:rPr>
        <w:t>现场查勘安全要求</w:t>
      </w:r>
      <w:bookmarkEnd w:id="294"/>
      <w:bookmarkEnd w:id="295"/>
      <w:bookmarkEnd w:id="296"/>
      <w:bookmarkEnd w:id="297"/>
      <w:bookmarkEnd w:id="298"/>
      <w:bookmarkEnd w:id="299"/>
    </w:p>
    <w:p w14:paraId="730E4583">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（1）勘察企业在勘察作业时，须严格遵守当地的机房安全管理规范和办法，严格执行操作规程，采取措施保证各类管线、设备、设施和建筑物、构筑物的安全。</w:t>
      </w:r>
    </w:p>
    <w:p w14:paraId="058DB678">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（2）查勘人员进行现场查勘时需要小心谨慎，避免触动到设备的电源接口和通信接头，不能采用拽拉线缆等危险动作，避免造成通信中断的重大事故。</w:t>
      </w:r>
    </w:p>
    <w:p w14:paraId="289DC115">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（3）设计勘查人员在现场勘查时若发现机房现有状况存在安全隐患、或有不符合国家和本行业的安全规定的，应及时向建设单位反映并在设计中提出整改建议。</w:t>
      </w:r>
    </w:p>
    <w:p w14:paraId="470511E7">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（4）设计勘查人员在对工程所需的电力系统进行勘查时，为保证安全，需要对系统的各层级的容量使用情况进行全面勘测和调查。</w:t>
      </w:r>
    </w:p>
    <w:p w14:paraId="288CAB81">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（5）设计勘查人员在制定电源割接等割接方案时，须与相关机房维护人员、建设单位主管人员充分沟通以取得多方建议和允许，增加方案的可靠性和可实施性。</w:t>
      </w:r>
    </w:p>
    <w:p w14:paraId="379C2C83">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0" w:name="_Toc417651990"/>
      <w:bookmarkStart w:id="301" w:name="_Toc429313782"/>
      <w:bookmarkStart w:id="302" w:name="_Toc19087217"/>
      <w:bookmarkStart w:id="303" w:name="_Toc396990761"/>
      <w:bookmarkStart w:id="304" w:name="_Toc22324056"/>
      <w:bookmarkStart w:id="305" w:name="_Toc132902872"/>
      <w:r>
        <w:rPr>
          <w:rFonts w:ascii="黑体" w:hAnsi="黑体" w:eastAsia="黑体" w:cs="Times New Roman"/>
          <w:color w:val="000000" w:themeColor="text1"/>
          <w:sz w:val="28"/>
          <w:szCs w:val="28"/>
          <w14:textFill>
            <w14:solidFill>
              <w14:schemeClr w14:val="tx1"/>
            </w14:solidFill>
          </w14:textFill>
        </w:rPr>
        <w:t>工程安全管理组织要求</w:t>
      </w:r>
      <w:bookmarkEnd w:id="300"/>
      <w:bookmarkEnd w:id="301"/>
      <w:bookmarkEnd w:id="302"/>
      <w:bookmarkEnd w:id="303"/>
      <w:bookmarkEnd w:id="304"/>
      <w:bookmarkEnd w:id="305"/>
    </w:p>
    <w:p w14:paraId="7D645D5A">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施工单位必须严格按照</w:t>
      </w:r>
      <w:r>
        <w:rPr>
          <w:rFonts w:ascii="Times New Roman" w:hAnsi="Times New Roman"/>
          <w:b/>
          <w:bCs/>
          <w:color w:val="000000" w:themeColor="text1"/>
          <w:sz w:val="24"/>
          <w14:textFill>
            <w14:solidFill>
              <w14:schemeClr w14:val="tx1"/>
            </w14:solidFill>
          </w14:textFill>
        </w:rPr>
        <w:t>《安全生产法》</w:t>
      </w:r>
      <w:r>
        <w:rPr>
          <w:rFonts w:ascii="Times New Roman" w:hAnsi="Times New Roman"/>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工信部通信[2015]406号</w:t>
      </w:r>
      <w:r>
        <w:rPr>
          <w:rFonts w:ascii="Times New Roman" w:hAnsi="Times New Roman"/>
          <w:b/>
          <w:color w:val="000000" w:themeColor="text1"/>
          <w:sz w:val="24"/>
          <w14:textFill>
            <w14:solidFill>
              <w14:schemeClr w14:val="tx1"/>
            </w14:solidFill>
          </w14:textFill>
        </w:rPr>
        <w:t>《通信建设工程安全生产管理规定》</w:t>
      </w:r>
      <w:r>
        <w:rPr>
          <w:rFonts w:ascii="Times New Roman" w:hAnsi="Times New Roman"/>
          <w:color w:val="000000" w:themeColor="text1"/>
          <w:sz w:val="24"/>
          <w14:textFill>
            <w14:solidFill>
              <w14:schemeClr w14:val="tx1"/>
            </w14:solidFill>
          </w14:textFill>
        </w:rPr>
        <w:t>、</w:t>
      </w:r>
      <w:r>
        <w:rPr>
          <w:color w:val="000000" w:themeColor="text1"/>
          <w:sz w:val="24"/>
          <w14:textFill>
            <w14:solidFill>
              <w14:schemeClr w14:val="tx1"/>
            </w14:solidFill>
          </w14:textFill>
        </w:rPr>
        <w:t>工信部公告</w:t>
      </w:r>
      <w:r>
        <w:rPr>
          <w:rFonts w:ascii="Times New Roman"/>
          <w:bCs/>
          <w:color w:val="000000" w:themeColor="text1"/>
          <w:sz w:val="24"/>
          <w14:textFill>
            <w14:solidFill>
              <w14:schemeClr w14:val="tx1"/>
            </w14:solidFill>
          </w14:textFill>
        </w:rPr>
        <w:t>[2014]</w:t>
      </w:r>
      <w:r>
        <w:rPr>
          <w:color w:val="000000" w:themeColor="text1"/>
          <w:sz w:val="24"/>
          <w14:textFill>
            <w14:solidFill>
              <w14:schemeClr w14:val="tx1"/>
            </w14:solidFill>
          </w14:textFill>
        </w:rPr>
        <w:t>第</w:t>
      </w:r>
      <w:r>
        <w:rPr>
          <w:rFonts w:ascii="Times New Roman"/>
          <w:bCs/>
          <w:color w:val="000000" w:themeColor="text1"/>
          <w:sz w:val="24"/>
          <w14:textFill>
            <w14:solidFill>
              <w14:schemeClr w14:val="tx1"/>
            </w14:solidFill>
          </w14:textFill>
        </w:rPr>
        <w:t>32</w:t>
      </w:r>
      <w:r>
        <w:rPr>
          <w:color w:val="000000" w:themeColor="text1"/>
          <w:sz w:val="24"/>
          <w14:textFill>
            <w14:solidFill>
              <w14:schemeClr w14:val="tx1"/>
            </w14:solidFill>
          </w14:textFill>
        </w:rPr>
        <w:t>号发布的《</w:t>
      </w:r>
      <w:r>
        <w:rPr>
          <w:b/>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w:t>
      </w:r>
      <w:r>
        <w:rPr>
          <w:rFonts w:ascii="Times New Roman"/>
          <w:bCs/>
          <w:color w:val="000000" w:themeColor="text1"/>
          <w:sz w:val="24"/>
          <w14:textFill>
            <w14:solidFill>
              <w14:schemeClr w14:val="tx1"/>
            </w14:solidFill>
          </w14:textFill>
        </w:rPr>
        <w:t>(YD5201-2014)</w:t>
      </w:r>
      <w:r>
        <w:rPr>
          <w:rFonts w:ascii="Times New Roman" w:hAnsi="Times New Roman"/>
          <w:color w:val="000000" w:themeColor="text1"/>
          <w:sz w:val="24"/>
          <w14:textFill>
            <w14:solidFill>
              <w14:schemeClr w14:val="tx1"/>
            </w14:solidFill>
          </w14:textFill>
        </w:rPr>
        <w:t>等有关法律规定，进行工程安全管理组织。</w:t>
      </w:r>
    </w:p>
    <w:p w14:paraId="0E5E35A4">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建设单位要根据相关法律、法规规定，设置安全生产管理机构或者配备专职（或兼职）安全生产管理人员。</w:t>
      </w:r>
    </w:p>
    <w:p w14:paraId="4F3C9671">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新建、改建、扩建工程项目的安全生产设施必须要与主体工程同时设计、同时施工、同时投产使用。</w:t>
      </w:r>
    </w:p>
    <w:p w14:paraId="626439ED">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工程监理要严格按安全生产专篇要求实施安全监督和管理。</w:t>
      </w:r>
    </w:p>
    <w:p w14:paraId="3A0F20E0">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施工要严格按安全生产专篇要求，对施工人员要进行安全教育和培训，落实安全防护措施和安全经费。施工单位在施工前应对施工作业现场的作业环境进行勘查，并制定相应的安全生产和文明施工的防范措施，加强施工现场安全管理和检查。</w:t>
      </w:r>
    </w:p>
    <w:p w14:paraId="716CFACD">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施工单位必须严禁使用未取得有关部门颁发的《特种作业人员岗位操作证》的人员从事特种作业，禁止使用未经上岗培训的人员上岗作业。</w:t>
      </w:r>
    </w:p>
    <w:p w14:paraId="7CDE8AF9">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施工单位必须保证施工现场安全措施费用和施工人员的安全生产用品的落实。</w:t>
      </w:r>
    </w:p>
    <w:p w14:paraId="00866015">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建设项目竣工投产前，其安全设施必须经安全部门验收合格。</w:t>
      </w:r>
    </w:p>
    <w:p w14:paraId="3E20AF37">
      <w:pPr>
        <w:numPr>
          <w:ilvl w:val="1"/>
          <w:numId w:val="20"/>
        </w:numPr>
        <w:tabs>
          <w:tab w:val="left" w:pos="900"/>
          <w:tab w:val="clear" w:pos="840"/>
        </w:tabs>
        <w:spacing w:line="360" w:lineRule="auto"/>
        <w:ind w:left="0" w:firstLine="480"/>
        <w:rPr>
          <w:b/>
          <w:color w:val="000000" w:themeColor="text1"/>
          <w:sz w:val="24"/>
          <w14:textFill>
            <w14:solidFill>
              <w14:schemeClr w14:val="tx1"/>
            </w14:solidFill>
          </w14:textFill>
        </w:rPr>
      </w:pPr>
      <w:r>
        <w:rPr>
          <w:color w:val="000000" w:themeColor="text1"/>
          <w:sz w:val="24"/>
          <w14:textFill>
            <w14:solidFill>
              <w14:schemeClr w14:val="tx1"/>
            </w14:solidFill>
          </w14:textFill>
        </w:rPr>
        <w:t>施工单位的主要负责人、工程项目负责人和安全生产管理人员必须具备与本单位所从事施工生产经营活动相应的安全生产知识和管理能力，应当经通信行业主管部门考核合格后方可任职。施工单位应保证所有参加工程项目的人员必须经过培训，并考核合格。其生产安全教育培训情况应记入个人工作档案。经安全生产教育培训考核不合格的人员，不得上岗。</w:t>
      </w:r>
    </w:p>
    <w:p w14:paraId="06EEA38E">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企业主要负责人、工程项目负责人和专职安全员应对建设工程项目的安全施工负责。当发生安全事故时，应及时、如实地报告。</w:t>
      </w:r>
    </w:p>
    <w:p w14:paraId="0C0543F9">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工程项目施工必须实行安全技术逐级交底制度，纵向延伸到全体作业人员。</w:t>
      </w:r>
    </w:p>
    <w:p w14:paraId="410D6293">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施工生产过程中，必须按照国家规定和不同的专业需要，正确穿戴和使用相应的劳动保护用品。施工人员在施工生产过程中，必须按照国家规定和不同的专业需要，正确穿戴和使用相应的劳动保护用品。从事特殊工种的作业人员在上岗前，必须进行专门的安全技术和操作技能的培训和考核，并经培训考核合格，取得《特种作业人员操作证》后方可上岗。</w:t>
      </w:r>
    </w:p>
    <w:p w14:paraId="398B874E">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发生任何事故，必须及时逐级上报。报告的内容应包括事故发生的单位、时间、地点、简要事故经过、伤亡人数、财产损失情况和已采取的应急措施等。报告人应适时作出书面记录。</w:t>
      </w:r>
    </w:p>
    <w:p w14:paraId="38D29660">
      <w:pPr>
        <w:numPr>
          <w:ilvl w:val="1"/>
          <w:numId w:val="20"/>
        </w:numPr>
        <w:tabs>
          <w:tab w:val="left" w:pos="900"/>
          <w:tab w:val="clear" w:pos="84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项目负责人接到事故报告后，应迅速采取有效措施，积极组织救护、抢险，减少人员伤亡和财产损失，防止事故继续扩大，并立即报告安全生产主管部门或上级应急指挥中心。</w:t>
      </w:r>
    </w:p>
    <w:p w14:paraId="01DFAEF4">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设备安装前监理工程师须检查：机房荷载、消防、抗震、接地的证明。</w:t>
      </w:r>
    </w:p>
    <w:p w14:paraId="7D478474">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当施工作业可能对毗邻设备、管线等造成损害时，监理工程师应要求承包单位采取防护措施。</w:t>
      </w:r>
    </w:p>
    <w:p w14:paraId="3BB150BA">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监理工程师应要求承包单位在施工现场设置符合规定的安全警示标志，暂停施工时应做好现场防护，对施工时产生的噪音、粉尘、废物、振动及照明等对人和环境可能造成危害和污染时，要采取环境保护措施。</w:t>
      </w:r>
    </w:p>
    <w:p w14:paraId="1C72C06C">
      <w:pPr>
        <w:pStyle w:val="50"/>
        <w:numPr>
          <w:ilvl w:val="0"/>
          <w:numId w:val="19"/>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在运行中的通信设备机架内或设备旁进行安装作业时，监理工程师应督促承包单位提前制定好带电作业的安全防护措施，在安装施工过程中，监理人员、维护人员必须旁站监督，防止安全事故的发生。</w:t>
      </w:r>
    </w:p>
    <w:p w14:paraId="794CA255">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6" w:name="_Toc22324057"/>
      <w:bookmarkStart w:id="307" w:name="_Toc19087218"/>
      <w:bookmarkStart w:id="308" w:name="_Toc132902873"/>
      <w:r>
        <w:rPr>
          <w:rFonts w:ascii="黑体" w:hAnsi="黑体" w:eastAsia="黑体" w:cs="Times New Roman"/>
          <w:color w:val="000000" w:themeColor="text1"/>
          <w:sz w:val="28"/>
          <w:szCs w:val="28"/>
          <w14:textFill>
            <w14:solidFill>
              <w14:schemeClr w14:val="tx1"/>
            </w14:solidFill>
          </w14:textFill>
        </w:rPr>
        <w:t>通信设备工程安全生产要求</w:t>
      </w:r>
      <w:bookmarkEnd w:id="291"/>
      <w:bookmarkEnd w:id="292"/>
      <w:bookmarkEnd w:id="293"/>
      <w:bookmarkEnd w:id="306"/>
      <w:bookmarkEnd w:id="307"/>
      <w:bookmarkEnd w:id="308"/>
    </w:p>
    <w:p w14:paraId="0BFC9270">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一般规定</w:t>
      </w:r>
    </w:p>
    <w:p w14:paraId="738A9A6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a）设备开箱时应注意包装箱上的标志，不得倒置。开箱时应使用专用工具，不得猛力敲打包装箱。开箱后应及时清理箱板、铁皮、泡沫等杂物。雨雪、潮湿天气不得在室外开箱。</w:t>
      </w:r>
    </w:p>
    <w:p w14:paraId="2751E80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b）在机房内搬移设备时，不得损坏地板和其他设备。</w:t>
      </w:r>
    </w:p>
    <w:p w14:paraId="0C3E945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c）在已有运行设备的机房内作业时，应划定施工作业区域；作业人员不得随意触碰已有运行设备，不得随意触碰消防设施。</w:t>
      </w:r>
    </w:p>
    <w:p w14:paraId="57CD412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d）严禁擅自关断运行设备电源开关。</w:t>
      </w:r>
    </w:p>
    <w:p w14:paraId="7849E29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e）严禁将交流电源线挂在通信设备上。</w:t>
      </w:r>
    </w:p>
    <w:p w14:paraId="458792A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f）使用机房原有电源插座时必须核实电源容量。</w:t>
      </w:r>
    </w:p>
    <w:p w14:paraId="7D10EC0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g）铁架、槽道、机架、人字梯上不得放置工具和器材。</w:t>
      </w:r>
    </w:p>
    <w:p w14:paraId="0D3C861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8）严禁脚踩铁架、机架、电缆走道、端子板及弹簧排。</w:t>
      </w:r>
    </w:p>
    <w:p w14:paraId="65F0F26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h）在运行设备顶部操作时，应对运行设备采取防护措施，避免工具、螺丝等金属物品落入机柜内。</w:t>
      </w:r>
    </w:p>
    <w:p w14:paraId="67902F49">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i）在通信设备的顶部或附近墙壁钻孔时，应采取遮盖措施，避免铁屑、灰尘落入设备内。对墙、天花板钻孔则应避开粱柱钢筋和内部管线。</w:t>
      </w:r>
    </w:p>
    <w:p w14:paraId="2172E381">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铁件加工和安装</w:t>
      </w:r>
    </w:p>
    <w:p w14:paraId="4F8E997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a）加工铁件应在指定的区域操作。不得在已安装设备的机房内切割铁件。</w:t>
      </w:r>
    </w:p>
    <w:p w14:paraId="2CA3312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b）锯、锉铁件时，加工的铁件应在台虎钳或电锯平台上夹紧。在台虎钳上夹持固定槽钢、角钢、钢管时，应用木块在钳口处垫实、夹牢，不得松动，锯、锉点距钳口的距离不应过远，防止铁件振动损害机具。</w:t>
      </w:r>
    </w:p>
    <w:p w14:paraId="0BA11F0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锯铁件时，锯条或砂轮与铁件的夹角要小，不宜超过10°，锯条松紧适度。锯槽钢、角钢时，不宜从顶角开始，宜从边角开始。当铁件快要锯断时，要降低手锯或电锯的速度，并有人扶住铁件的另一端，防止卡锯或铁件余料飞出。</w:t>
      </w:r>
    </w:p>
    <w:p w14:paraId="3F30071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d）对铁件钻孔时，应用力均匀，铁件应夹紧，固定牢靠，不得左右摆动；如发生卡住钻头现象，应立即停机处理。</w:t>
      </w:r>
    </w:p>
    <w:p w14:paraId="308BE18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e）管件攻丝、套丝时，管件在台虎钳上应固定牢固。如两人操作时，动作应协调。攻、套丝时，应注意加注机油，及时清理铁屑，防止飞溅。</w:t>
      </w:r>
    </w:p>
    <w:p w14:paraId="0156F2E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f）铁件作弯时，应在台虎钳或作弯工具上夹紧。用锤敲击时，应防止振伤手臂。管件需加热作弯时，喷灯烘烤管件间距适当，操作人员不得面对管口。</w:t>
      </w:r>
    </w:p>
    <w:p w14:paraId="7FB11DA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g）铁件去锈和喷刷漆时，作业人员应戴口罩、手套。喷刷后的余漆、废液应集中回收，统一处理，不得随意丢放。</w:t>
      </w:r>
    </w:p>
    <w:p w14:paraId="48CB36B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h）铁件安装工作中，不得抛掷铁件及工具。传递较长的铁件时，应注意周围人员、设备的安全。手扶铁件固定时，应固定牢靠后才能松手。</w:t>
      </w:r>
    </w:p>
    <w:p w14:paraId="36FE953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i）走线架、吊挂、通风管道等应安装接地线，与机房接地排连接可靠。</w:t>
      </w:r>
    </w:p>
    <w:p w14:paraId="5FAE7807">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机架安装和线缆布放</w:t>
      </w:r>
    </w:p>
    <w:p w14:paraId="433F8EB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a）设备在安装时(含自立式设备)，应用膨胀螺栓对地加固。在需要抗震加固的地区，应按设计要求，对设备采取抗震加固措施。</w:t>
      </w:r>
    </w:p>
    <w:p w14:paraId="7852EB1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b）在已运行的设备旁安装机架时应防止碰撞原有设备。</w:t>
      </w:r>
    </w:p>
    <w:p w14:paraId="20114DF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c）布放线缆时，不应强拉硬拽。在楼顶布放线缆时，不得站在窗台上作业。如必须站在窗台上作业时，应使用安全带。</w:t>
      </w:r>
    </w:p>
    <w:p w14:paraId="52E98FC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d）布放尾纤时，不得踩踏尾纤。在机房原有ODF架上布放尾纤时，不得将在用光纤拔出。</w:t>
      </w:r>
    </w:p>
    <w:p w14:paraId="653E310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e）电源线中间严禁有接头。</w:t>
      </w:r>
    </w:p>
    <w:p w14:paraId="1DEB513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f）截面在10mm²（含）以上的电源线终端应加装线鼻子，尺寸应与导线线径相吻合。封闭式线鼻子应用专用压接工具压接，开口式线鼻子应用烙铁焊接，压接或焊接应牢固可靠。</w:t>
      </w:r>
    </w:p>
    <w:p w14:paraId="6797F1B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g）交流线、直流线、信号线应分开布放，不得绑扎在一起，如走在同一路由时，间距应符合工程验收规范要求。</w:t>
      </w:r>
    </w:p>
    <w:p w14:paraId="4B1FE20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h）非同一级电力电缆不得穿放在同一管孔内。</w:t>
      </w:r>
    </w:p>
    <w:p w14:paraId="212FE2E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i）布放电源线时，电源线端头应作绝缘处理。连接电源线端头时应使用绝缘工具，操作时应防止工具打滑、脱落。</w:t>
      </w:r>
    </w:p>
    <w:p w14:paraId="45201A5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j）开剖线缆不得损伤芯线。</w:t>
      </w:r>
    </w:p>
    <w:p w14:paraId="7B9E9F4A">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设备加电测试</w:t>
      </w:r>
    </w:p>
    <w:p w14:paraId="0F51E27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a）设备在加电前应进行检查，设备内不得有金属碎屑，电源正负极不得接反和短路，设备保护地线应引接良好，各级电源熔断器和空气开关规格应符合设计和设备的技术要求。</w:t>
      </w:r>
    </w:p>
    <w:p w14:paraId="536A414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b）设备加电时，必须自上而下逐级加电，逐级测量。</w:t>
      </w:r>
    </w:p>
    <w:p w14:paraId="2E5639C6">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c）插拔机盘、模块时必须配戴接地良好的防静电手环。</w:t>
      </w:r>
    </w:p>
    <w:p w14:paraId="3CF32EA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d）测试仪表应接地，测量时仪表不得过载。</w:t>
      </w:r>
    </w:p>
    <w:p w14:paraId="5850BE3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e）插拔电源熔断器应使用专用工具，不得用其他工具代替。</w:t>
      </w:r>
    </w:p>
    <w:p w14:paraId="2C9D2044">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除非设备特殊要求，机房的设备布线宜采用上走线方式，走线架或槽道应统一规划。</w:t>
      </w:r>
    </w:p>
    <w:p w14:paraId="22EB889A">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内的走线除设备的特殊要求外，一律采用不封闭走线架。不得安装饰板（含侧板和底板），各类规格的走线架每米允许承重均应大于80KG。金属走线架或走线槽应有良好的电气连接，必须做好接地处理。走线梯（架）应装有“交流线梯”、“直流线梯”、“信号线梯”的标志牌，标志牌要明显、直观、牢固。</w:t>
      </w:r>
    </w:p>
    <w:p w14:paraId="40E442C1">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所有设备以及电缆两端均应标上明确的标签。拆除的旧电缆应整理并移交有关部门，对于未能清除的废弃电缆，应理顺调整以使其布放美观，并节省走线空间。</w:t>
      </w:r>
    </w:p>
    <w:p w14:paraId="0FE1B28B">
      <w:pPr>
        <w:pStyle w:val="50"/>
        <w:numPr>
          <w:ilvl w:val="0"/>
          <w:numId w:val="21"/>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器材储运应遵守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5201-2014）中第6节规定的内容。</w:t>
      </w:r>
    </w:p>
    <w:p w14:paraId="608B3C76">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09" w:name="_Toc132902874"/>
      <w:bookmarkStart w:id="310" w:name="_Toc22324058"/>
      <w:bookmarkStart w:id="311" w:name="_Toc19087219"/>
      <w:bookmarkStart w:id="312" w:name="_Toc396990762"/>
      <w:bookmarkStart w:id="313" w:name="_Toc429313783"/>
      <w:bookmarkStart w:id="314" w:name="_Toc417651991"/>
      <w:r>
        <w:rPr>
          <w:rFonts w:ascii="黑体" w:hAnsi="黑体" w:eastAsia="黑体" w:cs="Times New Roman"/>
          <w:color w:val="000000" w:themeColor="text1"/>
          <w:sz w:val="28"/>
          <w:szCs w:val="28"/>
          <w14:textFill>
            <w14:solidFill>
              <w14:schemeClr w14:val="tx1"/>
            </w14:solidFill>
          </w14:textFill>
        </w:rPr>
        <w:t>施工现场及驻地安全</w:t>
      </w:r>
      <w:bookmarkEnd w:id="309"/>
      <w:bookmarkEnd w:id="310"/>
      <w:bookmarkEnd w:id="311"/>
    </w:p>
    <w:p w14:paraId="589B5D06">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5" w:name="_Toc429313800"/>
      <w:r>
        <w:rPr>
          <w:rFonts w:ascii="Times New Roman" w:hAnsi="Times New Roman"/>
          <w:color w:val="000000" w:themeColor="text1"/>
          <w:sz w:val="24"/>
          <w14:textFill>
            <w14:solidFill>
              <w14:schemeClr w14:val="tx1"/>
            </w14:solidFill>
          </w14:textFill>
        </w:rPr>
        <w:t>在公路、高速公路、铁路、桥梁、通航的河道等特殊地段和城镇交通繁忙、人员密集处施工时必须设置有关部门规定的</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示标志，必要时派专人</w:t>
      </w:r>
      <w:r>
        <w:rPr>
          <w:rFonts w:hint="eastAsia" w:ascii="Times New Roman" w:hAnsi="Times New Roman"/>
          <w:color w:val="000000" w:themeColor="text1"/>
          <w:sz w:val="24"/>
          <w14:textFill>
            <w14:solidFill>
              <w14:schemeClr w14:val="tx1"/>
            </w14:solidFill>
          </w14:textFill>
        </w:rPr>
        <w:t>警</w:t>
      </w:r>
      <w:r>
        <w:rPr>
          <w:rFonts w:ascii="Times New Roman" w:hAnsi="Times New Roman"/>
          <w:color w:val="000000" w:themeColor="text1"/>
          <w:sz w:val="24"/>
          <w14:textFill>
            <w14:solidFill>
              <w14:schemeClr w14:val="tx1"/>
            </w14:solidFill>
          </w14:textFill>
        </w:rPr>
        <w:t>戒看守。（</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5201-2014第3.2.1条）。</w:t>
      </w:r>
      <w:bookmarkEnd w:id="315"/>
    </w:p>
    <w:p w14:paraId="5B4C8712">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6" w:name="_Toc429313801"/>
      <w:r>
        <w:rPr>
          <w:rFonts w:ascii="Times New Roman" w:hAnsi="Times New Roman"/>
          <w:color w:val="000000" w:themeColor="text1"/>
          <w:sz w:val="24"/>
          <w14:textFill>
            <w14:solidFill>
              <w14:schemeClr w14:val="tx1"/>
            </w14:solidFill>
          </w14:textFill>
        </w:rPr>
        <w:t>在城镇的下列地点作业时，应根据有关规定设立明显的安全警示标志、防护围栏等安全设施，并设置警戒人员，夜间应设置警示灯，施工人员应穿反光衣；必要时应架设临时便桥等设施，并设专人负责疏导车辆、行人或请交通管理部门协助管理，架设的便桥应满足行人、车辆通行安全，繁华地区的便桥左右应设置围栏和明显标志：</w:t>
      </w:r>
      <w:bookmarkEnd w:id="316"/>
    </w:p>
    <w:p w14:paraId="21E699D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a）街巷拐角、道路转弯处、交叉路口；</w:t>
      </w:r>
    </w:p>
    <w:p w14:paraId="26A911A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b）有碍行人或车辆通行处；</w:t>
      </w:r>
    </w:p>
    <w:p w14:paraId="3F16AB6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c）在跨越道路架线、放缆需要车辆临时限行处；</w:t>
      </w:r>
    </w:p>
    <w:p w14:paraId="63BB4F2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d）架空光（电）缆接头处及两侧；</w:t>
      </w:r>
    </w:p>
    <w:p w14:paraId="23D9AF1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e）挖掘的沟、洞、坑处；</w:t>
      </w:r>
    </w:p>
    <w:p w14:paraId="711DF5B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f）打开井盖的人（手）孔处；</w:t>
      </w:r>
    </w:p>
    <w:p w14:paraId="256865D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g）跨越十字路口或在直行道路中央施工区域两侧。</w:t>
      </w:r>
    </w:p>
    <w:p w14:paraId="3116D1FA">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7" w:name="_Toc429313802"/>
      <w:r>
        <w:rPr>
          <w:rFonts w:ascii="Times New Roman" w:hAnsi="Times New Roman"/>
          <w:color w:val="000000" w:themeColor="text1"/>
          <w:sz w:val="24"/>
          <w14:textFill>
            <w14:solidFill>
              <w14:schemeClr w14:val="tx1"/>
            </w14:solidFill>
          </w14:textFill>
        </w:rPr>
        <w:t>施工现场的安全警示标志和防护设施应随工作地点的变动而转移，作业完毕应及时撤除、清理干净。</w:t>
      </w:r>
      <w:bookmarkEnd w:id="317"/>
    </w:p>
    <w:p w14:paraId="53822F7F">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8" w:name="_Toc429313803"/>
      <w:r>
        <w:rPr>
          <w:rFonts w:ascii="Times New Roman" w:hAnsi="Times New Roman"/>
          <w:color w:val="000000" w:themeColor="text1"/>
          <w:sz w:val="24"/>
          <w14:textFill>
            <w14:solidFill>
              <w14:schemeClr w14:val="tx1"/>
            </w14:solidFill>
          </w14:textFill>
        </w:rPr>
        <w:t>施工需要阻断道路通行时，应报请当地有关单位和部门批准，并请求配合。</w:t>
      </w:r>
      <w:bookmarkEnd w:id="318"/>
    </w:p>
    <w:p w14:paraId="44650682">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19" w:name="_Toc429313804"/>
      <w:r>
        <w:rPr>
          <w:rFonts w:ascii="Times New Roman" w:hAnsi="Times New Roman"/>
          <w:color w:val="000000" w:themeColor="text1"/>
          <w:sz w:val="24"/>
          <w14:textFill>
            <w14:solidFill>
              <w14:schemeClr w14:val="tx1"/>
            </w14:solidFill>
          </w14:textFill>
        </w:rPr>
        <w:t>施工人员应阻止非工作人员进人施工作业区，接近或触碰正在施工运行中的各种机具与设施。</w:t>
      </w:r>
      <w:bookmarkEnd w:id="319"/>
    </w:p>
    <w:p w14:paraId="72B78E3A">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0" w:name="_Toc429313805"/>
      <w:r>
        <w:rPr>
          <w:rFonts w:ascii="Times New Roman" w:hAnsi="Times New Roman"/>
          <w:color w:val="000000" w:themeColor="text1"/>
          <w:sz w:val="24"/>
          <w14:textFill>
            <w14:solidFill>
              <w14:schemeClr w14:val="tx1"/>
            </w14:solidFill>
          </w14:textFill>
        </w:rPr>
        <w:t>在城镇和居民区内施工有噪音扰民时，应采取防止或减轻噪音扰民的措施，并在相关部门规定时间内施工。需要在夜间或在禁止时间内施工的，应报请有关单位和部门批准。</w:t>
      </w:r>
      <w:bookmarkEnd w:id="320"/>
    </w:p>
    <w:p w14:paraId="06D84195">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1" w:name="_Toc429313806"/>
      <w:r>
        <w:rPr>
          <w:rFonts w:ascii="Times New Roman" w:hAnsi="Times New Roman"/>
          <w:color w:val="000000" w:themeColor="text1"/>
          <w:sz w:val="24"/>
          <w14:textFill>
            <w14:solidFill>
              <w14:schemeClr w14:val="tx1"/>
            </w14:solidFill>
          </w14:textFill>
        </w:rPr>
        <w:t>在通信机房作业时，应遵守通信机房的管理制度，按照指定地点设置施工的材料区、工器具区、剩余料区。钻孔、开凿墙洞应采取必要的防尘措施。需要动用正在运行设备的缆线、模块时，应经机房值班人员许可，严格按照施工组织方案实施，离开施工现场前应确认设备运行正常，并及时清理现场。</w:t>
      </w:r>
      <w:bookmarkEnd w:id="321"/>
    </w:p>
    <w:p w14:paraId="3158A402">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2" w:name="_Toc429313807"/>
      <w:r>
        <w:rPr>
          <w:rFonts w:ascii="Times New Roman" w:hAnsi="Times New Roman"/>
          <w:color w:val="000000" w:themeColor="text1"/>
          <w:sz w:val="24"/>
          <w14:textFill>
            <w14:solidFill>
              <w14:schemeClr w14:val="tx1"/>
            </w14:solidFill>
          </w14:textFill>
        </w:rPr>
        <w:t>从事高处作业的施工人员，必须正确使用安全带、安全帽。（</w:t>
      </w:r>
      <w:r>
        <w:rPr>
          <w:rFonts w:ascii="Times New Roman" w:hAnsi="Times New Roman"/>
          <w:b/>
          <w:color w:val="000000" w:themeColor="text1"/>
          <w:sz w:val="24"/>
          <w14:textFill>
            <w14:solidFill>
              <w14:schemeClr w14:val="tx1"/>
            </w14:solidFill>
          </w14:textFill>
        </w:rPr>
        <w:t>《通信建设工程安全生产操作规范》YD 5201-2014第3.2.8条</w:t>
      </w:r>
      <w:r>
        <w:rPr>
          <w:rFonts w:ascii="Times New Roman" w:hAnsi="Times New Roman"/>
          <w:color w:val="000000" w:themeColor="text1"/>
          <w:sz w:val="24"/>
          <w14:textFill>
            <w14:solidFill>
              <w14:schemeClr w14:val="tx1"/>
            </w14:solidFill>
          </w14:textFill>
        </w:rPr>
        <w:t>）。</w:t>
      </w:r>
      <w:bookmarkEnd w:id="322"/>
    </w:p>
    <w:p w14:paraId="3098A104">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3" w:name="_Toc429313808"/>
      <w:r>
        <w:rPr>
          <w:rFonts w:ascii="Times New Roman" w:hAnsi="Times New Roman"/>
          <w:color w:val="000000" w:themeColor="text1"/>
          <w:sz w:val="24"/>
          <w14:textFill>
            <w14:solidFill>
              <w14:schemeClr w14:val="tx1"/>
            </w14:solidFill>
          </w14:textFill>
        </w:rPr>
        <w:t>从事高处作业的人员应定期进行健康检查，如发现身体不适合高处作业时，不得从事这一工作。</w:t>
      </w:r>
      <w:bookmarkEnd w:id="323"/>
    </w:p>
    <w:p w14:paraId="6A65EA72">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4" w:name="_Toc429313809"/>
      <w:r>
        <w:rPr>
          <w:rFonts w:ascii="Times New Roman" w:hAnsi="Times New Roman"/>
          <w:color w:val="000000" w:themeColor="text1"/>
          <w:sz w:val="24"/>
          <w14:textFill>
            <w14:solidFill>
              <w14:schemeClr w14:val="tx1"/>
            </w14:solidFill>
          </w14:textFill>
        </w:rPr>
        <w:t>高处作业时，所用工具、材料应放置稳妥，不得扔抛工具或材料。</w:t>
      </w:r>
      <w:bookmarkEnd w:id="324"/>
    </w:p>
    <w:p w14:paraId="62E00901">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5" w:name="_Toc429313810"/>
      <w:r>
        <w:rPr>
          <w:rFonts w:ascii="Times New Roman" w:hAnsi="Times New Roman"/>
          <w:color w:val="000000" w:themeColor="text1"/>
          <w:sz w:val="24"/>
          <w14:textFill>
            <w14:solidFill>
              <w14:schemeClr w14:val="tx1"/>
            </w14:solidFill>
          </w14:textFill>
        </w:rPr>
        <w:t>施工现场有两个以上施工单位施工时，建设单位应明确各方的安全职责，对施工现场实行统一管理。</w:t>
      </w:r>
      <w:bookmarkEnd w:id="325"/>
    </w:p>
    <w:p w14:paraId="47C6534A">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涉水作业时，必须做好漏电检测，确保不能涉电作业和安全施工作业。</w:t>
      </w:r>
    </w:p>
    <w:p w14:paraId="1E761540">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6" w:name="_Toc429313831"/>
      <w:r>
        <w:rPr>
          <w:rFonts w:ascii="Times New Roman" w:hAnsi="Times New Roman"/>
          <w:color w:val="000000" w:themeColor="text1"/>
          <w:sz w:val="24"/>
          <w14:textFill>
            <w14:solidFill>
              <w14:schemeClr w14:val="tx1"/>
            </w14:solidFill>
          </w14:textFill>
        </w:rPr>
        <w:t>临时搭建的员工宿舍、办公室等设施必须安全、牢固、符合消防安全规定，严禁使用易燃材料搭建临时设施。临时设施严禁靠近电力设施，与高压架空电线的水平距离必须符合相关规定。（</w:t>
      </w:r>
      <w:r>
        <w:rPr>
          <w:rFonts w:ascii="Times New Roman" w:hAnsi="Times New Roman"/>
          <w:b/>
          <w:color w:val="000000" w:themeColor="text1"/>
          <w:sz w:val="24"/>
          <w14:textFill>
            <w14:solidFill>
              <w14:schemeClr w14:val="tx1"/>
            </w14:solidFill>
          </w14:textFill>
        </w:rPr>
        <w:t>《通信建设工程安全生产操作规范》YD 5201-2014第3.3.1条</w:t>
      </w:r>
      <w:r>
        <w:rPr>
          <w:rFonts w:ascii="Times New Roman" w:hAnsi="Times New Roman"/>
          <w:color w:val="000000" w:themeColor="text1"/>
          <w:sz w:val="24"/>
          <w14:textFill>
            <w14:solidFill>
              <w14:schemeClr w14:val="tx1"/>
            </w14:solidFill>
          </w14:textFill>
        </w:rPr>
        <w:t>）。</w:t>
      </w:r>
      <w:bookmarkEnd w:id="326"/>
    </w:p>
    <w:p w14:paraId="331A0A26">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7" w:name="_Toc429313832"/>
      <w:r>
        <w:rPr>
          <w:rFonts w:ascii="Times New Roman" w:hAnsi="Times New Roman"/>
          <w:color w:val="000000" w:themeColor="text1"/>
          <w:sz w:val="24"/>
          <w14:textFill>
            <w14:solidFill>
              <w14:schemeClr w14:val="tx1"/>
            </w14:solidFill>
          </w14:textFill>
        </w:rPr>
        <w:t>施工驻地应按规定配备消防设施，设置安全通道。</w:t>
      </w:r>
      <w:bookmarkEnd w:id="327"/>
    </w:p>
    <w:p w14:paraId="09041BBD">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8" w:name="_Toc429313833"/>
      <w:r>
        <w:rPr>
          <w:rFonts w:ascii="Times New Roman" w:hAnsi="Times New Roman"/>
          <w:color w:val="000000" w:themeColor="text1"/>
          <w:sz w:val="24"/>
          <w14:textFill>
            <w14:solidFill>
              <w14:schemeClr w14:val="tx1"/>
            </w14:solidFill>
          </w14:textFill>
        </w:rPr>
        <w:t>宿舍应设置可开启式窗户，保证室内通风。宿舍夏季应有防暑降温措施，冬季应有取暖和防煤气中毒的措施。生活区应保持清洁，定期清扫和消毒。</w:t>
      </w:r>
      <w:bookmarkEnd w:id="328"/>
    </w:p>
    <w:p w14:paraId="7DA8E385">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29" w:name="_Toc429313834"/>
      <w:r>
        <w:rPr>
          <w:rFonts w:ascii="Times New Roman" w:hAnsi="Times New Roman"/>
          <w:color w:val="000000" w:themeColor="text1"/>
          <w:sz w:val="24"/>
          <w14:textFill>
            <w14:solidFill>
              <w14:schemeClr w14:val="tx1"/>
            </w14:solidFill>
          </w14:textFill>
        </w:rPr>
        <w:t>施工驻地临时食堂应有独立的操作间，配备必要的排风和消毒设施，严格执行食品卫生管理的有关规定，炊事人员应持有健康证，上岗时应穿戴洁净的工作服、工作帽，并保持个人卫生。</w:t>
      </w:r>
      <w:bookmarkEnd w:id="329"/>
    </w:p>
    <w:p w14:paraId="532D588E">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0" w:name="_Toc429313835"/>
      <w:r>
        <w:rPr>
          <w:rFonts w:ascii="Times New Roman" w:hAnsi="Times New Roman"/>
          <w:color w:val="000000" w:themeColor="text1"/>
          <w:sz w:val="24"/>
          <w14:textFill>
            <w14:solidFill>
              <w14:schemeClr w14:val="tx1"/>
            </w14:solidFill>
          </w14:textFill>
        </w:rPr>
        <w:t>食堂用液化气瓶不得靠近热源和暴晒，不得自行清倒残液，不得剧烈振动和撞击。</w:t>
      </w:r>
      <w:bookmarkEnd w:id="330"/>
    </w:p>
    <w:p w14:paraId="0DAB2784">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1" w:name="_Toc429313836"/>
      <w:r>
        <w:rPr>
          <w:rFonts w:ascii="Times New Roman" w:hAnsi="Times New Roman"/>
          <w:color w:val="000000" w:themeColor="text1"/>
          <w:sz w:val="24"/>
          <w14:textFill>
            <w14:solidFill>
              <w14:schemeClr w14:val="tx1"/>
            </w14:solidFill>
          </w14:textFill>
        </w:rPr>
        <w:t>施工单位应定期对住宿人员进行安全教育，包括交通、治安、消防、卫生防疫、环境保护等方面。</w:t>
      </w:r>
      <w:bookmarkEnd w:id="331"/>
    </w:p>
    <w:p w14:paraId="7A17A3F4">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2" w:name="_Toc429313838"/>
      <w:r>
        <w:rPr>
          <w:rFonts w:ascii="Times New Roman" w:hAnsi="Times New Roman"/>
          <w:color w:val="000000" w:themeColor="text1"/>
          <w:sz w:val="24"/>
          <w14:textFill>
            <w14:solidFill>
              <w14:schemeClr w14:val="tx1"/>
            </w14:solidFill>
          </w14:textFill>
        </w:rPr>
        <w:t>野外作业前应事先调查工作地区地理、环境等情况，辨识和分析危险源，制定相应的预防和安全控制措施，做好必要的安全防护准备。</w:t>
      </w:r>
      <w:bookmarkEnd w:id="332"/>
    </w:p>
    <w:p w14:paraId="77F9BFE6">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3" w:name="_Toc429313839"/>
      <w:r>
        <w:rPr>
          <w:rFonts w:ascii="Times New Roman" w:hAnsi="Times New Roman"/>
          <w:color w:val="000000" w:themeColor="text1"/>
          <w:sz w:val="24"/>
          <w14:textFill>
            <w14:solidFill>
              <w14:schemeClr w14:val="tx1"/>
            </w14:solidFill>
          </w14:textFill>
        </w:rPr>
        <w:t>在炎热天气野外施工时应预防中暑，随身携带防暑降温药品。</w:t>
      </w:r>
      <w:bookmarkEnd w:id="333"/>
    </w:p>
    <w:p w14:paraId="4343C8ED">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4" w:name="_Toc429313840"/>
      <w:r>
        <w:rPr>
          <w:rFonts w:ascii="Times New Roman" w:hAnsi="Times New Roman"/>
          <w:color w:val="000000" w:themeColor="text1"/>
          <w:sz w:val="24"/>
          <w14:textFill>
            <w14:solidFill>
              <w14:schemeClr w14:val="tx1"/>
            </w14:solidFill>
          </w14:textFill>
        </w:rPr>
        <w:t>在寒冷、冰雪天气施工作业时，应采取防寒、防冻、防滑措施。当地面被积雪覆盖时，应用棍棒试探前行。在雪地施工时应戴有色防护镜。</w:t>
      </w:r>
      <w:bookmarkEnd w:id="334"/>
    </w:p>
    <w:p w14:paraId="1A7FF501">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5" w:name="_Toc429313841"/>
      <w:r>
        <w:rPr>
          <w:rFonts w:ascii="Times New Roman" w:hAnsi="Times New Roman"/>
          <w:color w:val="000000" w:themeColor="text1"/>
          <w:sz w:val="24"/>
          <w14:textFill>
            <w14:solidFill>
              <w14:schemeClr w14:val="tx1"/>
            </w14:solidFill>
          </w14:textFill>
        </w:rPr>
        <w:t>遇有强风、暴雨、大雾、雷电、冰雹、沙尘暴等恶劣天气时，应停止室外作业。雷雨天气不得在电杆、铁塔、大树、广告牌下躲避，不得手持金属物品在野外行走并应关闭手机。</w:t>
      </w:r>
      <w:bookmarkEnd w:id="335"/>
    </w:p>
    <w:p w14:paraId="39E6F716">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6" w:name="_Toc429313842"/>
      <w:r>
        <w:rPr>
          <w:rFonts w:ascii="Times New Roman" w:hAnsi="Times New Roman"/>
          <w:color w:val="000000" w:themeColor="text1"/>
          <w:sz w:val="24"/>
          <w14:textFill>
            <w14:solidFill>
              <w14:schemeClr w14:val="tx1"/>
            </w14:solidFill>
          </w14:textFill>
        </w:rPr>
        <w:t>在水田、泥沼中施工作业时，应穿长筒胶靴，预防蚂蜡、血吸虫、毒蛇等叮咬，应配备必要的防毒用品及解毒药品。在有毒的动、植物区内施工时，应采取佩戴防护手套、眼镜、绑扎裹腿等防范措施。在野兽经常出没的地方行走和住宿时，应特别注意防止野兽的侵害；夜间出行应两人以L随同，并携带防护用具或请当地相关人员协助，不得触碰猎人设置的捕兽陷阱或器具。</w:t>
      </w:r>
      <w:bookmarkEnd w:id="336"/>
    </w:p>
    <w:p w14:paraId="6CA1EB05">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7" w:name="_Toc429313843"/>
      <w:r>
        <w:rPr>
          <w:rFonts w:ascii="Times New Roman" w:hAnsi="Times New Roman"/>
          <w:color w:val="000000" w:themeColor="text1"/>
          <w:sz w:val="24"/>
          <w14:textFill>
            <w14:solidFill>
              <w14:schemeClr w14:val="tx1"/>
            </w14:solidFill>
          </w14:textFill>
        </w:rPr>
        <w:t>在滩涂、湿地及沼泽地带施工作业时，应注意有无陷入泥沙中的危险。在山岭上不得攀爬有裂缝、易松动的地方。</w:t>
      </w:r>
      <w:bookmarkEnd w:id="337"/>
    </w:p>
    <w:p w14:paraId="1AC20B77">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8" w:name="_Toc429313844"/>
      <w:r>
        <w:rPr>
          <w:rFonts w:ascii="Times New Roman" w:hAnsi="Times New Roman"/>
          <w:color w:val="000000" w:themeColor="text1"/>
          <w:sz w:val="24"/>
          <w14:textFill>
            <w14:solidFill>
              <w14:schemeClr w14:val="tx1"/>
            </w14:solidFill>
          </w14:textFill>
        </w:rPr>
        <w:t>严禁在有塌方、山洪、泥石流危害的地方搭建住房或搭设帐篷。（</w:t>
      </w:r>
      <w:r>
        <w:rPr>
          <w:rFonts w:ascii="Times New Roman" w:hAnsi="Times New Roman"/>
          <w:b/>
          <w:color w:val="000000" w:themeColor="text1"/>
          <w:sz w:val="24"/>
          <w14:textFill>
            <w14:solidFill>
              <w14:schemeClr w14:val="tx1"/>
            </w14:solidFill>
          </w14:textFill>
        </w:rPr>
        <w:t>《通信建设工程安全生产操作规范》YD 5201-2014第3.4.7条</w:t>
      </w:r>
      <w:r>
        <w:rPr>
          <w:rFonts w:ascii="Times New Roman" w:hAnsi="Times New Roman"/>
          <w:color w:val="000000" w:themeColor="text1"/>
          <w:sz w:val="24"/>
          <w14:textFill>
            <w14:solidFill>
              <w14:schemeClr w14:val="tx1"/>
            </w14:solidFill>
          </w14:textFill>
        </w:rPr>
        <w:t>）。</w:t>
      </w:r>
      <w:bookmarkEnd w:id="338"/>
    </w:p>
    <w:p w14:paraId="213E9665">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39" w:name="_Toc429313845"/>
      <w:r>
        <w:rPr>
          <w:rFonts w:ascii="Times New Roman" w:hAnsi="Times New Roman"/>
          <w:color w:val="000000" w:themeColor="text1"/>
          <w:sz w:val="24"/>
          <w14:textFill>
            <w14:solidFill>
              <w14:schemeClr w14:val="tx1"/>
            </w14:solidFill>
          </w14:textFill>
        </w:rPr>
        <w:t>在铁路沿线施工作业时应注意：</w:t>
      </w:r>
      <w:bookmarkEnd w:id="339"/>
    </w:p>
    <w:p w14:paraId="791C6313">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a）不得在铁轨、桥梁上坐卧，不得在铁轨上或双轨中间行走。</w:t>
      </w:r>
    </w:p>
    <w:p w14:paraId="5111CD8E">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b）携带较长的工具、材料在铁路沿线行走时，所携带的工具、材料应与路轨平行，并注意避让。</w:t>
      </w:r>
    </w:p>
    <w:p w14:paraId="3307B1F4">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c）跨越铁路时，应注意铁路的信号灯和来往的火车。</w:t>
      </w:r>
    </w:p>
    <w:p w14:paraId="4942B0A9">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0" w:name="_Toc429313846"/>
      <w:r>
        <w:rPr>
          <w:rFonts w:ascii="Times New Roman" w:hAnsi="Times New Roman"/>
          <w:color w:val="000000" w:themeColor="text1"/>
          <w:sz w:val="24"/>
          <w14:textFill>
            <w14:solidFill>
              <w14:schemeClr w14:val="tx1"/>
            </w14:solidFill>
          </w14:textFill>
        </w:rPr>
        <w:t>穿越江河、湖泊水面施工作业需要涉渡时，应以竹杆试探前进，不得泅渡过河；在未弄清河水的深浅时，不得涉水过河。</w:t>
      </w:r>
      <w:bookmarkEnd w:id="340"/>
    </w:p>
    <w:p w14:paraId="1E802720">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1" w:name="_Toc429313847"/>
      <w:r>
        <w:rPr>
          <w:rFonts w:ascii="Times New Roman" w:hAnsi="Times New Roman"/>
          <w:color w:val="000000" w:themeColor="text1"/>
          <w:sz w:val="24"/>
          <w14:textFill>
            <w14:solidFill>
              <w14:schemeClr w14:val="tx1"/>
            </w14:solidFill>
          </w14:textFill>
        </w:rPr>
        <w:t>在江河、湖泊及水库等水面上作业时，必须携带必要的救生用具，作业人员必须穿好救生衣，听从统一指挥。（</w:t>
      </w:r>
      <w:r>
        <w:rPr>
          <w:rFonts w:ascii="Times New Roman" w:hAnsi="Times New Roman"/>
          <w:b/>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YD 5201-2014第3.4.10条）。</w:t>
      </w:r>
      <w:bookmarkEnd w:id="341"/>
    </w:p>
    <w:p w14:paraId="3569C766">
      <w:pPr>
        <w:pStyle w:val="50"/>
        <w:numPr>
          <w:ilvl w:val="0"/>
          <w:numId w:val="22"/>
        </w:numPr>
        <w:spacing w:line="360" w:lineRule="auto"/>
        <w:ind w:left="0" w:firstLine="480"/>
        <w:rPr>
          <w:rFonts w:ascii="Times New Roman" w:hAnsi="Times New Roman"/>
          <w:color w:val="000000" w:themeColor="text1"/>
          <w:sz w:val="24"/>
          <w14:textFill>
            <w14:solidFill>
              <w14:schemeClr w14:val="tx1"/>
            </w14:solidFill>
          </w14:textFill>
        </w:rPr>
      </w:pPr>
      <w:bookmarkStart w:id="342" w:name="_Toc429313848"/>
      <w:r>
        <w:rPr>
          <w:rFonts w:ascii="Times New Roman" w:hAnsi="Times New Roman"/>
          <w:color w:val="000000" w:themeColor="text1"/>
          <w:sz w:val="24"/>
          <w14:textFill>
            <w14:solidFill>
              <w14:schemeClr w14:val="tx1"/>
            </w14:solidFill>
          </w14:textFill>
        </w:rPr>
        <w:t>在高原缺氧地区作业时应注意：</w:t>
      </w:r>
      <w:bookmarkEnd w:id="342"/>
    </w:p>
    <w:p w14:paraId="3613668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a）施工人员应进行体查，不宜进人高原缺氧地区的人员不得进入施工。</w:t>
      </w:r>
    </w:p>
    <w:p w14:paraId="2152088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b）应预备氧气和防治急性高原病的药物，正确佩戴防紫外线辐射的防护用品。</w:t>
      </w:r>
    </w:p>
    <w:p w14:paraId="631E5D6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c）出现比较严重的高原反应症状时，应立即撤离到海拔较低的地方或去医院治疗。</w:t>
      </w:r>
    </w:p>
    <w:p w14:paraId="1EF19534">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3" w:name="_Toc132902875"/>
      <w:r>
        <w:rPr>
          <w:rFonts w:hint="eastAsia" w:ascii="黑体" w:hAnsi="黑体" w:eastAsia="黑体" w:cs="Times New Roman"/>
          <w:color w:val="000000" w:themeColor="text1"/>
          <w:sz w:val="28"/>
          <w:szCs w:val="28"/>
          <w14:textFill>
            <w14:solidFill>
              <w14:schemeClr w14:val="tx1"/>
            </w14:solidFill>
          </w14:textFill>
        </w:rPr>
        <w:t>森林草原防火安全生产要求</w:t>
      </w:r>
      <w:bookmarkEnd w:id="343"/>
    </w:p>
    <w:p w14:paraId="34F5B77F">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总体要求</w:t>
      </w:r>
    </w:p>
    <w:p w14:paraId="518D412D">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项目所涉及的相关单位、人员都应签订“森林草原防火安全责任书”。</w:t>
      </w:r>
    </w:p>
    <w:p w14:paraId="330A4479">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项目所涉及的相关单位应定期组织项目组成员开展森林草原防火安全培训并形成纪要。</w:t>
      </w:r>
    </w:p>
    <w:p w14:paraId="2BF1A9BA">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森林、草原等高火险期内，进入高火险区的，应当经县级以上地方人民政府批准，严格按照批准的时间、地点、范围活动，并接受县级以上地方人民政府林业主管部门的监督管理；</w:t>
      </w:r>
      <w:r>
        <w:rPr>
          <w:rFonts w:ascii="Times New Roman" w:hAnsi="Times New Roman"/>
          <w:color w:val="000000" w:themeColor="text1"/>
          <w:sz w:val="24"/>
          <w14:textFill>
            <w14:solidFill>
              <w14:schemeClr w14:val="tx1"/>
            </w14:solidFill>
          </w14:textFill>
        </w:rPr>
        <w:t>。</w:t>
      </w:r>
    </w:p>
    <w:p w14:paraId="71092141">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森林、草原防火期内，禁止在森林、草原防火区野外用火。确需野外用火的，应当向县级人民政府提交野外用火申请；野外用火申请应当包括用火时间、地点、面积、目的以及防火安全措施等内容；</w:t>
      </w:r>
    </w:p>
    <w:p w14:paraId="064DAEE8">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进入森林、草原区域的机动车辆，必须配备消防设备，并做好车辆检查，严防车辆故障、车祸等引起火灾。要对现场作业人员进行防火安全教育，严禁作业人员丢弃火种。</w:t>
      </w:r>
    </w:p>
    <w:p w14:paraId="6D3BAA28">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严禁</w:t>
      </w:r>
      <w:r>
        <w:rPr>
          <w:rFonts w:hint="eastAsia" w:ascii="Times New Roman" w:hAnsi="Times New Roman"/>
          <w:color w:val="000000" w:themeColor="text1"/>
          <w:sz w:val="24"/>
          <w14:textFill>
            <w14:solidFill>
              <w14:schemeClr w14:val="tx1"/>
            </w14:solidFill>
          </w14:textFill>
        </w:rPr>
        <w:t>作业人员</w:t>
      </w:r>
      <w:r>
        <w:rPr>
          <w:rFonts w:ascii="Times New Roman" w:hAnsi="Times New Roman"/>
          <w:color w:val="000000" w:themeColor="text1"/>
          <w:sz w:val="24"/>
          <w14:textFill>
            <w14:solidFill>
              <w14:schemeClr w14:val="tx1"/>
            </w14:solidFill>
          </w14:textFill>
        </w:rPr>
        <w:t>携带火种、易燃易爆物品进入防火区域，严禁在防火区域吸烟，随意丢弃烟头</w:t>
      </w:r>
      <w:r>
        <w:rPr>
          <w:rFonts w:hint="eastAsia" w:ascii="Times New Roman" w:hAnsi="Times New Roman"/>
          <w:color w:val="000000" w:themeColor="text1"/>
          <w:sz w:val="24"/>
          <w14:textFill>
            <w14:solidFill>
              <w14:schemeClr w14:val="tx1"/>
            </w14:solidFill>
          </w14:textFill>
        </w:rPr>
        <w:t>。</w:t>
      </w:r>
    </w:p>
    <w:p w14:paraId="24FBC35C">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宋体" w:hAnsi="宋体"/>
          <w:color w:val="000000" w:themeColor="text1"/>
          <w:sz w:val="24"/>
          <w14:textFill>
            <w14:solidFill>
              <w14:schemeClr w14:val="tx1"/>
            </w14:solidFill>
          </w14:textFill>
        </w:rPr>
        <w:t>严禁在林区内丢弃玻璃器皿、塑料瓶等。</w:t>
      </w:r>
    </w:p>
    <w:p w14:paraId="69825997">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项目所涉及人员应熟知森林草原防灭火的相关规定和应急处置流程。</w:t>
      </w:r>
    </w:p>
    <w:p w14:paraId="48B3E666">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各单位应制定火灾应急预案，并进行消防应急演练；</w:t>
      </w:r>
    </w:p>
    <w:p w14:paraId="389AAA27">
      <w:pPr>
        <w:pStyle w:val="50"/>
        <w:numPr>
          <w:ilvl w:val="0"/>
          <w:numId w:val="24"/>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发现</w:t>
      </w:r>
      <w:r>
        <w:rPr>
          <w:rFonts w:hint="eastAsia" w:ascii="Times New Roman" w:hAnsi="Times New Roman"/>
          <w:color w:val="000000" w:themeColor="text1"/>
          <w:sz w:val="24"/>
          <w14:textFill>
            <w14:solidFill>
              <w14:schemeClr w14:val="tx1"/>
            </w14:solidFill>
          </w14:textFill>
        </w:rPr>
        <w:t>森林、</w:t>
      </w:r>
      <w:r>
        <w:rPr>
          <w:rFonts w:ascii="Times New Roman" w:hAnsi="Times New Roman"/>
          <w:color w:val="000000" w:themeColor="text1"/>
          <w:sz w:val="24"/>
          <w14:textFill>
            <w14:solidFill>
              <w14:schemeClr w14:val="tx1"/>
            </w14:solidFill>
          </w14:textFill>
        </w:rPr>
        <w:t>草原</w:t>
      </w:r>
      <w:r>
        <w:rPr>
          <w:rFonts w:hint="eastAsia" w:ascii="Times New Roman" w:hAnsi="Times New Roman"/>
          <w:color w:val="000000" w:themeColor="text1"/>
          <w:sz w:val="24"/>
          <w14:textFill>
            <w14:solidFill>
              <w14:schemeClr w14:val="tx1"/>
            </w14:solidFill>
          </w14:textFill>
        </w:rPr>
        <w:t>等</w:t>
      </w:r>
      <w:r>
        <w:rPr>
          <w:rFonts w:ascii="Times New Roman" w:hAnsi="Times New Roman"/>
          <w:color w:val="000000" w:themeColor="text1"/>
          <w:sz w:val="24"/>
          <w14:textFill>
            <w14:solidFill>
              <w14:schemeClr w14:val="tx1"/>
            </w14:solidFill>
          </w14:textFill>
        </w:rPr>
        <w:t>火情的，应当采取必要措施，并及时向当地人民政府或者防火主管部门报告</w:t>
      </w:r>
      <w:r>
        <w:rPr>
          <w:rFonts w:hint="eastAsia" w:ascii="Times New Roman" w:hAnsi="Times New Roman"/>
          <w:color w:val="000000" w:themeColor="text1"/>
          <w:sz w:val="24"/>
          <w14:textFill>
            <w14:solidFill>
              <w14:schemeClr w14:val="tx1"/>
            </w14:solidFill>
          </w14:textFill>
        </w:rPr>
        <w:t>。禁止瞒报、谎报火灾。</w:t>
      </w:r>
    </w:p>
    <w:p w14:paraId="207E5E81">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勘察设计防火要求</w:t>
      </w:r>
    </w:p>
    <w:p w14:paraId="2AFC4784">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针对森林草原上的站点，设计方案中须包含有森林草原防灭火措施，在设计图纸中须对火灾风险点进行防火安全标注说明。</w:t>
      </w:r>
    </w:p>
    <w:p w14:paraId="2B5065D3">
      <w:pPr>
        <w:pStyle w:val="50"/>
        <w:numPr>
          <w:ilvl w:val="0"/>
          <w:numId w:val="25"/>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设计交底时应将森林草原防火内容做重点说明。</w:t>
      </w:r>
    </w:p>
    <w:p w14:paraId="465F2572">
      <w:pPr>
        <w:pStyle w:val="50"/>
        <w:numPr>
          <w:ilvl w:val="0"/>
          <w:numId w:val="23"/>
        </w:numPr>
        <w:spacing w:line="360" w:lineRule="auto"/>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野外施工作业防火要求</w:t>
      </w:r>
    </w:p>
    <w:p w14:paraId="4B2C5F6E">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单位应当在施工现场建立消防安全责任制度，确定消防安全责任人，制定用电、用水、各类材料各项消防安全管理制度和操作规程，设置消防通道、消防水源，配备消防设施和灭火器材，并在施工现场入口处设备明显标志。</w:t>
      </w:r>
    </w:p>
    <w:p w14:paraId="0055D0B6">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施工单位必须将“森林草原防火安全”要求及火灾常识纳入施工前的安全交底工作中，并形成交底记录，林区施工人员必须接受防火教育后方可上岗；</w:t>
      </w:r>
    </w:p>
    <w:p w14:paraId="7734901C">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施工单位须向施工班组配备灭火器、水桶等消防灭火设施。</w:t>
      </w:r>
    </w:p>
    <w:p w14:paraId="368972A4">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作业人员应熟知森林草原防灭火的相关规定和本单位应急处置流程。</w:t>
      </w:r>
    </w:p>
    <w:p w14:paraId="51FFD82A">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发生火情立即拨打12119报警，同时</w:t>
      </w:r>
      <w:r>
        <w:rPr>
          <w:rFonts w:hint="eastAsia" w:ascii="Times New Roman" w:hAnsi="Times New Roman"/>
          <w:color w:val="000000" w:themeColor="text1"/>
          <w:sz w:val="24"/>
          <w14:textFill>
            <w14:solidFill>
              <w14:schemeClr w14:val="tx1"/>
            </w14:solidFill>
          </w14:textFill>
        </w:rPr>
        <w:t>在保证人员安全的前提下</w:t>
      </w:r>
      <w:r>
        <w:rPr>
          <w:rFonts w:ascii="Times New Roman" w:hAnsi="Times New Roman"/>
          <w:color w:val="000000" w:themeColor="text1"/>
          <w:sz w:val="24"/>
          <w14:textFill>
            <w14:solidFill>
              <w14:schemeClr w14:val="tx1"/>
            </w14:solidFill>
          </w14:textFill>
        </w:rPr>
        <w:t>第一时间进行扑救</w:t>
      </w:r>
      <w:r>
        <w:rPr>
          <w:rFonts w:hint="eastAsia" w:ascii="Times New Roman" w:hAnsi="Times New Roman"/>
          <w:color w:val="000000" w:themeColor="text1"/>
          <w:sz w:val="24"/>
          <w14:textFill>
            <w14:solidFill>
              <w14:schemeClr w14:val="tx1"/>
            </w14:solidFill>
          </w14:textFill>
        </w:rPr>
        <w:t>，采取措施阻止火情蔓延。</w:t>
      </w:r>
    </w:p>
    <w:p w14:paraId="5F14B440">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进入林区进行动火作业，应严格执行动火作业审批制度，清理现场易燃易爆物品，确保最小的安全隔离度，配备足够的灭火器材，监护人到位监护；</w:t>
      </w:r>
    </w:p>
    <w:p w14:paraId="3853D1CB">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严格按规程施工，做好施工现场防火管理。在森林草原区开展作业的，须严格遵守当地政府、本单位防火安全管理要求，现场作业时加强对危险源的识别。</w:t>
      </w:r>
    </w:p>
    <w:p w14:paraId="02A42AB9">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施工前应对现场周边水源</w:t>
      </w:r>
      <w:r>
        <w:rPr>
          <w:rFonts w:hint="eastAsia" w:ascii="Times New Roman" w:hAnsi="Times New Roman"/>
          <w:color w:val="000000" w:themeColor="text1"/>
          <w:sz w:val="24"/>
          <w14:textFill>
            <w14:solidFill>
              <w14:schemeClr w14:val="tx1"/>
            </w14:solidFill>
          </w14:textFill>
        </w:rPr>
        <w:t>、</w:t>
      </w:r>
      <w:r>
        <w:rPr>
          <w:rFonts w:ascii="Times New Roman" w:hAnsi="Times New Roman"/>
          <w:color w:val="000000" w:themeColor="text1"/>
          <w:sz w:val="24"/>
          <w14:textFill>
            <w14:solidFill>
              <w14:schemeClr w14:val="tx1"/>
            </w14:solidFill>
          </w14:textFill>
        </w:rPr>
        <w:t>易燃物等情况进行调查，做好应急预案，并向现场人员做告知</w:t>
      </w:r>
      <w:r>
        <w:rPr>
          <w:rFonts w:hint="eastAsia" w:ascii="Times New Roman" w:hAnsi="Times New Roman"/>
          <w:color w:val="000000" w:themeColor="text1"/>
          <w:sz w:val="24"/>
          <w14:textFill>
            <w14:solidFill>
              <w14:schemeClr w14:val="tx1"/>
            </w14:solidFill>
          </w14:textFill>
        </w:rPr>
        <w:t>。</w:t>
      </w:r>
    </w:p>
    <w:p w14:paraId="6F07A3BE">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油料运输，应采用专用的容器，防止在运输过程中撒漏；</w:t>
      </w:r>
    </w:p>
    <w:p w14:paraId="13219422">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车辆进山前，要检修好车辆，以防车辆漏油引发火灾；车辆按规定配备灭火器材；</w:t>
      </w:r>
    </w:p>
    <w:p w14:paraId="0A3C9A52">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进入机房应随手关门，防止动物进入机房，造成线路短路等；</w:t>
      </w:r>
    </w:p>
    <w:p w14:paraId="51F8F795">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严禁将食物、液体带入机房；</w:t>
      </w:r>
    </w:p>
    <w:p w14:paraId="573EE705">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严禁随意使用机房内的电源；</w:t>
      </w:r>
    </w:p>
    <w:p w14:paraId="23318721">
      <w:pPr>
        <w:pStyle w:val="50"/>
        <w:numPr>
          <w:ilvl w:val="0"/>
          <w:numId w:val="26"/>
        </w:numPr>
        <w:spacing w:line="360" w:lineRule="auto"/>
        <w:ind w:left="0" w:firstLine="480"/>
        <w:rPr>
          <w:rFonts w:ascii="Times New Roman" w:hAnsi="Times New Roman"/>
          <w:color w:val="000000" w:themeColor="text1"/>
          <w:sz w:val="24"/>
          <w14:textFill>
            <w14:solidFill>
              <w14:schemeClr w14:val="tx1"/>
            </w14:solidFill>
          </w14:textFill>
        </w:rPr>
      </w:pPr>
      <w:r>
        <w:rPr>
          <w:rFonts w:hint="eastAsia" w:ascii="Times New Roman" w:hAnsi="Times New Roman"/>
          <w:color w:val="000000" w:themeColor="text1"/>
          <w:sz w:val="24"/>
          <w14:textFill>
            <w14:solidFill>
              <w14:schemeClr w14:val="tx1"/>
            </w14:solidFill>
          </w14:textFill>
        </w:rPr>
        <w:t>严禁在机房内吸烟、动用明火等；</w:t>
      </w:r>
    </w:p>
    <w:p w14:paraId="3E19CE70">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4" w:name="_Toc19087220"/>
      <w:bookmarkStart w:id="345" w:name="_Toc132902876"/>
      <w:bookmarkStart w:id="346" w:name="_Toc22324059"/>
      <w:r>
        <w:rPr>
          <w:rFonts w:ascii="黑体" w:hAnsi="黑体" w:eastAsia="黑体" w:cs="Times New Roman"/>
          <w:color w:val="000000" w:themeColor="text1"/>
          <w:sz w:val="28"/>
          <w:szCs w:val="28"/>
          <w14:textFill>
            <w14:solidFill>
              <w14:schemeClr w14:val="tx1"/>
            </w14:solidFill>
          </w14:textFill>
        </w:rPr>
        <w:t>施工操作规范要求</w:t>
      </w:r>
      <w:bookmarkEnd w:id="312"/>
      <w:bookmarkEnd w:id="313"/>
      <w:bookmarkEnd w:id="314"/>
      <w:bookmarkEnd w:id="344"/>
      <w:bookmarkEnd w:id="345"/>
      <w:bookmarkEnd w:id="346"/>
    </w:p>
    <w:p w14:paraId="7F11632B">
      <w:pPr>
        <w:tabs>
          <w:tab w:val="left" w:pos="4200"/>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施工单位必须严格按照《安全生产法》、</w:t>
      </w:r>
      <w:r>
        <w:rPr>
          <w:rFonts w:hint="eastAsia"/>
          <w:color w:val="000000" w:themeColor="text1"/>
          <w:sz w:val="24"/>
          <w14:textFill>
            <w14:solidFill>
              <w14:schemeClr w14:val="tx1"/>
            </w14:solidFill>
          </w14:textFill>
        </w:rPr>
        <w:t>工业和信息化部公告2014年第32号</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通信建设工程安全生产操作规范</w:t>
      </w:r>
      <w:r>
        <w:rPr>
          <w:color w:val="000000" w:themeColor="text1"/>
          <w:sz w:val="24"/>
          <w14:textFill>
            <w14:solidFill>
              <w14:schemeClr w14:val="tx1"/>
            </w14:solidFill>
          </w14:textFill>
        </w:rPr>
        <w:t>》等有关法律规定，进行工程安全操作。</w:t>
      </w:r>
    </w:p>
    <w:p w14:paraId="59166992">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（1）一般的施工安全生产要求：</w:t>
      </w:r>
    </w:p>
    <w:p w14:paraId="4BDCF71B">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在通信机房作业时，应遵守通信机房的管理制度，严禁在机房内饮水、吸烟。应按照指定地点设置施工的材料区、工器具区、剩余料区。钻膨胀螺栓孔、开凿墙洞应采取必要的防尘措施。机房设备扩容、改建工程项目需要动用正在运行设备的线缆、模块、电源接线端子等时，须经机房值班人员或随工人员许可，严格按照施工组织设计方案实施，本班施工结束后应检查动用设备运行是否正常，并及时清理现场。</w:t>
      </w:r>
    </w:p>
    <w:p w14:paraId="7700A451">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驾驶员必须遵守交通法规。驾驶车辆应注意交通标志、标线，保持安全行车距离，不强行超车、不疲劳驾驶、不酒后驾驶、不驾驶故障车辆。严禁将机动车辆交给无驾驶执照人员驾驶。</w:t>
      </w:r>
    </w:p>
    <w:p w14:paraId="6EACABA3">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车辆不得客货混装或超员、超载、超速。车辆行驶时，乘坐人员应注意沿途的电线、树枝及其他障碍物，不得将肢体露于车厢外。待车辆停稳后方可下车。</w:t>
      </w:r>
    </w:p>
    <w:p w14:paraId="714181ED">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车辆行驶时，乘坐人员应注意沿途的电线、树枝及其他障碍物，不得将肢体露于车厢外。车辆停稳后方可上下车。</w:t>
      </w:r>
    </w:p>
    <w:p w14:paraId="792248B8">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若需租用车辆，应与车主签订租车协议，明确双方安全责任和义务。</w:t>
      </w:r>
    </w:p>
    <w:p w14:paraId="334CC324">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施工人员使用自行车和三轮车时，应经常检查车辆的状况，特别是刹车装置的完好情况。骑车时，不得肩扛、手提物品或携带梯子及较长的杆棍等物。</w:t>
      </w:r>
    </w:p>
    <w:p w14:paraId="22E6FF24">
      <w:pPr>
        <w:numPr>
          <w:ilvl w:val="1"/>
          <w:numId w:val="27"/>
        </w:numPr>
        <w:tabs>
          <w:tab w:val="left" w:pos="90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穿越公路时应注意查看过往车辆，确认安全后方能穿越。</w:t>
      </w:r>
    </w:p>
    <w:p w14:paraId="12D6D15C">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施工人员在进行高出作业过程中，监理工程师应要求承包单位对施工现场进行圈围，禁止非施工人员进入。遇有恶劣气候影响施工安全时，严禁承包单位人员在高处施工作业。</w:t>
      </w:r>
    </w:p>
    <w:p w14:paraId="562A829F">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对于高处作业、带电操作、设备加电测试等关键工序必须进行旁站监理。</w:t>
      </w:r>
    </w:p>
    <w:p w14:paraId="37E2038D">
      <w:pPr>
        <w:numPr>
          <w:ilvl w:val="1"/>
          <w:numId w:val="27"/>
        </w:numPr>
        <w:tabs>
          <w:tab w:val="left" w:pos="900"/>
        </w:tabs>
        <w:spacing w:line="360" w:lineRule="auto"/>
        <w:ind w:left="0"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每日工作完毕离开现场前，应清理现场，切断作业电源。检查电源及其他不安全因素，确认无安全隐患。</w:t>
      </w:r>
    </w:p>
    <w:p w14:paraId="74AF0060">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（2）工器具和仪表的安全要求：</w:t>
      </w:r>
    </w:p>
    <w:p w14:paraId="78AE6001">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在电力线、电力设备下方或附近，严禁使用金属伸缩梯。</w:t>
      </w:r>
    </w:p>
    <w:p w14:paraId="54A5ED64">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使用手持式电动工具时，必须根据工作环境，选用合适的类型。</w:t>
      </w:r>
    </w:p>
    <w:p w14:paraId="7C90E5DF">
      <w:pPr>
        <w:numPr>
          <w:ilvl w:val="1"/>
          <w:numId w:val="28"/>
        </w:numPr>
        <w:tabs>
          <w:tab w:val="left" w:pos="709"/>
          <w:tab w:val="left" w:pos="900"/>
          <w:tab w:val="clear" w:pos="840"/>
        </w:tabs>
        <w:spacing w:line="360" w:lineRule="auto"/>
        <w:rPr>
          <w:color w:val="000000" w:themeColor="text1"/>
          <w:sz w:val="24"/>
          <w14:textFill>
            <w14:solidFill>
              <w14:schemeClr w14:val="tx1"/>
            </w14:solidFill>
          </w14:textFill>
        </w:rPr>
      </w:pPr>
      <w:r>
        <w:rPr>
          <w:color w:val="000000" w:themeColor="text1"/>
          <w:sz w:val="24"/>
          <w14:textFill>
            <w14:solidFill>
              <w14:schemeClr w14:val="tx1"/>
            </w14:solidFill>
          </w14:textFill>
        </w:rPr>
        <w:t>在易燃、易爆场所，不得使用手持式电动工具。</w:t>
      </w:r>
    </w:p>
    <w:p w14:paraId="5DCFA654">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电烙铁暂时停用时应放在专用支架上，不得直接放在桌面或易燃物旁。未冷却的烙铁不得放入工具箱、包内。</w:t>
      </w:r>
    </w:p>
    <w:p w14:paraId="022CCA59">
      <w:pPr>
        <w:numPr>
          <w:ilvl w:val="1"/>
          <w:numId w:val="29"/>
        </w:numPr>
        <w:tabs>
          <w:tab w:val="left" w:pos="709"/>
          <w:tab w:val="left" w:pos="900"/>
          <w:tab w:val="clear" w:pos="840"/>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使用直流电源的仪表时，电源的正负极性不得接反。</w:t>
      </w:r>
    </w:p>
    <w:p w14:paraId="0B5B660B">
      <w:pPr>
        <w:numPr>
          <w:ilvl w:val="1"/>
          <w:numId w:val="29"/>
        </w:numPr>
        <w:tabs>
          <w:tab w:val="left" w:pos="709"/>
        </w:tabs>
        <w:spacing w:line="360" w:lineRule="auto"/>
        <w:ind w:left="0" w:firstLine="424" w:firstLineChars="177"/>
        <w:rPr>
          <w:color w:val="000000" w:themeColor="text1"/>
          <w:sz w:val="24"/>
          <w14:textFill>
            <w14:solidFill>
              <w14:schemeClr w14:val="tx1"/>
            </w14:solidFill>
          </w14:textFill>
        </w:rPr>
      </w:pPr>
      <w:r>
        <w:rPr>
          <w:color w:val="000000" w:themeColor="text1"/>
          <w:sz w:val="24"/>
          <w14:textFill>
            <w14:solidFill>
              <w14:schemeClr w14:val="tx1"/>
            </w14:solidFill>
          </w14:textFill>
        </w:rPr>
        <w:t>工器具及仪表安全，应遵守</w:t>
      </w:r>
      <w:r>
        <w:rPr>
          <w:b/>
          <w:color w:val="000000" w:themeColor="text1"/>
          <w:sz w:val="24"/>
          <w14:textFill>
            <w14:solidFill>
              <w14:schemeClr w14:val="tx1"/>
            </w14:solidFill>
          </w14:textFill>
        </w:rPr>
        <w:t>《通信建设工程安全生产操作规范》（YD 5201-2014</w:t>
      </w:r>
      <w:r>
        <w:rPr>
          <w:color w:val="000000" w:themeColor="text1"/>
          <w:sz w:val="24"/>
          <w14:textFill>
            <w14:solidFill>
              <w14:schemeClr w14:val="tx1"/>
            </w14:solidFill>
          </w14:textFill>
        </w:rPr>
        <w:t>）中第5节规定的内容。</w:t>
      </w:r>
    </w:p>
    <w:p w14:paraId="4C665FD5">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（3）通信设备施工安全要求：</w:t>
      </w:r>
    </w:p>
    <w:p w14:paraId="0E7742D1">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施工场地应配备消防器材。机房内严禁堆放易燃、易爆物品；严禁在机房内吸烟、饮水。</w:t>
      </w:r>
    </w:p>
    <w:p w14:paraId="104B0B51">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在已有运行设备的机房内作业时，应划定施工作业区域。作业人员不得触碰在运设备；不得随意关断电源开关。</w:t>
      </w:r>
    </w:p>
    <w:p w14:paraId="29FDEF87">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多用插座、电烙铁、手电钻、电锤等工具的电源接线应绝缘良好，严禁将交流电源线挂在通信设备上。</w:t>
      </w:r>
    </w:p>
    <w:p w14:paraId="0DDAE45D">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施工用临时电源应安装漏电保护器，并标明电压和容量。使用机房原有电源插座时必须先测量电压、核实电源开关容量。</w:t>
      </w:r>
    </w:p>
    <w:p w14:paraId="217780DB">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高处作业应使用绝缘梯或高凳。严禁脚踩铁架、机架和电缆走道。严禁攀登配线架支架；严禁脚踩端子板、弹簧排。</w:t>
      </w:r>
    </w:p>
    <w:p w14:paraId="00970676">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涉电作业必须使用绝缘良好的工具，并由专业人员操作。在带电的设备、头柜、分支柜中操作时，作业人员应取下手表、戒指、项链等金属饰品，并采取有效措施防止螺丝钉、垫片、铜屑等金属材料掉落引起短路。</w:t>
      </w:r>
    </w:p>
    <w:p w14:paraId="3CDF997C">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铁件制作时，加工用的铁锤木柄应牢固，木柄与铁锤连接处，必须用楔子将木柄楔牢固，防止铁锤脱落。</w:t>
      </w:r>
    </w:p>
    <w:p w14:paraId="691001DD">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使用电钻钻孔时，应检查电钻绝缘强度，必须符合要求，严禁使用“带病”的电钻。电源插座必须接触良好，不得使用破损、裂纹、松动的插座。</w:t>
      </w:r>
    </w:p>
    <w:p w14:paraId="26245C18">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i) 设备加电时，必须沿电流方向逐级加电，逐级测量。</w:t>
      </w:r>
    </w:p>
    <w:p w14:paraId="5BEDD245">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j) 插拔机盘、模块时必须配戴接地良好的防静电手环。</w:t>
      </w:r>
    </w:p>
    <w:p w14:paraId="4DA87AD4">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（4）电缆布放安全要求:</w:t>
      </w:r>
    </w:p>
    <w:p w14:paraId="537D0815">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布放线缆时应做好标识，其中电源线端头应作绝缘处理。</w:t>
      </w:r>
    </w:p>
    <w:p w14:paraId="7EABEB23">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电源线的布放：</w:t>
      </w:r>
    </w:p>
    <w:p w14:paraId="246891EE">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a) 在地槽内布放电源线时，必须注意防潮。</w:t>
      </w:r>
    </w:p>
    <w:p w14:paraId="5AB326CF">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b) 布放电源线时，无论是明敷或暗敷，必须是整条线料，中间严禁有接头。</w:t>
      </w:r>
    </w:p>
    <w:p w14:paraId="25E4BAC1">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c) 截面在10mm2以上的电源线终端必须加装线鼻子，尺寸应与导线线径相吻合，线鼻子与电源线的端头必须镀锡。如加装封闭式线鼻子应用专用压接工具压接牢固；如为开口式线鼻子必须用烙铁焊接牢固。线鼻子与设备连接处在通电后，温度不得超过65</w:t>
      </w:r>
      <w:r>
        <w:rPr>
          <w:rFonts w:hint="eastAsia" w:ascii="宋体" w:hAnsi="宋体" w:cs="宋体"/>
          <w:color w:val="000000" w:themeColor="text1"/>
          <w:sz w:val="24"/>
          <w14:textFill>
            <w14:solidFill>
              <w14:schemeClr w14:val="tx1"/>
            </w14:solidFill>
          </w14:textFill>
        </w:rPr>
        <w:t>℃</w:t>
      </w:r>
      <w:r>
        <w:rPr>
          <w:color w:val="000000" w:themeColor="text1"/>
          <w:sz w:val="24"/>
          <w14:textFill>
            <w14:solidFill>
              <w14:schemeClr w14:val="tx1"/>
            </w14:solidFill>
          </w14:textFill>
        </w:rPr>
        <w:t>。</w:t>
      </w:r>
    </w:p>
    <w:p w14:paraId="52DD32A3">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d) 电源线穿越墙洞或楼层时，应预留“S”弯。洞口两端应按要求用阻燃材料的盖板堵封洞口。施工尚未结束时，应用临时阻燃材料堵封洞口。</w:t>
      </w:r>
    </w:p>
    <w:p w14:paraId="0AEC7DB8">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e) 交流线、直流线、信号线应分开布放，不得绑扎在一起，如走在同一路由时，间距必须符合工程验收规范要求。非同一级电力电缆不得穿放在同一管孔内。</w:t>
      </w:r>
    </w:p>
    <w:p w14:paraId="2D9FC1E7">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f) 设备电源的正负极性严禁接反。</w:t>
      </w:r>
    </w:p>
    <w:p w14:paraId="64DE8E63">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g) 电源线、信号线必须是整条线料，外皮完整，中间严禁有接头和急弯处。</w:t>
      </w:r>
    </w:p>
    <w:p w14:paraId="49095324">
      <w:pPr>
        <w:tabs>
          <w:tab w:val="left" w:pos="4200"/>
        </w:tabs>
        <w:spacing w:line="360" w:lineRule="auto"/>
        <w:ind w:firstLine="48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h) 直流电源线、交流电源线、信号线必须分开布放，应避免在同一线束内。其中直流电源线正极外皮颜色应为红色，负极外皮颜色应为兰色。</w:t>
      </w:r>
    </w:p>
    <w:p w14:paraId="05C76A7E">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47" w:name="_Toc429313784"/>
      <w:bookmarkStart w:id="348" w:name="_Toc396990763"/>
      <w:bookmarkStart w:id="349" w:name="_Toc22324060"/>
      <w:bookmarkStart w:id="350" w:name="_Toc132902877"/>
      <w:bookmarkStart w:id="351" w:name="_Toc19087221"/>
      <w:bookmarkStart w:id="352" w:name="_Toc417651992"/>
      <w:r>
        <w:rPr>
          <w:rFonts w:ascii="黑体" w:hAnsi="黑体" w:eastAsia="黑体" w:cs="Times New Roman"/>
          <w:color w:val="000000" w:themeColor="text1"/>
          <w:sz w:val="28"/>
          <w:szCs w:val="28"/>
          <w14:textFill>
            <w14:solidFill>
              <w14:schemeClr w14:val="tx1"/>
            </w14:solidFill>
          </w14:textFill>
        </w:rPr>
        <w:t>施工用电安全要求</w:t>
      </w:r>
      <w:bookmarkEnd w:id="347"/>
      <w:bookmarkEnd w:id="348"/>
      <w:bookmarkEnd w:id="349"/>
      <w:bookmarkEnd w:id="350"/>
      <w:bookmarkEnd w:id="351"/>
      <w:bookmarkEnd w:id="352"/>
    </w:p>
    <w:p w14:paraId="4E4D1227">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设备用的电力电缆布放和安装结束后须仔细检查其安装是否正确，尤其需要仔细核对是否有出现短路的可能。在设备加电前，须仔细分析若出现短路或过载时，对其它在网设备用电的影响，尤其要确保此次加电后不至导致整个配电柜的跳闸断电。</w:t>
      </w:r>
    </w:p>
    <w:p w14:paraId="7DBE4CB6">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（2）电源线的安装路由、路数及布放位置应符合施工图的规定，电源线的规格、开关（熔丝）的容量均应符合设计要求。不同电压等级、相位电源线应有不同颜色区分，并用标签进行标识。</w:t>
      </w:r>
    </w:p>
    <w:p w14:paraId="0891ED90">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（3）新增电源屏／列柜等电源设备时，从电力室引接电源必须按设计中的容量引接熔丝。特殊情况电力室引接的容量小于设计容量时，必须在新增电源设备内明确标识实际容量。</w:t>
      </w:r>
    </w:p>
    <w:p w14:paraId="61536223">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（4）电力线截面积应与负载相适应，不准超负荷运行；电源线、信号线不得穿越或穿入空调通风管道。</w:t>
      </w:r>
    </w:p>
    <w:p w14:paraId="56E8B4BA">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（5）必须认真了解新增的耗电情况，并检查电源系统是否能满足新增用电量需求，按维护部门的用电管理要求申请用电，批复后才能加电。</w:t>
      </w:r>
    </w:p>
    <w:p w14:paraId="386A1F82">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（6）设备上电前必须用万用表测量引接电源的极性、电压是否正确，核对本期设备使用的熔丝容量是否正确，再次确认电源系统是否能满足新增用电量需求。</w:t>
      </w:r>
    </w:p>
    <w:p w14:paraId="5A479332">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（7）设备加电时需遵守流程规范，对可能引发的故障作好充分的应急措施。加电后应检测主、备电源是否均正常运行，完成后应无告警。</w:t>
      </w:r>
    </w:p>
    <w:p w14:paraId="06E6BE42">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（8）更换电源设备的空气开关、熔丝时要注意操作的安全性，严格避免误操作造成短路等事故。</w:t>
      </w:r>
    </w:p>
    <w:p w14:paraId="5D1D9C54">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（9）施工现场用电应采用三相五线制的供电方式。用电应符合三级配电结构，即由总配电箱经分配电箱到开关箱。每台用电设备应有各自专用的开关箱，实行“一机一箱”制。</w:t>
      </w:r>
    </w:p>
    <w:p w14:paraId="54031EC0">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（10）施工现场用电线路应采用绝缘护套导线。</w:t>
      </w:r>
    </w:p>
    <w:p w14:paraId="16BF9C98">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（11）安装、巡检、维修、移动或拆除临时用电设备和线路，应由电工完成，并应有人监护。</w:t>
      </w:r>
    </w:p>
    <w:p w14:paraId="4FE73BD3">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（12）检修各类配电箱、开关箱、电气设备和电力工具时，应切断电源，并在总配电箱或者分配电箱一侧悬挂“检修设备，请勿合闸”的警示标牌，必要时设专人看管。</w:t>
      </w:r>
    </w:p>
    <w:p w14:paraId="74EEE7DD">
      <w:pPr>
        <w:pStyle w:val="52"/>
        <w:spacing w:line="360" w:lineRule="auto"/>
        <w:ind w:left="420" w:firstLine="0"/>
        <w:rPr>
          <w:color w:val="000000" w:themeColor="text1"/>
          <w:sz w:val="24"/>
          <w14:textFill>
            <w14:solidFill>
              <w14:schemeClr w14:val="tx1"/>
            </w14:solidFill>
          </w14:textFill>
        </w:rPr>
      </w:pPr>
      <w:r>
        <w:rPr>
          <w:color w:val="000000" w:themeColor="text1"/>
          <w:sz w:val="24"/>
          <w14:textFill>
            <w14:solidFill>
              <w14:schemeClr w14:val="tx1"/>
            </w14:solidFill>
          </w14:textFill>
        </w:rPr>
        <w:t>（13）使用照明灯应满足以下要求：</w:t>
      </w:r>
    </w:p>
    <w:p w14:paraId="0C41FDC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a）室外宜采用防水式灯具。在潮湿的沟、坑内应选用电压为12 V以下（含12 V）的工作灯照明。用蓄电池作照明灯的电源时，蓄电池应放在人孔或沟坑以外。</w:t>
      </w:r>
    </w:p>
    <w:p w14:paraId="5AB2665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b）在管道沟、坑沿线设置普通照明灯或安全警示灯时，灯距地面的高度应大于2 m.</w:t>
      </w:r>
    </w:p>
    <w:p w14:paraId="090CA1F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c）使用灯泡照明时，灯泡不得靠近可燃物。当使用150W以上（含150 W）的灯泡时，不得使用胶木灯具。</w:t>
      </w:r>
    </w:p>
    <w:p w14:paraId="44AD9D4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d）灯具的相线应经过开关控制，不得直接引入灯具。</w:t>
      </w:r>
    </w:p>
    <w:p w14:paraId="53786B63">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（14）用电设备的总功率不得超过供电负荷。</w:t>
      </w:r>
    </w:p>
    <w:p w14:paraId="4DBC9BB1">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3" w:name="_Toc19087222"/>
      <w:bookmarkStart w:id="354" w:name="_Toc132902878"/>
      <w:bookmarkStart w:id="355" w:name="_Toc429313785"/>
      <w:bookmarkStart w:id="356" w:name="_Toc22324061"/>
      <w:bookmarkStart w:id="357" w:name="_Toc417651993"/>
      <w:bookmarkStart w:id="358" w:name="_Toc396990764"/>
      <w:r>
        <w:rPr>
          <w:rFonts w:ascii="黑体" w:hAnsi="黑体" w:eastAsia="黑体" w:cs="Times New Roman"/>
          <w:color w:val="000000" w:themeColor="text1"/>
          <w:sz w:val="28"/>
          <w:szCs w:val="28"/>
          <w14:textFill>
            <w14:solidFill>
              <w14:schemeClr w14:val="tx1"/>
            </w14:solidFill>
          </w14:textFill>
        </w:rPr>
        <w:t>施工监理安全要求</w:t>
      </w:r>
      <w:bookmarkEnd w:id="353"/>
      <w:bookmarkEnd w:id="354"/>
      <w:bookmarkEnd w:id="355"/>
      <w:bookmarkEnd w:id="356"/>
      <w:bookmarkEnd w:id="357"/>
      <w:bookmarkEnd w:id="358"/>
    </w:p>
    <w:p w14:paraId="57ADB043">
      <w:pPr>
        <w:pStyle w:val="52"/>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监理人员应对危险性较大的关键工序、关键部位进行旁站监督。监理人员应巡视检查施工现场的安全防护措施和施工安全操作规范的执行情况，做好安全检查记录。在巡视检查中发现的安全隐患，应及时发出监理指令，并责令施工单位迅速消除隐患。对于危险性较大的工程项目，项目监理机构应组织相关人员依照安全监理实施细则和专项实施方案进行专项安全检查，检查施工单位制定的安全规章制度、现场安全防护措施的落实情况。</w:t>
      </w:r>
    </w:p>
    <w:p w14:paraId="3D4FE7D0">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审查施工单位的企业资质证书、安全生产许可证。</w:t>
      </w:r>
    </w:p>
    <w:p w14:paraId="3D7CD880">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审查施工组织设计中的安全技术措施或专项施工方案，其必须符合工程建设强制性标准和国家有关安全生产的规定。（</w:t>
      </w:r>
      <w:r>
        <w:rPr>
          <w:rFonts w:ascii="Times New Roman" w:hAnsi="Times New Roman"/>
          <w:b/>
          <w:color w:val="000000" w:themeColor="text1"/>
          <w:sz w:val="24"/>
          <w14:textFill>
            <w14:solidFill>
              <w14:schemeClr w14:val="tx1"/>
            </w14:solidFill>
          </w14:textFill>
        </w:rPr>
        <w:t>《通信建设工程施工安全监理暂行规定》YD 5204-2014 第7.0.2条</w:t>
      </w:r>
      <w:r>
        <w:rPr>
          <w:rFonts w:ascii="Times New Roman" w:hAnsi="Times New Roman"/>
          <w:color w:val="000000" w:themeColor="text1"/>
          <w:sz w:val="24"/>
          <w14:textFill>
            <w14:solidFill>
              <w14:schemeClr w14:val="tx1"/>
            </w14:solidFill>
          </w14:textFill>
        </w:rPr>
        <w:t>）。</w:t>
      </w:r>
    </w:p>
    <w:p w14:paraId="798A7A57">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对于危险性较大的工程，监理机构应要求施工单位编制专项施工方案及应急预案。</w:t>
      </w:r>
    </w:p>
    <w:p w14:paraId="5084659F">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检查施工单位的现场安全生产管理情况。</w:t>
      </w:r>
    </w:p>
    <w:p w14:paraId="023B751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a）施工单位应根据施工合同的约定，在现场设立安全生产管理机构，指派专职安全管理人员，明确安全管理目标和安全管理职责。</w:t>
      </w:r>
    </w:p>
    <w:p w14:paraId="3E0764D2">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b）施工单位的项目经理（负责人）、安全管理人员必须具备安全生产考核合格证书，持证上岗。（《</w:t>
      </w:r>
      <w:r>
        <w:rPr>
          <w:b/>
          <w:bCs/>
          <w:color w:val="000000" w:themeColor="text1"/>
          <w:sz w:val="24"/>
          <w14:textFill>
            <w14:solidFill>
              <w14:schemeClr w14:val="tx1"/>
            </w14:solidFill>
          </w14:textFill>
        </w:rPr>
        <w:t>通信建设工程施工安全监理暂行规定</w:t>
      </w:r>
      <w:r>
        <w:rPr>
          <w:color w:val="000000" w:themeColor="text1"/>
          <w:sz w:val="24"/>
          <w14:textFill>
            <w14:solidFill>
              <w14:schemeClr w14:val="tx1"/>
            </w14:solidFill>
          </w14:textFill>
        </w:rPr>
        <w:t>》</w:t>
      </w:r>
      <w:r>
        <w:rPr>
          <w:b/>
          <w:bCs/>
          <w:color w:val="000000" w:themeColor="text1"/>
          <w:sz w:val="24"/>
          <w14:textFill>
            <w14:solidFill>
              <w14:schemeClr w14:val="tx1"/>
            </w14:solidFill>
          </w14:textFill>
        </w:rPr>
        <w:t>YD 5204-2014</w:t>
      </w:r>
      <w:r>
        <w:rPr>
          <w:color w:val="000000" w:themeColor="text1"/>
          <w:sz w:val="24"/>
          <w14:textFill>
            <w14:solidFill>
              <w14:schemeClr w14:val="tx1"/>
            </w14:solidFill>
          </w14:textFill>
        </w:rPr>
        <w:t xml:space="preserve"> 第7.0.4条）。</w:t>
      </w:r>
    </w:p>
    <w:p w14:paraId="3CB39CF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c）施工单位专职安全管理人员的配置数量应满足施工组织设计和现场施工的要求。</w:t>
      </w:r>
    </w:p>
    <w:p w14:paraId="519A787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d）施工单位应针对工程的实际情况对参加施工的人员进行安全交底或安全教育，并将交底或教育情况如实记录。</w:t>
      </w:r>
    </w:p>
    <w:p w14:paraId="2E0B5B6C">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要求施工单位检查安全设施、安全防护用具应满足安全施工的需要。</w:t>
      </w:r>
    </w:p>
    <w:p w14:paraId="04BF05F2">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督促施工单位识别施工现场中的危险源，并制定相应的预防措施。</w:t>
      </w:r>
    </w:p>
    <w:p w14:paraId="2F53C1DF">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要求施工单位预先对毗邻工程的构筑物、通信设施等制定安全保护措施。</w:t>
      </w:r>
    </w:p>
    <w:p w14:paraId="3B416140">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在通信局（站）施工前，监理人员应遵守并要求施工单位遵守进人通信局（站）的有关安全规定。</w:t>
      </w:r>
    </w:p>
    <w:p w14:paraId="563CBAE7">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在建设单位主持召开的第一次工地会议上，总监理工程师应阐述监理规划中的安全监理方案和安全监理工作的要求。</w:t>
      </w:r>
    </w:p>
    <w:p w14:paraId="72DB03E9">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要求施工单位按照工业和信息化部颁发的《</w:t>
      </w:r>
      <w:r>
        <w:rPr>
          <w:rFonts w:ascii="Times New Roman" w:hAnsi="Times New Roman"/>
          <w:b/>
          <w:bCs/>
          <w:color w:val="000000" w:themeColor="text1"/>
          <w:sz w:val="24"/>
          <w14:textFill>
            <w14:solidFill>
              <w14:schemeClr w14:val="tx1"/>
            </w14:solidFill>
          </w14:textFill>
        </w:rPr>
        <w:t>通信建设工程安全生产操作规范</w:t>
      </w:r>
      <w:r>
        <w:rPr>
          <w:rFonts w:ascii="Times New Roman" w:hAnsi="Times New Roman"/>
          <w:color w:val="000000" w:themeColor="text1"/>
          <w:sz w:val="24"/>
          <w14:textFill>
            <w14:solidFill>
              <w14:schemeClr w14:val="tx1"/>
            </w14:solidFill>
          </w14:textFill>
        </w:rPr>
        <w:t>》进行安全施工。</w:t>
      </w:r>
    </w:p>
    <w:p w14:paraId="5731F33C">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检查施工单位专职安全管理人员到场情况和特种作业人员操作资格证书。</w:t>
      </w:r>
    </w:p>
    <w:p w14:paraId="324D2CB9">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检查施工现场的各种安全防护和警示标志的设置情况。</w:t>
      </w:r>
    </w:p>
    <w:p w14:paraId="55B98C93">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要求施工单位按照国家有关劳动保护的规定为施工人员配置安全防护用品并正确佩戴使用。</w:t>
      </w:r>
    </w:p>
    <w:p w14:paraId="4A52B54C">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要求施工单位检查使用的施工机具，应符合相关的安全性能标准。</w:t>
      </w:r>
    </w:p>
    <w:p w14:paraId="620212E7">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在施工监理过程中，发现安全隐患时，监理人员应及时发出口头或书面监理指令，予以制止。</w:t>
      </w:r>
    </w:p>
    <w:p w14:paraId="049C1026">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当发现施工单位安全生产管理制度落实不到位或施工现场出现安全隐患时，总监理工程师（或安全监理人员）可视实际情况召开安全专题会议，针对现场施工安全隐患，提出整改要求。</w:t>
      </w:r>
    </w:p>
    <w:p w14:paraId="72242851">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在监理过程中发现较大安全隐患时，项目监理机构应根据实际情况编写安全监理专题报告，报送建设单位。</w:t>
      </w:r>
    </w:p>
    <w:p w14:paraId="702B9333">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交通道路上施工时，监理人员应检查施工审批手续，要求施工单位按照公安、交通管理部门的要求设置警示标志，现场监理人员应穿戴专用交通警示服装。夜间施工时还应要求施工单位遵守当地夜间施工的相关规定。</w:t>
      </w:r>
    </w:p>
    <w:p w14:paraId="52BAFB65">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开挖基坑或沟槽时，监理人员应要求施工单位设置围栏或警示标志。</w:t>
      </w:r>
    </w:p>
    <w:p w14:paraId="6A4B32DF">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非开挖顶管作业或机械开挖坑槽时，监理人员应要求施工单位严格按照设计图纸确定钻孔（开挖）位置进行施工。</w:t>
      </w:r>
    </w:p>
    <w:p w14:paraId="61EB8567">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爆破作业时，项目监理机构应要求施工单位严格按照</w:t>
      </w:r>
      <w:r>
        <w:rPr>
          <w:rFonts w:ascii="Times New Roman" w:hAnsi="Times New Roman"/>
          <w:b/>
          <w:color w:val="000000" w:themeColor="text1"/>
          <w:sz w:val="24"/>
          <w14:textFill>
            <w14:solidFill>
              <w14:schemeClr w14:val="tx1"/>
            </w14:solidFill>
          </w14:textFill>
        </w:rPr>
        <w:t>GB6722-2014 《爆破安全规程》</w:t>
      </w:r>
      <w:r>
        <w:rPr>
          <w:rFonts w:ascii="Times New Roman" w:hAnsi="Times New Roman"/>
          <w:color w:val="000000" w:themeColor="text1"/>
          <w:sz w:val="24"/>
          <w14:textFill>
            <w14:solidFill>
              <w14:schemeClr w14:val="tx1"/>
            </w14:solidFill>
          </w14:textFill>
        </w:rPr>
        <w:t>进行施工。</w:t>
      </w:r>
    </w:p>
    <w:p w14:paraId="2369ABF1">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起重吊装大型设备或构件时，监理人员应要求施工单位遵守起重吊装作业的相关规定。</w:t>
      </w:r>
    </w:p>
    <w:p w14:paraId="27F60921">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在有限空间施工作业时，项目监理机构应要求施工单位遵守有限空间作业安全生产的相关规定。</w:t>
      </w:r>
    </w:p>
    <w:p w14:paraId="24C902E5">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临时用电时，监理人员应要求施工单位遵守安全用电的相关规定。</w:t>
      </w:r>
    </w:p>
    <w:p w14:paraId="4E80BEBE">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a）对可能造成通信网络阻断的工程，监理人员应要求施工单位制定相应的预防措施。</w:t>
      </w:r>
    </w:p>
    <w:p w14:paraId="3C2257A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b）在运行中的通信设备机架内进行安装作业时，监理人员应旁站监督。</w:t>
      </w:r>
    </w:p>
    <w:p w14:paraId="0C89EA0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c）当施工作业可能对毗邻设备、管线等造成损害，监理人员应要求施工单位采取作业的安全防护措施。</w:t>
      </w:r>
    </w:p>
    <w:p w14:paraId="21E3DD25">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在电磁辐射超过限值区域施工时，监理人员应要求施工单位采取以下措施。</w:t>
      </w:r>
    </w:p>
    <w:p w14:paraId="3DA79CAC">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a）设置围栏、警告标志、标线，控制其他人员进人电磁辐射超标的区域。</w:t>
      </w:r>
    </w:p>
    <w:p w14:paraId="6232503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b）施工人员应穿防护服装、戴眼镜。</w:t>
      </w:r>
    </w:p>
    <w:p w14:paraId="3F3C571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c）施工人员在超过限值区域施工时间不得超过连续时间的限值。</w:t>
      </w:r>
    </w:p>
    <w:p w14:paraId="08E6435C">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施工现场防火安全监理要求如下。</w:t>
      </w:r>
    </w:p>
    <w:p w14:paraId="04B2DBC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a）应检查施工现场配备的消防器材情况。</w:t>
      </w:r>
    </w:p>
    <w:p w14:paraId="5CA5C2A5">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b）要求施工单位在光（电）缆进线室、水线房、机房、无（有）人站、木工场地、仓库、林区、草原等处施工时，严禁烟火。</w:t>
      </w:r>
    </w:p>
    <w:p w14:paraId="5E2928F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c）在禁火区施工需动用明火时，应检查相关部门的批准手续。</w:t>
      </w:r>
    </w:p>
    <w:p w14:paraId="6C15F46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d）在电缆等各种贯穿物穿越墙壁或楼板时，监理人员应要求施工单位应按要求用防火材料封堵洞口。</w:t>
      </w:r>
    </w:p>
    <w:p w14:paraId="214D2D38">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在运行中的机房安装通信设备时，监理人员应要求施工单位划定安全施工作业区域，必要时设置警示线（带）。</w:t>
      </w:r>
    </w:p>
    <w:p w14:paraId="28CC7A1D">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带电作业时，监理人员应要求施工单位检查安全防护措施，以及施工作业工具的绝缘处理应符合要求。</w:t>
      </w:r>
    </w:p>
    <w:p w14:paraId="477569ED">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设备加电时，监理人员应旁站监理。监理人员应要求施工人员按加电顺序加电，插拔机盘、模块时，应佩戴接地良好的防静电手环。</w:t>
      </w:r>
    </w:p>
    <w:p w14:paraId="7E6D7632">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对关键部位、关键工序的施工过程，监理人员必须旁站监理。并应根据施工单位报送的隐蔽工序报验申请表进行检查，符合要求方可签认。隐蔽工序报验申请表应采用GB/T 50319《建设工程监理规范》B.0.7表。（</w:t>
      </w:r>
      <w:r>
        <w:rPr>
          <w:rFonts w:ascii="Times New Roman" w:hAnsi="Times New Roman"/>
          <w:b/>
          <w:color w:val="000000" w:themeColor="text1"/>
          <w:sz w:val="24"/>
          <w14:textFill>
            <w14:solidFill>
              <w14:schemeClr w14:val="tx1"/>
            </w14:solidFill>
          </w14:textFill>
        </w:rPr>
        <w:t>《通信设备安装工程施工监理规范》YD 5125-2014 第8.0.5条</w:t>
      </w:r>
      <w:r>
        <w:rPr>
          <w:rFonts w:ascii="Times New Roman" w:hAnsi="Times New Roman"/>
          <w:color w:val="000000" w:themeColor="text1"/>
          <w:sz w:val="24"/>
          <w14:textFill>
            <w14:solidFill>
              <w14:schemeClr w14:val="tx1"/>
            </w14:solidFill>
          </w14:textFill>
        </w:rPr>
        <w:t>）。</w:t>
      </w:r>
    </w:p>
    <w:p w14:paraId="485C58D8">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施工阶段生态环境保护监理：通信建设工程施工中，严禁使用持久性有机污染物做杀虫剂；严禁在崩塌滑坡危险区、泥石流易发区和易导致自然景观破坏的区域采石、采砂、取土。（</w:t>
      </w:r>
      <w:r>
        <w:rPr>
          <w:rFonts w:ascii="Times New Roman" w:hAnsi="Times New Roman"/>
          <w:b/>
          <w:color w:val="000000" w:themeColor="text1"/>
          <w:sz w:val="24"/>
          <w14:textFill>
            <w14:solidFill>
              <w14:schemeClr w14:val="tx1"/>
            </w14:solidFill>
          </w14:textFill>
        </w:rPr>
        <w:t>《通信建设工程节能与环境保护监理暂行规定》YD 5205-2014 第6.0.1条</w:t>
      </w:r>
      <w:r>
        <w:rPr>
          <w:rFonts w:ascii="Times New Roman" w:hAnsi="Times New Roman"/>
          <w:color w:val="000000" w:themeColor="text1"/>
          <w:sz w:val="24"/>
          <w14:textFill>
            <w14:solidFill>
              <w14:schemeClr w14:val="tx1"/>
            </w14:solidFill>
          </w14:textFill>
        </w:rPr>
        <w:t>）。</w:t>
      </w:r>
    </w:p>
    <w:p w14:paraId="19C939E7">
      <w:pPr>
        <w:pStyle w:val="50"/>
        <w:numPr>
          <w:ilvl w:val="0"/>
          <w:numId w:val="30"/>
        </w:numPr>
        <w:spacing w:line="360" w:lineRule="auto"/>
        <w:ind w:left="0" w:firstLine="48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施工阶段废弃物处置监理：监理人员应要求施工人员及时清运施工过程中产生的废弃物，并按照环境保护的相关规定进行利用或分类处置；严禁向草原、江河、湖泊、运河、渠道、水库及其最高水位线以下的滩地和岸坡倾倒、堆放废弃物。（</w:t>
      </w:r>
      <w:r>
        <w:rPr>
          <w:rFonts w:ascii="Times New Roman" w:hAnsi="Times New Roman"/>
          <w:b/>
          <w:color w:val="000000" w:themeColor="text1"/>
          <w:sz w:val="24"/>
          <w14:textFill>
            <w14:solidFill>
              <w14:schemeClr w14:val="tx1"/>
            </w14:solidFill>
          </w14:textFill>
        </w:rPr>
        <w:t>《通信建设工程节能与环境保护监理暂行规定》YD 5205-2014 第8.0.2条</w:t>
      </w:r>
      <w:r>
        <w:rPr>
          <w:rFonts w:ascii="Times New Roman" w:hAnsi="Times New Roman"/>
          <w:color w:val="000000" w:themeColor="text1"/>
          <w:sz w:val="24"/>
          <w14:textFill>
            <w14:solidFill>
              <w14:schemeClr w14:val="tx1"/>
            </w14:solidFill>
          </w14:textFill>
        </w:rPr>
        <w:t>）。</w:t>
      </w:r>
    </w:p>
    <w:p w14:paraId="57BF07D1">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工程监理单位和监理工程师应当按照法律、法规和工程建设强制性标准实施监理，并对建设工程安全生产承担监理责任。工程监理单位应当审查施工组织设计中的安全措施或者专项施工方案是否符合工程建设强制性标准。</w:t>
      </w:r>
    </w:p>
    <w:p w14:paraId="569BBFE8">
      <w:pPr>
        <w:tabs>
          <w:tab w:val="left" w:pos="567"/>
          <w:tab w:val="left" w:pos="851"/>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工程监理单位在施工监理过程中，发现存在安全事故隐患的，应当要求施工单位整改。情况严重的，应当要求施工单位暂时停止施工，并及时报告建设单位。施工单位拒不整改或者不停止施工的，工程监理单位应当及时向有关主管部门报告。</w:t>
      </w:r>
    </w:p>
    <w:p w14:paraId="301DFF19">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59" w:name="_Toc22324062"/>
      <w:bookmarkStart w:id="360" w:name="_Toc401128954"/>
      <w:bookmarkStart w:id="361" w:name="_Toc429313884"/>
      <w:bookmarkStart w:id="362" w:name="_Toc132902879"/>
      <w:bookmarkStart w:id="363" w:name="_Toc400722586"/>
      <w:bookmarkStart w:id="364" w:name="_Toc428351988"/>
      <w:bookmarkStart w:id="365" w:name="_Toc19087223"/>
      <w:bookmarkStart w:id="366" w:name="_Toc396990766"/>
      <w:bookmarkStart w:id="367" w:name="_Toc417651995"/>
      <w:bookmarkStart w:id="368" w:name="_Toc429313787"/>
      <w:r>
        <w:rPr>
          <w:rFonts w:ascii="黑体" w:hAnsi="黑体" w:eastAsia="黑体" w:cs="Times New Roman"/>
          <w:color w:val="000000" w:themeColor="text1"/>
          <w:sz w:val="28"/>
          <w:szCs w:val="28"/>
          <w14:textFill>
            <w14:solidFill>
              <w14:schemeClr w14:val="tx1"/>
            </w14:solidFill>
          </w14:textFill>
        </w:rPr>
        <w:t>施工现场应急救援</w:t>
      </w:r>
      <w:bookmarkEnd w:id="359"/>
      <w:bookmarkEnd w:id="360"/>
      <w:bookmarkEnd w:id="361"/>
      <w:bookmarkEnd w:id="362"/>
      <w:bookmarkEnd w:id="363"/>
      <w:bookmarkEnd w:id="364"/>
      <w:bookmarkEnd w:id="365"/>
    </w:p>
    <w:p w14:paraId="09D0376E">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69" w:name="_Toc429313885"/>
      <w:r>
        <w:rPr>
          <w:rFonts w:ascii="Times New Roman" w:hAnsi="Times New Roman"/>
          <w:color w:val="000000" w:themeColor="text1"/>
          <w:sz w:val="24"/>
          <w14:textFill>
            <w14:solidFill>
              <w14:schemeClr w14:val="tx1"/>
            </w14:solidFill>
          </w14:textFill>
        </w:rPr>
        <w:t>施工单位应根据施工现场情况编制现场应急预案。现场应急预案应在本单位制定的专项预案的基础上，结合工程实际，有针对性地编制。应急救援措施应具体、周密、细致、方便操作。施工现场应急预案编制后，应配备相应资源，必要时应组织培训和演练。</w:t>
      </w:r>
      <w:bookmarkEnd w:id="369"/>
    </w:p>
    <w:p w14:paraId="13EB262B">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0" w:name="_Toc429313886"/>
      <w:r>
        <w:rPr>
          <w:rFonts w:ascii="Times New Roman" w:hAnsi="Times New Roman"/>
          <w:color w:val="000000" w:themeColor="text1"/>
          <w:sz w:val="24"/>
          <w14:textFill>
            <w14:solidFill>
              <w14:schemeClr w14:val="tx1"/>
            </w14:solidFill>
          </w14:textFill>
        </w:rPr>
        <w:t>施工现场应急预案应包括以下内容：</w:t>
      </w:r>
      <w:bookmarkEnd w:id="370"/>
    </w:p>
    <w:p w14:paraId="3F2403B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a）对现场存在的重大危险源和潜在事故的危险性质进行的预测和评估；</w:t>
      </w:r>
    </w:p>
    <w:p w14:paraId="63AFFB0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b）现场应急救援的组织机构及人员职责和分工；</w:t>
      </w:r>
    </w:p>
    <w:p w14:paraId="713EB43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c）预防措施；</w:t>
      </w:r>
    </w:p>
    <w:p w14:paraId="0D95101B">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d）报警及通信联络的电话、对象和步骤；</w:t>
      </w:r>
    </w:p>
    <w:p w14:paraId="2A97992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e）应急响应时，现场员工和其他人员的行为规定。</w:t>
      </w:r>
    </w:p>
    <w:p w14:paraId="14DC2420">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1" w:name="_Toc429313887"/>
      <w:r>
        <w:rPr>
          <w:rFonts w:ascii="Times New Roman" w:hAnsi="Times New Roman"/>
          <w:color w:val="000000" w:themeColor="text1"/>
          <w:sz w:val="24"/>
          <w14:textFill>
            <w14:solidFill>
              <w14:schemeClr w14:val="tx1"/>
            </w14:solidFill>
          </w14:textFill>
        </w:rPr>
        <w:t>生产经营单位发生生产安全事故后，事故现场有关人员应当立即报告本单位负责人。单位负责人接到事故报告后，应当迅速采取有效措施，组织抢救，防止事故扩大，减少人员伤亡和财产损失，并按照国家有关规定立即如实报告当地负有安全生产监督管理职责的部门。</w:t>
      </w:r>
      <w:bookmarkEnd w:id="371"/>
    </w:p>
    <w:p w14:paraId="5C628BC2">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2" w:name="_Toc429313888"/>
      <w:r>
        <w:rPr>
          <w:rFonts w:ascii="Times New Roman" w:hAnsi="Times New Roman"/>
          <w:color w:val="000000" w:themeColor="text1"/>
          <w:sz w:val="24"/>
          <w14:textFill>
            <w14:solidFill>
              <w14:schemeClr w14:val="tx1"/>
            </w14:solidFill>
          </w14:textFill>
        </w:rPr>
        <w:t>事故发生后，有关单位和人员应当妥善保护事故现场以及相关证据，任何单位和个人不得破坏事故现场、毁灭相关证据。因抢救人员、防止事故扩大以及疏通交通等原因，需要移动事故现场物品的，应当做出标志，绘制现场简图并做出书面记录，妥善保存现场重要痕迹、物证。</w:t>
      </w:r>
      <w:bookmarkEnd w:id="372"/>
    </w:p>
    <w:p w14:paraId="4B986ACA">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3" w:name="_Toc429313889"/>
      <w:r>
        <w:rPr>
          <w:rFonts w:ascii="Times New Roman" w:hAnsi="Times New Roman"/>
          <w:color w:val="000000" w:themeColor="text1"/>
          <w:sz w:val="24"/>
          <w14:textFill>
            <w14:solidFill>
              <w14:schemeClr w14:val="tx1"/>
            </w14:solidFill>
          </w14:textFill>
        </w:rPr>
        <w:t>发生生产安全事故时，现场有关人员应立即抢救伤员，同时向单位负责人报告，并向相关部门报警。</w:t>
      </w:r>
      <w:bookmarkEnd w:id="373"/>
    </w:p>
    <w:p w14:paraId="3145B501">
      <w:pPr>
        <w:pStyle w:val="50"/>
        <w:numPr>
          <w:ilvl w:val="0"/>
          <w:numId w:val="31"/>
        </w:numPr>
        <w:spacing w:line="360" w:lineRule="auto"/>
        <w:ind w:left="0" w:firstLine="480"/>
        <w:rPr>
          <w:rFonts w:ascii="Times New Roman" w:hAnsi="Times New Roman"/>
          <w:color w:val="000000" w:themeColor="text1"/>
          <w:sz w:val="24"/>
          <w14:textFill>
            <w14:solidFill>
              <w14:schemeClr w14:val="tx1"/>
            </w14:solidFill>
          </w14:textFill>
        </w:rPr>
      </w:pPr>
      <w:bookmarkStart w:id="374" w:name="_Toc429313890"/>
      <w:r>
        <w:rPr>
          <w:rFonts w:ascii="Times New Roman" w:hAnsi="Times New Roman"/>
          <w:color w:val="000000" w:themeColor="text1"/>
          <w:sz w:val="24"/>
          <w14:textFill>
            <w14:solidFill>
              <w14:schemeClr w14:val="tx1"/>
            </w14:solidFill>
          </w14:textFill>
        </w:rPr>
        <w:t>发生通信网络中断时，现场负责人应立即向建设单位和项目负责人报告，并按照应急预案要求尽快恢复。</w:t>
      </w:r>
      <w:bookmarkEnd w:id="374"/>
    </w:p>
    <w:p w14:paraId="5A3DB73C">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75" w:name="_Toc19087224"/>
      <w:bookmarkStart w:id="376" w:name="_Toc132902880"/>
      <w:bookmarkStart w:id="377" w:name="_Toc22324063"/>
      <w:r>
        <w:rPr>
          <w:rFonts w:ascii="黑体" w:hAnsi="黑体" w:eastAsia="黑体" w:cs="Times New Roman"/>
          <w:color w:val="000000" w:themeColor="text1"/>
          <w:sz w:val="28"/>
          <w:szCs w:val="28"/>
          <w14:textFill>
            <w14:solidFill>
              <w14:schemeClr w14:val="tx1"/>
            </w14:solidFill>
          </w14:textFill>
        </w:rPr>
        <w:t>抗震加固</w:t>
      </w:r>
      <w:bookmarkEnd w:id="366"/>
      <w:bookmarkEnd w:id="367"/>
      <w:bookmarkEnd w:id="368"/>
      <w:bookmarkEnd w:id="375"/>
      <w:bookmarkEnd w:id="376"/>
      <w:bookmarkEnd w:id="377"/>
    </w:p>
    <w:p w14:paraId="0CAB6AC4">
      <w:pPr>
        <w:tabs>
          <w:tab w:val="left" w:pos="567"/>
        </w:tabs>
        <w:spacing w:line="360" w:lineRule="auto"/>
        <w:ind w:firstLine="480"/>
        <w:rPr>
          <w:color w:val="000000" w:themeColor="text1"/>
          <w:sz w:val="24"/>
          <w14:textFill>
            <w14:solidFill>
              <w14:schemeClr w14:val="tx1"/>
            </w14:solidFill>
          </w14:textFill>
        </w:rPr>
      </w:pPr>
      <w:bookmarkStart w:id="378" w:name="_Hlk112781614"/>
      <w:r>
        <w:rPr>
          <w:rFonts w:hint="eastAsia"/>
          <w:color w:val="000000" w:themeColor="text1"/>
          <w:sz w:val="24"/>
          <w14:textFill>
            <w14:solidFill>
              <w14:schemeClr w14:val="tx1"/>
            </w14:solidFill>
          </w14:textFill>
        </w:rPr>
        <w:t>根据</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通信建筑抗震设防分类标准</w:t>
      </w:r>
      <w:r>
        <w:rPr>
          <w:b/>
          <w:color w:val="000000" w:themeColor="text1"/>
          <w:sz w:val="24"/>
          <w14:textFill>
            <w14:solidFill>
              <w14:schemeClr w14:val="tx1"/>
            </w14:solidFill>
          </w14:textFill>
        </w:rPr>
        <w:t>》</w:t>
      </w:r>
      <w:r>
        <w:rPr>
          <w:rFonts w:hint="eastAsia"/>
          <w:b/>
          <w:bCs/>
          <w:color w:val="000000" w:themeColor="text1"/>
          <w:sz w:val="24"/>
          <w14:textFill>
            <w14:solidFill>
              <w14:schemeClr w14:val="tx1"/>
            </w14:solidFill>
          </w14:textFill>
        </w:rPr>
        <w:t>(YD/T 5054- 2019)</w:t>
      </w:r>
      <w:r>
        <w:rPr>
          <w:rFonts w:hint="eastAsia"/>
          <w:color w:val="000000" w:themeColor="text1"/>
          <w:sz w:val="24"/>
          <w14:textFill>
            <w14:solidFill>
              <w14:schemeClr w14:val="tx1"/>
            </w14:solidFill>
          </w14:textFill>
        </w:rPr>
        <w:t>的规定本地网通信枢纽楼或通信生产楼的基站和机房、应急通信用房、A级数据中心楼、承担特殊重要任务的通信局属于重点设防类(乙类)，应按高于本地区抗震设防烈度一度的要求加强其抗震措施，但抗震设防烈度为9度时应按比9度更高的要求采取抗震措施；甲、乙、丁类以外的通信生产用房属于标准设防类(丙类)，应按本地区抗震设防烈度确定其抗震措施和地震作用,达到在遭遇高于当地抗震设防烈度的预估罕遇地震影响时不致倒塌或发生危及生命安全的严重破坏的抗震设防目标。</w:t>
      </w:r>
    </w:p>
    <w:p w14:paraId="272B9F3F">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机架宜用螺栓将机架加固到楼板上或采用加固底座进行加固。</w:t>
      </w:r>
      <w:r>
        <w:rPr>
          <w:rFonts w:hint="eastAsia"/>
          <w:color w:val="000000" w:themeColor="text1"/>
          <w:sz w:val="24"/>
          <w14:textFill>
            <w14:solidFill>
              <w14:schemeClr w14:val="tx1"/>
            </w14:solidFill>
          </w14:textFill>
        </w:rPr>
        <w:t>云南</w:t>
      </w:r>
      <w:r>
        <w:rPr>
          <w:color w:val="000000" w:themeColor="text1"/>
          <w:sz w:val="24"/>
          <w14:textFill>
            <w14:solidFill>
              <w14:schemeClr w14:val="tx1"/>
            </w14:solidFill>
          </w14:textFill>
        </w:rPr>
        <w:t>各地抗震设防烈度如下：</w:t>
      </w:r>
    </w:p>
    <w:p w14:paraId="4F88F6A6">
      <w:pPr>
        <w:spacing w:line="360" w:lineRule="auto"/>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表11</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 xml:space="preserve">2      </w:t>
      </w:r>
      <w:r>
        <w:rPr>
          <w:rFonts w:hint="eastAsia"/>
          <w:color w:val="000000" w:themeColor="text1"/>
          <w:sz w:val="24"/>
          <w14:textFill>
            <w14:solidFill>
              <w14:schemeClr w14:val="tx1"/>
            </w14:solidFill>
          </w14:textFill>
        </w:rPr>
        <w:t xml:space="preserve">               云南省</w:t>
      </w:r>
      <w:r>
        <w:rPr>
          <w:color w:val="000000" w:themeColor="text1"/>
          <w:sz w:val="24"/>
          <w14:textFill>
            <w14:solidFill>
              <w14:schemeClr w14:val="tx1"/>
            </w14:solidFill>
          </w14:textFill>
        </w:rPr>
        <w:t>各地</w:t>
      </w:r>
      <w:r>
        <w:rPr>
          <w:rFonts w:hint="eastAsia"/>
          <w:color w:val="000000" w:themeColor="text1"/>
          <w:sz w:val="24"/>
          <w14:textFill>
            <w14:solidFill>
              <w14:schemeClr w14:val="tx1"/>
            </w14:solidFill>
          </w14:textFill>
        </w:rPr>
        <w:t>州</w:t>
      </w:r>
      <w:r>
        <w:rPr>
          <w:color w:val="000000" w:themeColor="text1"/>
          <w:sz w:val="24"/>
          <w14:textFill>
            <w14:solidFill>
              <w14:schemeClr w14:val="tx1"/>
            </w14:solidFill>
          </w14:textFill>
        </w:rPr>
        <w:t>抗震设防烈度</w:t>
      </w:r>
    </w:p>
    <w:tbl>
      <w:tblPr>
        <w:tblStyle w:val="31"/>
        <w:tblW w:w="5000" w:type="pct"/>
        <w:tblInd w:w="0" w:type="dxa"/>
        <w:tblLayout w:type="autofit"/>
        <w:tblCellMar>
          <w:top w:w="0" w:type="dxa"/>
          <w:left w:w="108" w:type="dxa"/>
          <w:bottom w:w="0" w:type="dxa"/>
          <w:right w:w="108" w:type="dxa"/>
        </w:tblCellMar>
      </w:tblPr>
      <w:tblGrid>
        <w:gridCol w:w="958"/>
        <w:gridCol w:w="740"/>
        <w:gridCol w:w="766"/>
        <w:gridCol w:w="876"/>
        <w:gridCol w:w="5381"/>
      </w:tblGrid>
      <w:tr w14:paraId="10074FD7">
        <w:tblPrEx>
          <w:tblCellMar>
            <w:top w:w="0" w:type="dxa"/>
            <w:left w:w="108" w:type="dxa"/>
            <w:bottom w:w="0" w:type="dxa"/>
            <w:right w:w="108" w:type="dxa"/>
          </w:tblCellMar>
        </w:tblPrEx>
        <w:trPr>
          <w:trHeight w:val="285" w:hRule="atLeast"/>
          <w:tblHeader/>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6B1213">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地州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AA13F97">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烈度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1151C9">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加速度</w:t>
            </w:r>
          </w:p>
        </w:tc>
        <w:tc>
          <w:tcPr>
            <w:tcW w:w="502"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E7B3BE6">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分组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B5C305">
            <w:pPr>
              <w:widowControl/>
              <w:jc w:val="left"/>
              <w:rPr>
                <w:rFonts w:hint="eastAsia" w:ascii="宋体" w:hAnsi="宋体" w:cs="Arial"/>
                <w:b/>
                <w:bCs/>
                <w:color w:val="000000"/>
                <w:kern w:val="0"/>
                <w:sz w:val="22"/>
                <w:szCs w:val="22"/>
              </w:rPr>
            </w:pPr>
            <w:r>
              <w:rPr>
                <w:rFonts w:hint="eastAsia" w:ascii="宋体" w:hAnsi="宋体" w:cs="Arial"/>
                <w:b/>
                <w:bCs/>
                <w:color w:val="000000"/>
                <w:kern w:val="0"/>
                <w:sz w:val="22"/>
                <w:szCs w:val="22"/>
              </w:rPr>
              <w:t>县级及县级以上城镇</w:t>
            </w:r>
          </w:p>
        </w:tc>
      </w:tr>
      <w:tr w14:paraId="19DCC501">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38EA7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昆明市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B6DCA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C3C761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68A643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34278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东川区、寻甸回族彝族自治县</w:t>
            </w:r>
          </w:p>
        </w:tc>
      </w:tr>
      <w:tr w14:paraId="41D0E802">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57E66DE">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D3D32A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FCC3E7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985AF0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9972A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宜良县、嵩明县</w:t>
            </w:r>
          </w:p>
        </w:tc>
      </w:tr>
      <w:tr w14:paraId="3FA2937B">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06615F0F">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887D1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F34CA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743D27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EDC4C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五华区、盘龙区、官渡区、西山区、呈贡区、晋宁县、石林彝族自治县、安宁市</w:t>
            </w:r>
          </w:p>
        </w:tc>
      </w:tr>
      <w:tr w14:paraId="6A94AD8E">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5B00AE53">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2C7B6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987ACD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4FE55F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C350F3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富民具、禄劝彝族苗族自治具</w:t>
            </w:r>
          </w:p>
        </w:tc>
      </w:tr>
      <w:tr w14:paraId="49FB6E62">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4D309D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曲靖市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F2E1EA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59DAE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D30D18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E1EAD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马龙县、会泽县</w:t>
            </w:r>
          </w:p>
        </w:tc>
      </w:tr>
      <w:tr w14:paraId="691C956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DC6807D">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33C21E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EDD41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D63A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14981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麒麟区、陆良县、沾益县</w:t>
            </w:r>
          </w:p>
        </w:tc>
      </w:tr>
      <w:tr w14:paraId="426E4447">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089BAC51">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72E5F7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91223D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7F6ACE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D52F42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师宗县、富源县、罗平县、宣威市</w:t>
            </w:r>
          </w:p>
        </w:tc>
      </w:tr>
      <w:tr w14:paraId="2B2F051E">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B3E412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玉溪市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E55EAC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1BBE7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0659DB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61275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江川县、澄江县、通海县、华宁县、峨山彝族自治县</w:t>
            </w:r>
          </w:p>
        </w:tc>
      </w:tr>
      <w:tr w14:paraId="0969C24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5E41D4D">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44DEC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24316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388B2A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39C5E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红塔区、易门县</w:t>
            </w:r>
          </w:p>
        </w:tc>
      </w:tr>
      <w:tr w14:paraId="76E2218C">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394DE5FF">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7D2BD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06FC5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C0C7D5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631284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新平彝族傣族自治县、元江哈尼族彝族傣族自治县</w:t>
            </w:r>
          </w:p>
        </w:tc>
      </w:tr>
      <w:tr w14:paraId="4C410DA3">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C2DF33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保山市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9D7780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A24FE4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3C0A8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26C352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龙陵县</w:t>
            </w:r>
          </w:p>
        </w:tc>
      </w:tr>
      <w:tr w14:paraId="7498FA4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6B4FD94">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710F0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5A478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677B50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69A2D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隆阳区、施甸县</w:t>
            </w:r>
          </w:p>
        </w:tc>
      </w:tr>
      <w:tr w14:paraId="164CE7C0">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2BC57BE3">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2E791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E79DE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A266A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448576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昌宁县</w:t>
            </w:r>
          </w:p>
        </w:tc>
      </w:tr>
      <w:tr w14:paraId="5A6AAD13">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F637D8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昭通市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D46B0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1ADF7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B654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68D2C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巧家县、永善县</w:t>
            </w:r>
          </w:p>
        </w:tc>
      </w:tr>
      <w:tr w14:paraId="1BE2DAF9">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97EA61E">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B79C2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EF249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15AADA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C5F8B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大关县、彝良县、鲁甸县</w:t>
            </w:r>
          </w:p>
        </w:tc>
      </w:tr>
      <w:tr w14:paraId="17729063">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68F7442B">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0FF0AE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352EFC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C487D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19D37C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绥江县</w:t>
            </w:r>
          </w:p>
        </w:tc>
      </w:tr>
      <w:tr w14:paraId="57FD0548">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2119E26F">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910863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F9567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3D775B3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6F31F1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昭阳区、盐津县</w:t>
            </w:r>
          </w:p>
        </w:tc>
      </w:tr>
      <w:tr w14:paraId="6C8E978D">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20C07705">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2A2C8D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FED72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90320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DD22D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水富县</w:t>
            </w:r>
          </w:p>
        </w:tc>
      </w:tr>
      <w:tr w14:paraId="3B570CC6">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3558E952">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FBB44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93EBD5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6F26E0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73B79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镇雄县、威信县</w:t>
            </w:r>
          </w:p>
        </w:tc>
      </w:tr>
      <w:tr w14:paraId="3162D634">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591D78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丽江市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70545F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059968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7F0A0A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50A1F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古城区、玉龙纳西族自治县、永胜县</w:t>
            </w:r>
          </w:p>
        </w:tc>
      </w:tr>
      <w:tr w14:paraId="62034243">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37C04F66">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7B2D2F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25468E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B496CF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AE5192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宁蒗彝族自治县</w:t>
            </w:r>
          </w:p>
        </w:tc>
      </w:tr>
      <w:tr w14:paraId="4E713F6A">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3211F4A9">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E3B59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BA0C3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B727F6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8E76D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华坪县</w:t>
            </w:r>
          </w:p>
        </w:tc>
      </w:tr>
      <w:tr w14:paraId="2DA9AAFB">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9A994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普洱市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F7157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9度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3FFDD9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0.40g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9E57FE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69107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澜沧拉祜族自治县</w:t>
            </w:r>
          </w:p>
        </w:tc>
      </w:tr>
      <w:tr w14:paraId="7278EB83">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61111B6D">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55FFE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485DC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142489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E8F7D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孟连傣族拉祜族佤族自治县、西盟佤族自治县</w:t>
            </w:r>
          </w:p>
        </w:tc>
      </w:tr>
      <w:tr w14:paraId="08347982">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23EFFCD3">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8C2E46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7C1DEC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38D109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5C2AB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思茅区、宁洱哈尼族彝族自县</w:t>
            </w:r>
          </w:p>
        </w:tc>
      </w:tr>
      <w:tr w14:paraId="4FEA9ACF">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60263396">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95E6A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5BE2A0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5EF91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5873AE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景东彝族自治县、景谷傣族彝族自治县</w:t>
            </w:r>
          </w:p>
        </w:tc>
      </w:tr>
      <w:tr w14:paraId="4A132F5E">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641E591">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10DAD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6A965C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BB1F8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91811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墨江哈尼族自治县、镇沅彝族哈尼族拉祜族自治县、江城哈尼族彝族自治县</w:t>
            </w:r>
          </w:p>
        </w:tc>
      </w:tr>
      <w:tr w14:paraId="2CAA0AA6">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D0D105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临沧市</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9381E9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8F94F0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5AB6A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61D49E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双江拉祜族佤族布朗族傣族自治县、耿马傣族佤族自治县、沧源佤族自治县</w:t>
            </w:r>
          </w:p>
        </w:tc>
      </w:tr>
      <w:tr w14:paraId="0873038D">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12675E52">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29A255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E9835C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053063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C21D19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临翔区、凤庆县、云县、永德县、镇康县</w:t>
            </w:r>
          </w:p>
        </w:tc>
      </w:tr>
      <w:tr w14:paraId="2761F99A">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3F5BEAB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48496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34959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05C6D6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4DE83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楚雄市、南华县</w:t>
            </w:r>
          </w:p>
        </w:tc>
      </w:tr>
      <w:tr w14:paraId="183503E6">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4B13D9E">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95CAD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393581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6A68CB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70608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双柏县、牟定县、姚安县、大姚县、元谋县、武定县、禄丰县</w:t>
            </w:r>
          </w:p>
        </w:tc>
      </w:tr>
      <w:tr w14:paraId="117680FE">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4E36000">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E6CAD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E00C16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E0916D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BEF2D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永仁县</w:t>
            </w:r>
          </w:p>
        </w:tc>
      </w:tr>
      <w:tr w14:paraId="51E2453B">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A3F38D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红河哈尼族、彝族自治州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73414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E9D1A9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11D0B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2820AB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建水县、石屏县</w:t>
            </w:r>
          </w:p>
        </w:tc>
      </w:tr>
      <w:tr w14:paraId="4FEAC7F4">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086C319">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CF77EA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DC3C8E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B0025B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FB3630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个旧市、开远市、弥勒市、元阳县、红河县</w:t>
            </w:r>
          </w:p>
        </w:tc>
      </w:tr>
      <w:tr w14:paraId="30C3DD8D">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D05AF55">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244BF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182EE6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7012E6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35CF8D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蒙自市、泸西县、金平苗族瑶族傣族自治县、绿春县</w:t>
            </w:r>
          </w:p>
        </w:tc>
      </w:tr>
      <w:tr w14:paraId="14FBF33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65172497">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E3A1C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EC3135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CCA7AC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D3F8C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河口瑶族自治县</w:t>
            </w:r>
          </w:p>
        </w:tc>
      </w:tr>
      <w:tr w14:paraId="3456309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20AD4CCF">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36868E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78D5F9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599703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A71A1B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屏边苗族自治县</w:t>
            </w:r>
          </w:p>
        </w:tc>
      </w:tr>
      <w:tr w14:paraId="44B0FC53">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6991F5E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文山壮族苗族自治州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F9386D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9A8E3D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F395AA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6570D9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文山市</w:t>
            </w:r>
          </w:p>
        </w:tc>
      </w:tr>
      <w:tr w14:paraId="41B5027C">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54CCC4E8">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EAAE06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C70C83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DBE6B5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D2864E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砚山县、丘北县</w:t>
            </w:r>
          </w:p>
        </w:tc>
      </w:tr>
      <w:tr w14:paraId="01AAD48B">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582D2AFC">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7D6DA8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889D30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A7225B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81D935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广南县</w:t>
            </w:r>
          </w:p>
        </w:tc>
      </w:tr>
      <w:tr w14:paraId="4212784B">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11A87ABE">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7797EE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6度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B053C87">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0.05g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2EFE91F">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第一组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8CF418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西畴县、麻栗坡县、马关县、富宁县</w:t>
            </w:r>
          </w:p>
        </w:tc>
      </w:tr>
      <w:tr w14:paraId="6988E339">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99DA66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西双版纳傣族自治州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0053FA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46847D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1F987F83">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6082D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勐海县</w:t>
            </w:r>
          </w:p>
        </w:tc>
      </w:tr>
      <w:tr w14:paraId="277EF49F">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381EF7A">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ACCF92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7E50B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CEB3B5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750880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景洪市</w:t>
            </w:r>
          </w:p>
        </w:tc>
      </w:tr>
      <w:tr w14:paraId="4CC016C7">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C7B3235">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D41E8CE">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48D009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05CDEA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5D663D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勐腊县</w:t>
            </w:r>
          </w:p>
        </w:tc>
      </w:tr>
      <w:tr w14:paraId="4E80FFAE">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00369F9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大理白族自治州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945E4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8F0E8F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D27001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C3A2A9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洱源县、剑川县、鹤庆县</w:t>
            </w:r>
          </w:p>
        </w:tc>
      </w:tr>
      <w:tr w14:paraId="22A71FB7">
        <w:tblPrEx>
          <w:tblCellMar>
            <w:top w:w="0" w:type="dxa"/>
            <w:left w:w="108" w:type="dxa"/>
            <w:bottom w:w="0" w:type="dxa"/>
            <w:right w:w="108" w:type="dxa"/>
          </w:tblCellMar>
        </w:tblPrEx>
        <w:trPr>
          <w:trHeight w:val="540"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45DD96B8">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0EBE8E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552105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84A15E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D37042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大理市、漾濞彝族自治县、祥云县、宾川县、弥渡县、南涧彝族自治县、巍山彝族回族自治县</w:t>
            </w:r>
          </w:p>
        </w:tc>
      </w:tr>
      <w:tr w14:paraId="707F1F90">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00787744">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841FA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FBE389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6F8E84D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98AE4F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永平县、云龙县</w:t>
            </w:r>
          </w:p>
        </w:tc>
      </w:tr>
      <w:tr w14:paraId="099290FD">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57EAC1D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德宏傣族景颇族自治州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41BFA2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0586CD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0.30g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7B54DA5B">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149DC3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瑞丽市、芒市</w:t>
            </w:r>
          </w:p>
        </w:tc>
      </w:tr>
      <w:tr w14:paraId="1A1775FF">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56D0ED50">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82CEC4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E70D8E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2A3DD47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10D663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梁河县、盈江县、陇川县</w:t>
            </w:r>
          </w:p>
        </w:tc>
      </w:tr>
      <w:tr w14:paraId="75A57F05">
        <w:tblPrEx>
          <w:tblCellMar>
            <w:top w:w="0" w:type="dxa"/>
            <w:left w:w="108" w:type="dxa"/>
            <w:bottom w:w="0" w:type="dxa"/>
            <w:right w:w="108" w:type="dxa"/>
          </w:tblCellMar>
        </w:tblPrEx>
        <w:trPr>
          <w:trHeight w:val="285" w:hRule="atLeast"/>
        </w:trPr>
        <w:tc>
          <w:tcPr>
            <w:tcW w:w="550" w:type="pct"/>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14:paraId="1116709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怒江傈僳族自治州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4E9DFC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B3A41A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4F5D9F8">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6B7D65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泸水县</w:t>
            </w:r>
          </w:p>
        </w:tc>
      </w:tr>
      <w:tr w14:paraId="4B93C471">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6906D95A">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6CD395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A1CE0A5">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0E2FC5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EF6C29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福贡县、贡山独龙族怒族自治县</w:t>
            </w:r>
          </w:p>
        </w:tc>
      </w:tr>
      <w:tr w14:paraId="1FA97A5D">
        <w:tblPrEx>
          <w:tblCellMar>
            <w:top w:w="0" w:type="dxa"/>
            <w:left w:w="108" w:type="dxa"/>
            <w:bottom w:w="0" w:type="dxa"/>
            <w:right w:w="108" w:type="dxa"/>
          </w:tblCellMar>
        </w:tblPrEx>
        <w:trPr>
          <w:trHeight w:val="285" w:hRule="atLeast"/>
        </w:trPr>
        <w:tc>
          <w:tcPr>
            <w:tcW w:w="550" w:type="pct"/>
            <w:vMerge w:val="continue"/>
            <w:tcBorders>
              <w:top w:val="single" w:color="000000" w:sz="4" w:space="0"/>
              <w:left w:val="single" w:color="000000" w:sz="4" w:space="0"/>
              <w:bottom w:val="single" w:color="000000" w:sz="4" w:space="0"/>
              <w:right w:val="single" w:color="000000" w:sz="4" w:space="0"/>
            </w:tcBorders>
            <w:vAlign w:val="center"/>
          </w:tcPr>
          <w:p w14:paraId="7EE3F59E">
            <w:pPr>
              <w:widowControl/>
              <w:jc w:val="left"/>
              <w:rPr>
                <w:rFonts w:hint="eastAsia" w:ascii="宋体" w:hAnsi="宋体" w:cs="Arial"/>
                <w:color w:val="000000"/>
                <w:kern w:val="0"/>
                <w:sz w:val="22"/>
                <w:szCs w:val="22"/>
              </w:rPr>
            </w:pP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0A52B50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7度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21F8509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0.15g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4E37C84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D0A4FF0">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兰坪白族普米族自治县</w:t>
            </w:r>
          </w:p>
        </w:tc>
      </w:tr>
      <w:tr w14:paraId="131B32E6">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43C802E6">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迪庆藏族自治州</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B240579">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5FF2DD9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032B62E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第二组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327D7C6D">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香格里拉市、德钦县、维西傈僳族自治县</w:t>
            </w:r>
          </w:p>
        </w:tc>
      </w:tr>
      <w:tr w14:paraId="4E5B80DA">
        <w:tblPrEx>
          <w:tblCellMar>
            <w:top w:w="0" w:type="dxa"/>
            <w:left w:w="108" w:type="dxa"/>
            <w:bottom w:w="0" w:type="dxa"/>
            <w:right w:w="108" w:type="dxa"/>
          </w:tblCellMar>
        </w:tblPrEx>
        <w:trPr>
          <w:trHeight w:val="285" w:hRule="atLeast"/>
        </w:trPr>
        <w:tc>
          <w:tcPr>
            <w:tcW w:w="550"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57C6F1C">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省直辖县级行政单位</w:t>
            </w:r>
          </w:p>
        </w:tc>
        <w:tc>
          <w:tcPr>
            <w:tcW w:w="424" w:type="pct"/>
            <w:tcBorders>
              <w:top w:val="single" w:color="000000" w:sz="4" w:space="0"/>
              <w:left w:val="single" w:color="000000" w:sz="4" w:space="0"/>
              <w:bottom w:val="single" w:color="000000" w:sz="4" w:space="0"/>
              <w:right w:val="single" w:color="000000" w:sz="4" w:space="0"/>
            </w:tcBorders>
            <w:shd w:val="clear" w:color="auto" w:fill="auto"/>
            <w:vAlign w:val="center"/>
          </w:tcPr>
          <w:p w14:paraId="61BF3892">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8度</w:t>
            </w:r>
          </w:p>
        </w:tc>
        <w:tc>
          <w:tcPr>
            <w:tcW w:w="439" w:type="pct"/>
            <w:tcBorders>
              <w:top w:val="single" w:color="000000" w:sz="4" w:space="0"/>
              <w:left w:val="single" w:color="000000" w:sz="4" w:space="0"/>
              <w:bottom w:val="single" w:color="000000" w:sz="4" w:space="0"/>
              <w:right w:val="single" w:color="000000" w:sz="4" w:space="0"/>
            </w:tcBorders>
            <w:shd w:val="clear" w:color="auto" w:fill="auto"/>
            <w:vAlign w:val="center"/>
          </w:tcPr>
          <w:p w14:paraId="7FEA2A1A">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0.20g</w:t>
            </w:r>
          </w:p>
        </w:tc>
        <w:tc>
          <w:tcPr>
            <w:tcW w:w="502" w:type="pct"/>
            <w:tcBorders>
              <w:top w:val="single" w:color="000000" w:sz="4" w:space="0"/>
              <w:left w:val="single" w:color="000000" w:sz="4" w:space="0"/>
              <w:bottom w:val="single" w:color="000000" w:sz="4" w:space="0"/>
              <w:right w:val="single" w:color="000000" w:sz="4" w:space="0"/>
            </w:tcBorders>
            <w:shd w:val="clear" w:color="auto" w:fill="auto"/>
            <w:noWrap/>
            <w:vAlign w:val="center"/>
          </w:tcPr>
          <w:p w14:paraId="555E2B51">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第三组</w:t>
            </w:r>
          </w:p>
        </w:tc>
        <w:tc>
          <w:tcPr>
            <w:tcW w:w="3085" w:type="pct"/>
            <w:tcBorders>
              <w:top w:val="single" w:color="000000" w:sz="4" w:space="0"/>
              <w:left w:val="single" w:color="000000" w:sz="4" w:space="0"/>
              <w:bottom w:val="single" w:color="000000" w:sz="4" w:space="0"/>
              <w:right w:val="single" w:color="000000" w:sz="4" w:space="0"/>
            </w:tcBorders>
            <w:shd w:val="clear" w:color="auto" w:fill="auto"/>
            <w:vAlign w:val="center"/>
          </w:tcPr>
          <w:p w14:paraId="18B0B6A4">
            <w:pPr>
              <w:widowControl/>
              <w:jc w:val="left"/>
              <w:rPr>
                <w:rFonts w:hint="eastAsia" w:ascii="宋体" w:hAnsi="宋体" w:cs="Arial"/>
                <w:color w:val="000000"/>
                <w:kern w:val="0"/>
                <w:sz w:val="22"/>
                <w:szCs w:val="22"/>
              </w:rPr>
            </w:pPr>
            <w:r>
              <w:rPr>
                <w:rFonts w:hint="eastAsia" w:ascii="宋体" w:hAnsi="宋体" w:cs="Arial"/>
                <w:color w:val="000000"/>
                <w:kern w:val="0"/>
                <w:sz w:val="22"/>
                <w:szCs w:val="22"/>
              </w:rPr>
              <w:t>腾冲市</w:t>
            </w:r>
          </w:p>
        </w:tc>
      </w:tr>
    </w:tbl>
    <w:p w14:paraId="276B0BC8">
      <w:pPr>
        <w:spacing w:line="360" w:lineRule="auto"/>
        <w:jc w:val="left"/>
        <w:rPr>
          <w:color w:val="000000" w:themeColor="text1"/>
          <w:sz w:val="24"/>
          <w:highlight w:val="yellow"/>
          <w14:textFill>
            <w14:solidFill>
              <w14:schemeClr w14:val="tx1"/>
            </w14:solidFill>
          </w14:textFill>
        </w:rPr>
      </w:pPr>
    </w:p>
    <w:p w14:paraId="50AFB04D">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highlight w:val="yellow"/>
          <w14:textFill>
            <w14:solidFill>
              <w14:schemeClr w14:val="tx1"/>
            </w14:solidFill>
          </w14:textFill>
        </w:rPr>
        <w:t>X</w:t>
      </w:r>
      <w:r>
        <w:rPr>
          <w:color w:val="000000" w:themeColor="text1"/>
          <w:sz w:val="24"/>
          <w:highlight w:val="yellow"/>
          <w14:textFill>
            <w14:solidFill>
              <w14:schemeClr w14:val="tx1"/>
            </w14:solidFill>
          </w14:textFill>
        </w:rPr>
        <w:t>X</w:t>
      </w:r>
      <w:r>
        <w:rPr>
          <w:rFonts w:hint="eastAsia"/>
          <w:color w:val="000000" w:themeColor="text1"/>
          <w:sz w:val="24"/>
          <w:highlight w:val="yellow"/>
          <w14:textFill>
            <w14:solidFill>
              <w14:schemeClr w14:val="tx1"/>
            </w14:solidFill>
          </w14:textFill>
        </w:rPr>
        <w:t>抗震防裂度为6度，加速度为</w:t>
      </w:r>
      <w:r>
        <w:rPr>
          <w:rFonts w:hint="eastAsia" w:ascii="宋体" w:hAnsi="宋体" w:cs="宋体"/>
          <w:color w:val="000000" w:themeColor="text1"/>
          <w:kern w:val="0"/>
          <w:sz w:val="24"/>
          <w:highlight w:val="yellow"/>
          <w14:textFill>
            <w14:solidFill>
              <w14:schemeClr w14:val="tx1"/>
            </w14:solidFill>
          </w14:textFill>
        </w:rPr>
        <w:t>0.05g</w:t>
      </w:r>
      <w:r>
        <w:rPr>
          <w:rFonts w:hint="eastAsia"/>
          <w:color w:val="000000" w:themeColor="text1"/>
          <w:sz w:val="24"/>
          <w14:textFill>
            <w14:solidFill>
              <w14:schemeClr w14:val="tx1"/>
            </w14:solidFill>
          </w14:textFill>
        </w:rPr>
        <w:t>。</w:t>
      </w:r>
    </w:p>
    <w:p w14:paraId="7F0B6019">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设备机柜的底部对地进行加固，可以直接用螺栓对楼板进行加固。若机房有活动地板，应先把加固底座对楼板固定，再利用机柜底部的4个孔用螺栓与底座加固。设备机柜的顶部可视实际情况对走线架进行加固，短机架一般可不对顶加固。</w:t>
      </w:r>
    </w:p>
    <w:p w14:paraId="72728F06">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活动地板机房新配AC/DC PDB、IDF、DDF、ODF也必须对底座加固。DDF、ODF、列柜还需对其顶部同走线架进行加固。</w:t>
      </w:r>
    </w:p>
    <w:p w14:paraId="2FE5C168">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（1）架式</w:t>
      </w:r>
      <w:r>
        <w:rPr>
          <w:rFonts w:hint="eastAsia"/>
          <w:color w:val="000000" w:themeColor="text1"/>
          <w:sz w:val="24"/>
          <w14:textFill>
            <w14:solidFill>
              <w14:schemeClr w14:val="tx1"/>
            </w14:solidFill>
          </w14:textFill>
        </w:rPr>
        <w:t>通信</w:t>
      </w:r>
      <w:r>
        <w:rPr>
          <w:color w:val="000000" w:themeColor="text1"/>
          <w:sz w:val="24"/>
          <w14:textFill>
            <w14:solidFill>
              <w14:schemeClr w14:val="tx1"/>
            </w14:solidFill>
          </w14:textFill>
        </w:rPr>
        <w:t>设备顶部</w:t>
      </w:r>
      <w:r>
        <w:rPr>
          <w:rFonts w:hint="eastAsia"/>
          <w:color w:val="000000" w:themeColor="text1"/>
          <w:sz w:val="24"/>
          <w14:textFill>
            <w14:solidFill>
              <w14:schemeClr w14:val="tx1"/>
            </w14:solidFill>
          </w14:textFill>
        </w:rPr>
        <w:t>应与联结架或顶部支撑构件连接。联结架的构件之间或顶部支撑构件应按有关规定联结牢固，使之成为一个整体</w:t>
      </w:r>
      <w:r>
        <w:rPr>
          <w:color w:val="000000" w:themeColor="text1"/>
          <w:sz w:val="24"/>
          <w14:textFill>
            <w14:solidFill>
              <w14:schemeClr w14:val="tx1"/>
            </w14:solidFill>
          </w14:textFill>
        </w:rPr>
        <w:t>。</w:t>
      </w:r>
    </w:p>
    <w:p w14:paraId="1C397FBC">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color w:val="000000" w:themeColor="text1"/>
          <w:sz w:val="24"/>
          <w14:textFill>
            <w14:solidFill>
              <w14:schemeClr w14:val="tx1"/>
            </w14:solidFill>
          </w14:textFill>
        </w:rPr>
        <w:t>架式通信设备顶部应与联结架上梁或顶部支撑构件锚固，锚固点不少于2个。</w:t>
      </w:r>
      <w:r>
        <w:rPr>
          <w:color w:val="000000" w:themeColor="text1"/>
          <w:sz w:val="24"/>
          <w14:textFill>
            <w14:solidFill>
              <w14:schemeClr w14:val="tx1"/>
            </w14:solidFill>
          </w14:textFill>
        </w:rPr>
        <w:t>对于8度及8度以上的</w:t>
      </w:r>
      <w:r>
        <w:rPr>
          <w:rFonts w:hint="eastAsia"/>
          <w:color w:val="000000" w:themeColor="text1"/>
          <w:sz w:val="24"/>
          <w14:textFill>
            <w14:solidFill>
              <w14:schemeClr w14:val="tx1"/>
            </w14:solidFill>
          </w14:textFill>
        </w:rPr>
        <w:t>防烈度，通信设备顶部</w:t>
      </w:r>
      <w:r>
        <w:rPr>
          <w:color w:val="000000" w:themeColor="text1"/>
          <w:sz w:val="24"/>
          <w14:textFill>
            <w14:solidFill>
              <w14:schemeClr w14:val="tx1"/>
            </w14:solidFill>
          </w14:textFill>
        </w:rPr>
        <w:t>必须用抗震夹板或螺栓</w:t>
      </w:r>
      <w:r>
        <w:rPr>
          <w:rFonts w:hint="eastAsia"/>
          <w:color w:val="000000" w:themeColor="text1"/>
          <w:sz w:val="24"/>
          <w14:textFill>
            <w14:solidFill>
              <w14:schemeClr w14:val="tx1"/>
            </w14:solidFill>
          </w14:textFill>
        </w:rPr>
        <w:t>与联结架上梁锚固</w:t>
      </w:r>
      <w:r>
        <w:rPr>
          <w:color w:val="000000" w:themeColor="text1"/>
          <w:sz w:val="24"/>
          <w14:textFill>
            <w14:solidFill>
              <w14:schemeClr w14:val="tx1"/>
            </w14:solidFill>
          </w14:textFill>
        </w:rPr>
        <w:t>。</w:t>
      </w:r>
    </w:p>
    <w:p w14:paraId="64E617AD">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架式通信设备底部应与楼板锚固，锚固的规格应按</w:t>
      </w:r>
      <w:r>
        <w:rPr>
          <w:b/>
          <w:color w:val="000000" w:themeColor="text1"/>
          <w:sz w:val="24"/>
          <w14:textFill>
            <w14:solidFill>
              <w14:schemeClr w14:val="tx1"/>
            </w14:solidFill>
          </w14:textFill>
        </w:rPr>
        <w:t>《</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 xml:space="preserve">》GB/T 51369-2019  </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条确定，也可按本标准表5</w:t>
      </w:r>
      <w:r>
        <w:rPr>
          <w:color w:val="000000" w:themeColor="text1"/>
          <w:sz w:val="24"/>
          <w14:textFill>
            <w14:solidFill>
              <w14:schemeClr w14:val="tx1"/>
            </w14:solidFill>
          </w14:textFill>
        </w:rPr>
        <w:t>.1.3</w:t>
      </w:r>
      <w:r>
        <w:rPr>
          <w:rFonts w:hint="eastAsia"/>
          <w:color w:val="000000" w:themeColor="text1"/>
          <w:sz w:val="24"/>
          <w14:textFill>
            <w14:solidFill>
              <w14:schemeClr w14:val="tx1"/>
            </w14:solidFill>
          </w14:textFill>
        </w:rPr>
        <w:t>的规定确定</w:t>
      </w:r>
      <w:r>
        <w:rPr>
          <w:color w:val="000000" w:themeColor="text1"/>
          <w:sz w:val="24"/>
          <w14:textFill>
            <w14:solidFill>
              <w14:schemeClr w14:val="tx1"/>
            </w14:solidFill>
          </w14:textFill>
        </w:rPr>
        <w:t>。</w:t>
      </w:r>
    </w:p>
    <w:p w14:paraId="6A27338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锚固架式设备的联结架应通过连固铁、旁侧撑铁、列间撑铁等与房屋承重结构进行锚固。连固铁、旁侧撑铁、列间撑铁等支撑构件规格及锚栓规格应按《</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.4.1</w:t>
      </w:r>
      <w:r>
        <w:rPr>
          <w:rFonts w:hint="eastAsia"/>
          <w:color w:val="000000" w:themeColor="text1"/>
          <w:sz w:val="24"/>
          <w14:textFill>
            <w14:solidFill>
              <w14:schemeClr w14:val="tx1"/>
            </w14:solidFill>
          </w14:textFill>
        </w:rPr>
        <w:t>条确定，也可按标准中表5</w:t>
      </w:r>
      <w:r>
        <w:rPr>
          <w:color w:val="000000" w:themeColor="text1"/>
          <w:sz w:val="24"/>
          <w14:textFill>
            <w14:solidFill>
              <w14:schemeClr w14:val="tx1"/>
            </w14:solidFill>
          </w14:textFill>
        </w:rPr>
        <w:t>.1.4</w:t>
      </w:r>
      <w:r>
        <w:rPr>
          <w:rFonts w:hint="eastAsia"/>
          <w:color w:val="000000" w:themeColor="text1"/>
          <w:sz w:val="24"/>
          <w14:textFill>
            <w14:solidFill>
              <w14:schemeClr w14:val="tx1"/>
            </w14:solidFill>
          </w14:textFill>
        </w:rPr>
        <w:t>的规格确定。</w:t>
      </w:r>
    </w:p>
    <w:p w14:paraId="7CF04FD4">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（5）列间撑铁的数量</w:t>
      </w:r>
      <w:r>
        <w:rPr>
          <w:rFonts w:hint="eastAsia"/>
          <w:color w:val="000000" w:themeColor="text1"/>
          <w:sz w:val="24"/>
          <w14:textFill>
            <w14:solidFill>
              <w14:schemeClr w14:val="tx1"/>
            </w14:solidFill>
          </w14:textFill>
        </w:rPr>
        <w:t>符合《</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》GB/T 51369-2019</w:t>
      </w:r>
      <w:r>
        <w:rPr>
          <w:rFonts w:hint="eastAsia"/>
          <w:color w:val="000000" w:themeColor="text1"/>
          <w:sz w:val="24"/>
          <w14:textFill>
            <w14:solidFill>
              <w14:schemeClr w14:val="tx1"/>
            </w14:solidFill>
          </w14:textFill>
        </w:rPr>
        <w:t>标准第</w:t>
      </w:r>
      <w:r>
        <w:rPr>
          <w:rFonts w:hint="eastAsia"/>
          <w:bCs/>
          <w:color w:val="000000" w:themeColor="text1"/>
          <w:sz w:val="24"/>
          <w14:textFill>
            <w14:solidFill>
              <w14:schemeClr w14:val="tx1"/>
            </w14:solidFill>
          </w14:textFill>
        </w:rPr>
        <w:t>5</w:t>
      </w:r>
      <w:r>
        <w:rPr>
          <w:bCs/>
          <w:color w:val="000000" w:themeColor="text1"/>
          <w:sz w:val="24"/>
          <w14:textFill>
            <w14:solidFill>
              <w14:schemeClr w14:val="tx1"/>
            </w14:solidFill>
          </w14:textFill>
        </w:rPr>
        <w:t xml:space="preserve">.1.6 </w:t>
      </w:r>
      <w:r>
        <w:rPr>
          <w:rFonts w:hint="eastAsia"/>
          <w:color w:val="000000" w:themeColor="text1"/>
          <w:sz w:val="24"/>
          <w14:textFill>
            <w14:solidFill>
              <w14:schemeClr w14:val="tx1"/>
            </w14:solidFill>
          </w14:textFill>
        </w:rPr>
        <w:t>条的相关规定</w:t>
      </w:r>
      <w:r>
        <w:rPr>
          <w:color w:val="000000" w:themeColor="text1"/>
          <w:sz w:val="24"/>
          <w14:textFill>
            <w14:solidFill>
              <w14:schemeClr w14:val="tx1"/>
            </w14:solidFill>
          </w14:textFill>
        </w:rPr>
        <w:t>。当设防烈度为7度及7度以下时，可</w:t>
      </w:r>
      <w:r>
        <w:rPr>
          <w:rFonts w:hint="eastAsia"/>
          <w:color w:val="000000" w:themeColor="text1"/>
          <w:sz w:val="24"/>
          <w14:textFill>
            <w14:solidFill>
              <w14:schemeClr w14:val="tx1"/>
            </w14:solidFill>
          </w14:textFill>
        </w:rPr>
        <w:t>不设联结架</w:t>
      </w:r>
      <w:r>
        <w:rPr>
          <w:color w:val="000000" w:themeColor="text1"/>
          <w:sz w:val="24"/>
          <w14:textFill>
            <w14:solidFill>
              <w14:schemeClr w14:val="tx1"/>
            </w14:solidFill>
          </w14:textFill>
        </w:rPr>
        <w:t>斜撑。</w:t>
      </w:r>
      <w:r>
        <w:rPr>
          <w:rFonts w:hint="eastAsia"/>
          <w:color w:val="000000" w:themeColor="text1"/>
          <w:sz w:val="24"/>
          <w14:textFill>
            <w14:solidFill>
              <w14:schemeClr w14:val="tx1"/>
            </w14:solidFill>
          </w14:textFill>
        </w:rPr>
        <w:t>当设防烈度为8度以上（含8度）时，应按标准中图4</w:t>
      </w:r>
      <w:r>
        <w:rPr>
          <w:color w:val="000000" w:themeColor="text1"/>
          <w:sz w:val="24"/>
          <w14:textFill>
            <w14:solidFill>
              <w14:schemeClr w14:val="tx1"/>
            </w14:solidFill>
          </w14:textFill>
        </w:rPr>
        <w:t>.3.1</w:t>
      </w:r>
      <w:r>
        <w:rPr>
          <w:rFonts w:hint="eastAsia"/>
          <w:color w:val="000000" w:themeColor="text1"/>
          <w:sz w:val="24"/>
          <w14:textFill>
            <w14:solidFill>
              <w14:schemeClr w14:val="tx1"/>
            </w14:solidFill>
          </w14:textFill>
        </w:rPr>
        <w:t>所示方法每6架设备加设一道斜撑，并隔列设置。斜撑与上梁、连固铁、列间撑铁、旁侧撑铁应在一个安装平面。</w:t>
      </w:r>
    </w:p>
    <w:p w14:paraId="2A33620A">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（6）在8度及8度以上抗震设防地区安装</w:t>
      </w:r>
      <w:r>
        <w:rPr>
          <w:rFonts w:hint="eastAsia"/>
          <w:color w:val="000000" w:themeColor="text1"/>
          <w:sz w:val="24"/>
          <w14:textFill>
            <w14:solidFill>
              <w14:schemeClr w14:val="tx1"/>
            </w14:solidFill>
          </w14:textFill>
        </w:rPr>
        <w:t>列走线架</w:t>
      </w:r>
      <w:r>
        <w:rPr>
          <w:color w:val="000000" w:themeColor="text1"/>
          <w:sz w:val="24"/>
          <w14:textFill>
            <w14:solidFill>
              <w14:schemeClr w14:val="tx1"/>
            </w14:solidFill>
          </w14:textFill>
        </w:rPr>
        <w:t>时，</w:t>
      </w:r>
      <w:r>
        <w:rPr>
          <w:rFonts w:hint="eastAsia"/>
          <w:color w:val="000000" w:themeColor="text1"/>
          <w:sz w:val="24"/>
          <w14:textFill>
            <w14:solidFill>
              <w14:schemeClr w14:val="tx1"/>
            </w14:solidFill>
          </w14:textFill>
        </w:rPr>
        <w:t>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第5</w:t>
      </w:r>
      <w:r>
        <w:rPr>
          <w:color w:val="000000" w:themeColor="text1"/>
          <w:sz w:val="24"/>
          <w14:textFill>
            <w14:solidFill>
              <w14:schemeClr w14:val="tx1"/>
            </w14:solidFill>
          </w14:textFill>
        </w:rPr>
        <w:t>.1.8</w:t>
      </w:r>
      <w:r>
        <w:rPr>
          <w:rFonts w:hint="eastAsia"/>
          <w:color w:val="000000" w:themeColor="text1"/>
          <w:sz w:val="24"/>
          <w14:textFill>
            <w14:solidFill>
              <w14:schemeClr w14:val="tx1"/>
            </w14:solidFill>
          </w14:textFill>
        </w:rPr>
        <w:t>条</w:t>
      </w:r>
      <w:r>
        <w:rPr>
          <w:color w:val="000000" w:themeColor="text1"/>
          <w:sz w:val="24"/>
          <w14:textFill>
            <w14:solidFill>
              <w14:schemeClr w14:val="tx1"/>
            </w14:solidFill>
          </w14:textFill>
        </w:rPr>
        <w:t>的相关</w:t>
      </w:r>
      <w:r>
        <w:rPr>
          <w:rFonts w:hint="eastAsia"/>
          <w:color w:val="000000" w:themeColor="text1"/>
          <w:sz w:val="24"/>
          <w14:textFill>
            <w14:solidFill>
              <w14:schemeClr w14:val="tx1"/>
            </w14:solidFill>
          </w14:textFill>
        </w:rPr>
        <w:t>要求：列走线架安装在机列上方，列走线架宜与机列同宽；</w:t>
      </w:r>
      <w:r>
        <w:rPr>
          <w:color w:val="000000" w:themeColor="text1"/>
          <w:sz w:val="24"/>
          <w14:textFill>
            <w14:solidFill>
              <w14:schemeClr w14:val="tx1"/>
            </w14:solidFill>
          </w14:textFill>
        </w:rPr>
        <w:t>列</w:t>
      </w:r>
      <w:r>
        <w:rPr>
          <w:rFonts w:hint="eastAsia"/>
          <w:color w:val="000000" w:themeColor="text1"/>
          <w:sz w:val="24"/>
          <w14:textFill>
            <w14:solidFill>
              <w14:schemeClr w14:val="tx1"/>
            </w14:solidFill>
          </w14:textFill>
        </w:rPr>
        <w:t>走线架应每隔1</w:t>
      </w:r>
      <w:r>
        <w:rPr>
          <w:color w:val="000000" w:themeColor="text1"/>
          <w:sz w:val="24"/>
          <w14:textFill>
            <w14:solidFill>
              <w14:schemeClr w14:val="tx1"/>
            </w14:solidFill>
          </w14:textFill>
        </w:rPr>
        <w:t>500mm</w:t>
      </w:r>
      <w:r>
        <w:rPr>
          <w:rFonts w:hint="eastAsia"/>
          <w:color w:val="000000" w:themeColor="text1"/>
          <w:sz w:val="24"/>
          <w14:textFill>
            <w14:solidFill>
              <w14:schemeClr w14:val="tx1"/>
            </w14:solidFill>
          </w14:textFill>
        </w:rPr>
        <w:t>与联结架上梁锚固，其端部应与列端的连固铁锚固；每开间至少设一根旁侧撑铁（或上梁延长）与承重墙或房柱锚固；对非满装机列的走线架应在中间和列端设置由型钢组成的临时立柱，中间立柱间距应不大于2</w:t>
      </w:r>
      <w:r>
        <w:rPr>
          <w:color w:val="000000" w:themeColor="text1"/>
          <w:sz w:val="24"/>
          <w14:textFill>
            <w14:solidFill>
              <w14:schemeClr w14:val="tx1"/>
            </w14:solidFill>
          </w14:textFill>
        </w:rPr>
        <w:t>000mm</w:t>
      </w:r>
      <w:r>
        <w:rPr>
          <w:rFonts w:hint="eastAsia"/>
          <w:color w:val="000000" w:themeColor="text1"/>
          <w:sz w:val="24"/>
          <w14:textFill>
            <w14:solidFill>
              <w14:schemeClr w14:val="tx1"/>
            </w14:solidFill>
          </w14:textFill>
        </w:rPr>
        <w:t>。立柱采用4个M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锚栓与地面锚固。</w:t>
      </w:r>
    </w:p>
    <w:p w14:paraId="1044F460">
      <w:pPr>
        <w:tabs>
          <w:tab w:val="left" w:pos="567"/>
        </w:tabs>
        <w:spacing w:line="360" w:lineRule="auto"/>
        <w:ind w:firstLine="480"/>
        <w:rPr>
          <w:color w:val="000000" w:themeColor="text1"/>
          <w:sz w:val="24"/>
          <w14:textFill>
            <w14:solidFill>
              <w14:schemeClr w14:val="tx1"/>
            </w14:solidFill>
          </w14:textFill>
        </w:rPr>
      </w:pPr>
      <w:bookmarkStart w:id="379" w:name="_Hlk112656585"/>
      <w:r>
        <w:rPr>
          <w:color w:val="000000" w:themeColor="text1"/>
          <w:sz w:val="24"/>
          <w14:textFill>
            <w14:solidFill>
              <w14:schemeClr w14:val="tx1"/>
            </w14:solidFill>
          </w14:textFill>
        </w:rPr>
        <w:t>（7）</w:t>
      </w:r>
      <w:r>
        <w:rPr>
          <w:rFonts w:hint="eastAsia"/>
          <w:color w:val="000000" w:themeColor="text1"/>
          <w:sz w:val="24"/>
          <w14:textFill>
            <w14:solidFill>
              <w14:schemeClr w14:val="tx1"/>
            </w14:solidFill>
          </w14:textFill>
        </w:rPr>
        <w:t>室外地面安装的通信设备在满足基本抗震性能要求的情况下，应按自立式设备进行安装抗震设计。室外设备底部与地面基础间锚栓规格除应按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条确认外，6度~</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度抗震设防时，尚应采用不小于4个M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的锚栓。</w:t>
      </w:r>
    </w:p>
    <w:p w14:paraId="405FB914">
      <w:pPr>
        <w:tabs>
          <w:tab w:val="left" w:pos="567"/>
        </w:tabs>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（8）无法用螺栓与地面</w:t>
      </w:r>
      <w:r>
        <w:rPr>
          <w:rFonts w:hint="eastAsia"/>
          <w:color w:val="000000" w:themeColor="text1"/>
          <w:sz w:val="24"/>
          <w14:textFill>
            <w14:solidFill>
              <w14:schemeClr w14:val="tx1"/>
            </w14:solidFill>
          </w14:textFill>
        </w:rPr>
        <w:t>直接锚固的通信设备，应在设备</w:t>
      </w:r>
      <w:r>
        <w:rPr>
          <w:color w:val="000000" w:themeColor="text1"/>
          <w:sz w:val="24"/>
          <w14:textFill>
            <w14:solidFill>
              <w14:schemeClr w14:val="tx1"/>
            </w14:solidFill>
          </w14:textFill>
        </w:rPr>
        <w:t>前后各用 L 型抗震防滑</w:t>
      </w:r>
      <w:r>
        <w:rPr>
          <w:rFonts w:hint="eastAsia"/>
          <w:color w:val="000000" w:themeColor="text1"/>
          <w:sz w:val="24"/>
          <w14:textFill>
            <w14:solidFill>
              <w14:schemeClr w14:val="tx1"/>
            </w14:solidFill>
          </w14:textFill>
        </w:rPr>
        <w:t>铁件进行锚固。设备底部用L形抗震防滑铁件锚固时，防滑铁件板厚和锚栓规格应符合</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bCs/>
          <w:color w:val="000000" w:themeColor="text1"/>
          <w:sz w:val="24"/>
          <w14:textFill>
            <w14:solidFill>
              <w14:schemeClr w14:val="tx1"/>
            </w14:solidFill>
          </w14:textFill>
        </w:rPr>
        <w:t>标准中</w:t>
      </w:r>
      <w:r>
        <w:rPr>
          <w:rFonts w:hint="eastAsia"/>
          <w:color w:val="000000" w:themeColor="text1"/>
          <w:sz w:val="24"/>
          <w14:textFill>
            <w14:solidFill>
              <w14:schemeClr w14:val="tx1"/>
            </w14:solidFill>
          </w14:textFill>
        </w:rPr>
        <w:t>图4</w:t>
      </w:r>
      <w:r>
        <w:rPr>
          <w:color w:val="000000" w:themeColor="text1"/>
          <w:sz w:val="24"/>
          <w14:textFill>
            <w14:solidFill>
              <w14:schemeClr w14:val="tx1"/>
            </w14:solidFill>
          </w14:textFill>
        </w:rPr>
        <w:t>.5.1</w:t>
      </w:r>
      <w:r>
        <w:rPr>
          <w:rFonts w:hint="eastAsia"/>
          <w:color w:val="000000" w:themeColor="text1"/>
          <w:sz w:val="24"/>
          <w14:textFill>
            <w14:solidFill>
              <w14:schemeClr w14:val="tx1"/>
            </w14:solidFill>
          </w14:textFill>
        </w:rPr>
        <w:t>规定。</w:t>
      </w:r>
    </w:p>
    <w:p w14:paraId="334C0291">
      <w:pPr>
        <w:tabs>
          <w:tab w:val="left" w:pos="567"/>
        </w:tabs>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w:t>
      </w:r>
      <w:r>
        <w:rPr>
          <w:color w:val="000000" w:themeColor="text1"/>
          <w:sz w:val="24"/>
          <w14:textFill>
            <w14:solidFill>
              <w14:schemeClr w14:val="tx1"/>
            </w14:solidFill>
          </w14:textFill>
        </w:rPr>
        <w:t>9</w:t>
      </w:r>
      <w:r>
        <w:rPr>
          <w:rFonts w:hint="eastAsia"/>
          <w:color w:val="000000" w:themeColor="text1"/>
          <w:sz w:val="24"/>
          <w14:textFill>
            <w14:solidFill>
              <w14:schemeClr w14:val="tx1"/>
            </w14:solidFill>
          </w14:textFill>
        </w:rPr>
        <w:t>）壁挂式设备应安装在房屋结构或满足抗震需要的墙体上，重量在3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以内的壁挂式设备，应采用4个不小于M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锚栓锚固。重量大于3</w:t>
      </w:r>
      <w:r>
        <w:rPr>
          <w:color w:val="000000" w:themeColor="text1"/>
          <w:sz w:val="24"/>
          <w14:textFill>
            <w14:solidFill>
              <w14:schemeClr w14:val="tx1"/>
            </w14:solidFill>
          </w14:textFill>
        </w:rPr>
        <w:t>5Kg</w:t>
      </w:r>
      <w:r>
        <w:rPr>
          <w:rFonts w:hint="eastAsia"/>
          <w:color w:val="000000" w:themeColor="text1"/>
          <w:sz w:val="24"/>
          <w14:textFill>
            <w14:solidFill>
              <w14:schemeClr w14:val="tx1"/>
            </w14:solidFill>
          </w14:textFill>
        </w:rPr>
        <w:t>的壁挂式设备，其锚栓应按</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条确定。</w:t>
      </w:r>
    </w:p>
    <w:bookmarkEnd w:id="378"/>
    <w:bookmarkEnd w:id="379"/>
    <w:p w14:paraId="060B476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0" w:name="_Toc72745789"/>
      <w:bookmarkStart w:id="381" w:name="_Toc132902881"/>
      <w:r>
        <w:rPr>
          <w:rFonts w:hint="eastAsia" w:ascii="黑体" w:hAnsi="黑体" w:eastAsia="黑体" w:cs="Times New Roman"/>
          <w:color w:val="000000" w:themeColor="text1"/>
          <w:sz w:val="28"/>
          <w:szCs w:val="28"/>
          <w14:textFill>
            <w14:solidFill>
              <w14:schemeClr w14:val="tx1"/>
            </w14:solidFill>
          </w14:textFill>
        </w:rPr>
        <w:t>防疫期间施工现场安全生产要求</w:t>
      </w:r>
      <w:bookmarkEnd w:id="380"/>
      <w:bookmarkEnd w:id="381"/>
    </w:p>
    <w:p w14:paraId="79BEDBE8">
      <w:pPr>
        <w:pStyle w:val="50"/>
        <w:spacing w:line="360" w:lineRule="auto"/>
        <w:ind w:firstLine="480" w:firstLineChars="200"/>
        <w:rPr>
          <w:rFonts w:ascii="Times New Roman" w:hAnsi="Times New Roman"/>
          <w:color w:val="000000" w:themeColor="text1"/>
          <w:sz w:val="24"/>
          <w14:textFill>
            <w14:solidFill>
              <w14:schemeClr w14:val="tx1"/>
            </w14:solidFill>
          </w14:textFill>
        </w:rPr>
      </w:pPr>
      <w:bookmarkStart w:id="382" w:name="_Toc72745790"/>
      <w:r>
        <w:rPr>
          <w:rFonts w:hint="eastAsia" w:ascii="Times New Roman" w:hAnsi="Times New Roman"/>
          <w:color w:val="000000" w:themeColor="text1"/>
          <w:sz w:val="24"/>
          <w14:textFill>
            <w14:solidFill>
              <w14:schemeClr w14:val="tx1"/>
            </w14:solidFill>
          </w14:textFill>
        </w:rPr>
        <w:t>（1）防疫期间必备防控物资</w:t>
      </w:r>
      <w:bookmarkEnd w:id="382"/>
      <w:r>
        <w:rPr>
          <w:rFonts w:hint="eastAsia" w:ascii="Times New Roman" w:hAnsi="Times New Roman"/>
          <w:color w:val="000000" w:themeColor="text1"/>
          <w:sz w:val="24"/>
          <w14:textFill>
            <w14:solidFill>
              <w14:schemeClr w14:val="tx1"/>
            </w14:solidFill>
          </w14:textFill>
        </w:rPr>
        <w:t xml:space="preserve"> </w:t>
      </w:r>
    </w:p>
    <w:p w14:paraId="2A075AE7">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a）</w:t>
      </w:r>
      <w:r>
        <w:rPr>
          <w:rFonts w:hint="eastAsia" w:ascii="宋体" w:hAnsi="宋体"/>
          <w:sz w:val="24"/>
        </w:rPr>
        <w:t>常规防控物资：口罩、口罩回收桶(袋)、体温计、消毒剂、洗手液、防护手套等物资。</w:t>
      </w:r>
    </w:p>
    <w:p w14:paraId="77372110">
      <w:pPr>
        <w:spacing w:line="360" w:lineRule="auto"/>
        <w:ind w:firstLine="480" w:firstLineChars="200"/>
        <w:rPr>
          <w:rFonts w:hint="eastAsia" w:ascii="宋体" w:hAnsi="宋体"/>
          <w:sz w:val="24"/>
        </w:rPr>
      </w:pPr>
      <w:r>
        <w:rPr>
          <w:color w:val="000000" w:themeColor="text1"/>
          <w:sz w:val="24"/>
          <w14:textFill>
            <w14:solidFill>
              <w14:schemeClr w14:val="tx1"/>
            </w14:solidFill>
          </w14:textFill>
        </w:rPr>
        <w:t>b）</w:t>
      </w:r>
      <w:r>
        <w:rPr>
          <w:rFonts w:hint="eastAsia" w:ascii="宋体" w:hAnsi="宋体"/>
          <w:sz w:val="24"/>
        </w:rPr>
        <w:t>高危区域防护用品：在高危区域施工，比如医院病区或疫区，必须配置防护服、防护手套、护目镜、N95 或 KN95 口罩，否则不得施工。</w:t>
      </w:r>
    </w:p>
    <w:p w14:paraId="18FC5827">
      <w:pPr>
        <w:spacing w:line="360" w:lineRule="auto"/>
        <w:ind w:firstLine="240" w:firstLineChars="100"/>
        <w:rPr>
          <w:rFonts w:hint="eastAsia" w:ascii="宋体" w:hAnsi="宋体"/>
          <w:sz w:val="24"/>
          <w:szCs w:val="32"/>
        </w:rPr>
      </w:pPr>
      <w:bookmarkStart w:id="383" w:name="_Toc72745791"/>
      <w:r>
        <w:rPr>
          <w:rFonts w:hint="eastAsia" w:ascii="宋体" w:hAnsi="宋体"/>
          <w:sz w:val="24"/>
          <w:szCs w:val="32"/>
        </w:rPr>
        <w:t>（2）防疫期间着装要求</w:t>
      </w:r>
      <w:bookmarkEnd w:id="383"/>
    </w:p>
    <w:p w14:paraId="23CE9507">
      <w:pPr>
        <w:spacing w:line="360" w:lineRule="auto"/>
        <w:ind w:firstLine="480" w:firstLineChars="200"/>
        <w:rPr>
          <w:rFonts w:hint="eastAsia" w:ascii="宋体" w:hAnsi="宋体"/>
          <w:sz w:val="24"/>
        </w:rPr>
      </w:pPr>
      <w:r>
        <w:rPr>
          <w:rFonts w:hint="eastAsia" w:ascii="宋体" w:hAnsi="宋体"/>
          <w:sz w:val="24"/>
        </w:rPr>
        <w:t>在非病区，除全程佩戴口罩外，应随时佩戴好工作帽(安全帽)、应着长袖衣服并将袖口扎紧，可根据情况穿戴一次性乳胶手套或抗化学和生物伤害的防护手套；在病区或疫区必须穿戴高危区域防护用品。同时注意应坚持勤洗手。</w:t>
      </w:r>
    </w:p>
    <w:p w14:paraId="4738049C">
      <w:pPr>
        <w:spacing w:line="360" w:lineRule="auto"/>
        <w:ind w:firstLine="480" w:firstLineChars="200"/>
        <w:rPr>
          <w:rFonts w:hint="eastAsia" w:ascii="宋体" w:hAnsi="宋体"/>
          <w:sz w:val="24"/>
          <w:szCs w:val="32"/>
        </w:rPr>
      </w:pPr>
      <w:bookmarkStart w:id="384" w:name="_Toc72745792"/>
      <w:r>
        <w:rPr>
          <w:rFonts w:hint="eastAsia" w:ascii="宋体" w:hAnsi="宋体"/>
          <w:sz w:val="24"/>
          <w:szCs w:val="32"/>
        </w:rPr>
        <w:t>（3）防疫期间施工现场要求</w:t>
      </w:r>
      <w:bookmarkEnd w:id="384"/>
    </w:p>
    <w:p w14:paraId="4B15B10F">
      <w:pPr>
        <w:spacing w:line="360" w:lineRule="auto"/>
        <w:ind w:firstLine="480" w:firstLineChars="200"/>
        <w:rPr>
          <w:rFonts w:hint="eastAsia" w:ascii="宋体" w:hAnsi="宋体"/>
          <w:sz w:val="24"/>
        </w:rPr>
      </w:pPr>
      <w:r>
        <w:rPr>
          <w:rFonts w:ascii="宋体" w:hAnsi="宋体" w:cs="宋体"/>
          <w:kern w:val="0"/>
          <w:sz w:val="24"/>
        </w:rPr>
        <w:t>a</w:t>
      </w:r>
      <w:r>
        <w:rPr>
          <w:rFonts w:hint="eastAsia" w:ascii="宋体" w:hAnsi="宋体" w:cs="宋体"/>
          <w:kern w:val="0"/>
          <w:sz w:val="24"/>
        </w:rPr>
        <w:t xml:space="preserve">) </w:t>
      </w:r>
      <w:r>
        <w:rPr>
          <w:rFonts w:hint="eastAsia" w:ascii="宋体" w:hAnsi="宋体"/>
          <w:sz w:val="24"/>
        </w:rPr>
        <w:t>班前教育：每天的班前安全教育应增加新型冠状病毒肺炎防控内容，确保每班都将防控工作落实到位。</w:t>
      </w:r>
    </w:p>
    <w:p w14:paraId="1A3664DE">
      <w:pPr>
        <w:spacing w:line="360" w:lineRule="auto"/>
        <w:ind w:firstLine="480" w:firstLineChars="200"/>
        <w:rPr>
          <w:rFonts w:hint="eastAsia" w:ascii="宋体" w:hAnsi="宋体"/>
          <w:sz w:val="24"/>
        </w:rPr>
      </w:pPr>
      <w:r>
        <w:rPr>
          <w:rFonts w:ascii="宋体" w:hAnsi="宋体" w:cs="宋体"/>
          <w:kern w:val="0"/>
          <w:sz w:val="24"/>
        </w:rPr>
        <w:t>b</w:t>
      </w:r>
      <w:r>
        <w:rPr>
          <w:rFonts w:hint="eastAsia" w:ascii="宋体" w:hAnsi="宋体" w:cs="宋体"/>
          <w:kern w:val="0"/>
          <w:sz w:val="24"/>
        </w:rPr>
        <w:t xml:space="preserve">) </w:t>
      </w:r>
      <w:r>
        <w:rPr>
          <w:rFonts w:hint="eastAsia" w:ascii="宋体" w:hAnsi="宋体"/>
          <w:sz w:val="24"/>
        </w:rPr>
        <w:t>避免动物：野外作业时应避免与各类牲畜、宠物、野生动物接触。</w:t>
      </w:r>
    </w:p>
    <w:p w14:paraId="33C85903">
      <w:pPr>
        <w:spacing w:line="360" w:lineRule="auto"/>
        <w:ind w:firstLine="480" w:firstLineChars="200"/>
        <w:rPr>
          <w:rFonts w:hint="eastAsia" w:ascii="宋体" w:hAnsi="宋体"/>
          <w:sz w:val="24"/>
        </w:rPr>
      </w:pPr>
      <w:r>
        <w:rPr>
          <w:rFonts w:ascii="宋体" w:hAnsi="宋体" w:cs="宋体"/>
          <w:kern w:val="0"/>
          <w:sz w:val="24"/>
        </w:rPr>
        <w:t>c</w:t>
      </w:r>
      <w:r>
        <w:rPr>
          <w:rFonts w:hint="eastAsia" w:ascii="宋体" w:hAnsi="宋体" w:cs="宋体"/>
          <w:kern w:val="0"/>
          <w:sz w:val="24"/>
        </w:rPr>
        <w:t xml:space="preserve">) </w:t>
      </w:r>
      <w:r>
        <w:rPr>
          <w:rFonts w:hint="eastAsia" w:ascii="宋体" w:hAnsi="宋体"/>
          <w:sz w:val="24"/>
        </w:rPr>
        <w:t>减少接触：尽量减少施工人员相互间的接触。</w:t>
      </w:r>
    </w:p>
    <w:p w14:paraId="280BA30E">
      <w:pPr>
        <w:spacing w:line="360" w:lineRule="auto"/>
        <w:ind w:firstLine="480" w:firstLineChars="200"/>
        <w:rPr>
          <w:rFonts w:hint="eastAsia" w:ascii="宋体" w:hAnsi="宋体"/>
          <w:sz w:val="24"/>
        </w:rPr>
      </w:pPr>
      <w:r>
        <w:rPr>
          <w:rFonts w:ascii="宋体" w:hAnsi="宋体" w:cs="宋体"/>
          <w:kern w:val="0"/>
          <w:sz w:val="24"/>
        </w:rPr>
        <w:t>d</w:t>
      </w:r>
      <w:r>
        <w:rPr>
          <w:rFonts w:hint="eastAsia" w:ascii="宋体" w:hAnsi="宋体" w:cs="宋体"/>
          <w:kern w:val="0"/>
          <w:sz w:val="24"/>
        </w:rPr>
        <w:t xml:space="preserve">) </w:t>
      </w:r>
      <w:r>
        <w:rPr>
          <w:rFonts w:hint="eastAsia" w:ascii="宋体" w:hAnsi="宋体"/>
          <w:sz w:val="24"/>
        </w:rPr>
        <w:t>减少聚集：施工时尽可能避开人员密集区域，并做适当的人员疏散，必要时减少每班施工人员数量。</w:t>
      </w:r>
    </w:p>
    <w:p w14:paraId="617B1731">
      <w:pPr>
        <w:spacing w:line="360" w:lineRule="auto"/>
        <w:ind w:firstLine="480" w:firstLineChars="200"/>
        <w:rPr>
          <w:rFonts w:hint="eastAsia" w:ascii="宋体" w:hAnsi="宋体"/>
          <w:sz w:val="24"/>
        </w:rPr>
      </w:pPr>
      <w:r>
        <w:rPr>
          <w:rFonts w:ascii="宋体" w:hAnsi="宋体" w:cs="宋体"/>
          <w:kern w:val="0"/>
          <w:sz w:val="24"/>
        </w:rPr>
        <w:t>e</w:t>
      </w:r>
      <w:r>
        <w:rPr>
          <w:rFonts w:hint="eastAsia" w:ascii="宋体" w:hAnsi="宋体" w:cs="宋体"/>
          <w:kern w:val="0"/>
          <w:sz w:val="24"/>
        </w:rPr>
        <w:t xml:space="preserve">) </w:t>
      </w:r>
      <w:r>
        <w:rPr>
          <w:rFonts w:hint="eastAsia" w:ascii="宋体" w:hAnsi="宋体"/>
          <w:sz w:val="24"/>
        </w:rPr>
        <w:t>确保通风：室内施工或有限空间作业时应保持环境空气对流通风，在不影响室内通信生产设备运行和安全生产的前提下，可适当开窗换气；无法开窗或在有限空间作业时应增设施工用换气扇。</w:t>
      </w:r>
    </w:p>
    <w:p w14:paraId="4A359B1A">
      <w:pPr>
        <w:spacing w:line="360" w:lineRule="auto"/>
        <w:ind w:firstLine="480" w:firstLineChars="200"/>
        <w:rPr>
          <w:rFonts w:hint="eastAsia" w:ascii="宋体" w:hAnsi="宋体"/>
          <w:sz w:val="24"/>
        </w:rPr>
      </w:pPr>
      <w:r>
        <w:rPr>
          <w:rFonts w:ascii="宋体" w:hAnsi="宋体" w:cs="宋体"/>
          <w:kern w:val="0"/>
          <w:sz w:val="24"/>
        </w:rPr>
        <w:t>f</w:t>
      </w:r>
      <w:r>
        <w:rPr>
          <w:rFonts w:hint="eastAsia" w:ascii="宋体" w:hAnsi="宋体" w:cs="宋体"/>
          <w:kern w:val="0"/>
          <w:sz w:val="24"/>
        </w:rPr>
        <w:t xml:space="preserve">) </w:t>
      </w:r>
      <w:r>
        <w:rPr>
          <w:rFonts w:hint="eastAsia" w:ascii="宋体" w:hAnsi="宋体"/>
          <w:sz w:val="24"/>
        </w:rPr>
        <w:t>现场消毒：施工现场为室内且施工区域较长时间相对固定的，应要求施工单位参照办公场所消杀要求，每天至少消杀两次；人员较多的应增加消杀频次。</w:t>
      </w:r>
    </w:p>
    <w:p w14:paraId="058C084B">
      <w:pPr>
        <w:spacing w:line="360" w:lineRule="auto"/>
        <w:ind w:firstLine="480" w:firstLineChars="200"/>
        <w:rPr>
          <w:rFonts w:hint="eastAsia" w:ascii="宋体" w:hAnsi="宋体"/>
          <w:sz w:val="24"/>
        </w:rPr>
      </w:pPr>
      <w:r>
        <w:rPr>
          <w:rFonts w:ascii="宋体" w:hAnsi="宋体" w:cs="宋体"/>
          <w:kern w:val="0"/>
          <w:sz w:val="24"/>
        </w:rPr>
        <w:t>g</w:t>
      </w:r>
      <w:r>
        <w:rPr>
          <w:rFonts w:hint="eastAsia" w:ascii="宋体" w:hAnsi="宋体" w:cs="宋体"/>
          <w:kern w:val="0"/>
          <w:sz w:val="24"/>
        </w:rPr>
        <w:t xml:space="preserve">) </w:t>
      </w:r>
      <w:r>
        <w:rPr>
          <w:rFonts w:hint="eastAsia" w:ascii="宋体" w:hAnsi="宋体"/>
          <w:sz w:val="24"/>
        </w:rPr>
        <w:t>施工车辆及工器具：每班结束后，施工车辆内外、车把手和各类工器具，每天应至少消杀 1 次；使用较频繁的，应增加消杀频次。</w:t>
      </w:r>
    </w:p>
    <w:p w14:paraId="6826E289">
      <w:pPr>
        <w:spacing w:line="360" w:lineRule="auto"/>
        <w:ind w:firstLine="480" w:firstLineChars="200"/>
        <w:rPr>
          <w:rFonts w:hint="eastAsia" w:ascii="宋体" w:hAnsi="宋体"/>
          <w:sz w:val="24"/>
        </w:rPr>
      </w:pPr>
      <w:r>
        <w:rPr>
          <w:rFonts w:ascii="宋体" w:hAnsi="宋体" w:cs="宋体"/>
          <w:kern w:val="0"/>
          <w:sz w:val="24"/>
        </w:rPr>
        <w:t>h</w:t>
      </w:r>
      <w:r>
        <w:rPr>
          <w:rFonts w:hint="eastAsia" w:ascii="宋体" w:hAnsi="宋体" w:cs="宋体"/>
          <w:kern w:val="0"/>
          <w:sz w:val="24"/>
        </w:rPr>
        <w:t xml:space="preserve">) </w:t>
      </w:r>
      <w:r>
        <w:rPr>
          <w:rFonts w:hint="eastAsia" w:ascii="宋体" w:hAnsi="宋体"/>
          <w:sz w:val="24"/>
        </w:rPr>
        <w:t>工装处理：一次性防护用品应每班处置；可多次使用的防护用品应每班消毒。工装外套在每班结束后应晾挂于通风处。</w:t>
      </w:r>
    </w:p>
    <w:p w14:paraId="36CD91F0">
      <w:pPr>
        <w:spacing w:line="360" w:lineRule="auto"/>
        <w:ind w:firstLine="480" w:firstLineChars="200"/>
        <w:rPr>
          <w:rFonts w:hint="eastAsia" w:ascii="宋体" w:hAnsi="宋体"/>
          <w:sz w:val="24"/>
        </w:rPr>
      </w:pPr>
      <w:r>
        <w:rPr>
          <w:rFonts w:ascii="宋体" w:hAnsi="宋体" w:cs="宋体"/>
          <w:kern w:val="0"/>
          <w:sz w:val="24"/>
        </w:rPr>
        <w:t>i</w:t>
      </w:r>
      <w:r>
        <w:rPr>
          <w:rFonts w:hint="eastAsia" w:ascii="宋体" w:hAnsi="宋体" w:cs="宋体"/>
          <w:kern w:val="0"/>
          <w:sz w:val="24"/>
        </w:rPr>
        <w:t xml:space="preserve">) </w:t>
      </w:r>
      <w:r>
        <w:rPr>
          <w:rFonts w:hint="eastAsia" w:ascii="宋体" w:hAnsi="宋体"/>
          <w:sz w:val="24"/>
        </w:rPr>
        <w:t>勤于洗手：每班结束时或施工现场收工时应立即洗手；外勤现场若无清水，可以使用含酒精的消毒产品清洁双手。</w:t>
      </w:r>
    </w:p>
    <w:p w14:paraId="07647ACF">
      <w:pPr>
        <w:spacing w:line="360" w:lineRule="auto"/>
        <w:ind w:firstLine="480" w:firstLineChars="200"/>
        <w:rPr>
          <w:rFonts w:hint="eastAsia" w:ascii="宋体" w:hAnsi="宋体"/>
          <w:sz w:val="24"/>
        </w:rPr>
      </w:pPr>
      <w:r>
        <w:rPr>
          <w:rFonts w:ascii="宋体" w:hAnsi="宋体" w:cs="宋体"/>
          <w:kern w:val="0"/>
          <w:sz w:val="24"/>
        </w:rPr>
        <w:t>j</w:t>
      </w:r>
      <w:r>
        <w:rPr>
          <w:rFonts w:hint="eastAsia" w:ascii="宋体" w:hAnsi="宋体" w:cs="宋体"/>
          <w:kern w:val="0"/>
          <w:sz w:val="24"/>
        </w:rPr>
        <w:t xml:space="preserve">) </w:t>
      </w:r>
      <w:r>
        <w:rPr>
          <w:rFonts w:hint="eastAsia" w:ascii="宋体" w:hAnsi="宋体"/>
          <w:sz w:val="24"/>
        </w:rPr>
        <w:t>口罩回收：施工现场应设置加盖密封的口罩专用回收桶，回收桶应配置塑料袋内衬。流动施工时应随车配置回收桶，因条件受限不便于配置回收桶的，可配置专用塑料袋进行收集，并按要求交指定地点回收。</w:t>
      </w:r>
    </w:p>
    <w:p w14:paraId="34C809C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5" w:name="_Toc132902882"/>
      <w:r>
        <w:rPr>
          <w:rFonts w:hint="eastAsia" w:ascii="黑体" w:hAnsi="黑体" w:eastAsia="黑体" w:cs="Times New Roman"/>
          <w:color w:val="000000" w:themeColor="text1"/>
          <w:sz w:val="28"/>
          <w:szCs w:val="28"/>
          <w14:textFill>
            <w14:solidFill>
              <w14:schemeClr w14:val="tx1"/>
            </w14:solidFill>
          </w14:textFill>
        </w:rPr>
        <w:t>汛期施工安全要求</w:t>
      </w:r>
      <w:bookmarkEnd w:id="385"/>
    </w:p>
    <w:p w14:paraId="792BE211">
      <w:pPr>
        <w:spacing w:line="360" w:lineRule="auto"/>
        <w:ind w:firstLine="480" w:firstLineChars="200"/>
        <w:rPr>
          <w:rFonts w:hint="eastAsia" w:ascii="宋体" w:hAnsi="宋体" w:cs="宋体"/>
          <w:kern w:val="0"/>
          <w:sz w:val="24"/>
        </w:rPr>
      </w:pPr>
      <w:r>
        <w:rPr>
          <w:rFonts w:hint="eastAsia" w:ascii="宋体" w:hAnsi="宋体" w:cs="宋体"/>
          <w:kern w:val="0"/>
          <w:sz w:val="24"/>
        </w:rPr>
        <w:t>（1）雷雨天气禁止从事高空作业，空旷环境中施工人员避雨时注意防雷。</w:t>
      </w:r>
    </w:p>
    <w:p w14:paraId="238CB105">
      <w:pPr>
        <w:spacing w:line="360" w:lineRule="auto"/>
        <w:ind w:firstLine="480" w:firstLineChars="200"/>
        <w:rPr>
          <w:rFonts w:hint="eastAsia" w:ascii="宋体" w:hAnsi="宋体" w:cs="宋体"/>
          <w:kern w:val="0"/>
          <w:sz w:val="24"/>
        </w:rPr>
      </w:pPr>
      <w:r>
        <w:rPr>
          <w:rFonts w:hint="eastAsia" w:ascii="宋体" w:hAnsi="宋体" w:cs="宋体"/>
          <w:kern w:val="0"/>
          <w:sz w:val="24"/>
        </w:rPr>
        <w:t>（2）施工人员应注意道路状况，防止滑倒摔伤。</w:t>
      </w:r>
    </w:p>
    <w:p w14:paraId="676FD69E">
      <w:pPr>
        <w:spacing w:line="360" w:lineRule="auto"/>
        <w:ind w:firstLine="480" w:firstLineChars="200"/>
        <w:rPr>
          <w:rFonts w:hint="eastAsia" w:ascii="宋体" w:hAnsi="宋体" w:cs="宋体"/>
          <w:kern w:val="0"/>
          <w:sz w:val="24"/>
        </w:rPr>
      </w:pPr>
      <w:r>
        <w:rPr>
          <w:rFonts w:hint="eastAsia" w:ascii="宋体" w:hAnsi="宋体" w:cs="宋体"/>
          <w:kern w:val="0"/>
          <w:sz w:val="24"/>
        </w:rPr>
        <w:t>（3）雨天及湿度过高的天气施工时，作业人员在与电力设施接触前，应检查其是否受潮漏电。</w:t>
      </w:r>
    </w:p>
    <w:p w14:paraId="48896861">
      <w:pPr>
        <w:spacing w:line="360" w:lineRule="auto"/>
        <w:ind w:firstLine="480" w:firstLineChars="200"/>
        <w:rPr>
          <w:rFonts w:hint="eastAsia" w:ascii="宋体" w:hAnsi="宋体" w:cs="宋体"/>
          <w:kern w:val="0"/>
          <w:sz w:val="24"/>
        </w:rPr>
      </w:pPr>
      <w:r>
        <w:rPr>
          <w:rFonts w:hint="eastAsia" w:ascii="宋体" w:hAnsi="宋体" w:cs="宋体"/>
          <w:kern w:val="0"/>
          <w:sz w:val="24"/>
        </w:rPr>
        <w:t>（4）施工现场的仪器仪表在不使用时要及时放在专用箱中保管。</w:t>
      </w:r>
    </w:p>
    <w:p w14:paraId="5A762A2D">
      <w:pPr>
        <w:spacing w:line="360" w:lineRule="auto"/>
        <w:ind w:firstLine="480" w:firstLineChars="200"/>
        <w:rPr>
          <w:rFonts w:hint="eastAsia" w:ascii="宋体" w:hAnsi="宋体" w:cs="宋体"/>
          <w:kern w:val="0"/>
          <w:sz w:val="24"/>
        </w:rPr>
      </w:pPr>
      <w:r>
        <w:rPr>
          <w:rFonts w:hint="eastAsia" w:ascii="宋体" w:hAnsi="宋体" w:cs="宋体"/>
          <w:kern w:val="0"/>
          <w:sz w:val="24"/>
        </w:rPr>
        <w:t>（5）下雨前，施工现场的材料应及时遮盖，对于易受潮变质的材料应采取防水、防潮措施单独存放。</w:t>
      </w:r>
    </w:p>
    <w:p w14:paraId="023CF17E">
      <w:pPr>
        <w:spacing w:line="360" w:lineRule="auto"/>
        <w:ind w:firstLine="480" w:firstLineChars="200"/>
        <w:rPr>
          <w:rFonts w:hint="eastAsia" w:ascii="宋体" w:hAnsi="宋体" w:cs="宋体"/>
          <w:kern w:val="0"/>
          <w:sz w:val="24"/>
        </w:rPr>
      </w:pPr>
      <w:r>
        <w:rPr>
          <w:rFonts w:hint="eastAsia" w:ascii="宋体" w:hAnsi="宋体" w:cs="宋体"/>
          <w:kern w:val="0"/>
          <w:sz w:val="24"/>
        </w:rPr>
        <w:t>（6）雨天行车应减速慢行。</w:t>
      </w:r>
    </w:p>
    <w:p w14:paraId="77092CE3">
      <w:pPr>
        <w:spacing w:line="360" w:lineRule="auto"/>
        <w:ind w:firstLine="480" w:firstLineChars="200"/>
        <w:rPr>
          <w:rFonts w:hint="eastAsia" w:ascii="宋体" w:hAnsi="宋体" w:cs="宋体"/>
          <w:kern w:val="0"/>
          <w:sz w:val="24"/>
        </w:rPr>
      </w:pPr>
      <w:r>
        <w:rPr>
          <w:rFonts w:hint="eastAsia" w:ascii="宋体" w:hAnsi="宋体" w:cs="宋体"/>
          <w:kern w:val="0"/>
          <w:sz w:val="24"/>
        </w:rPr>
        <w:t>（7）暂时不用的电缆应及时缩封端头，避免受潮。</w:t>
      </w:r>
    </w:p>
    <w:p w14:paraId="360BF090">
      <w:pPr>
        <w:spacing w:line="360" w:lineRule="auto"/>
        <w:ind w:firstLine="480" w:firstLineChars="200"/>
        <w:rPr>
          <w:rFonts w:hint="eastAsia" w:ascii="宋体" w:hAnsi="宋体" w:cs="宋体"/>
          <w:kern w:val="0"/>
          <w:sz w:val="24"/>
        </w:rPr>
      </w:pPr>
      <w:r>
        <w:rPr>
          <w:rFonts w:hint="eastAsia" w:ascii="宋体" w:hAnsi="宋体" w:cs="宋体"/>
          <w:kern w:val="0"/>
          <w:sz w:val="24"/>
        </w:rPr>
        <w:t>（8）进入雨季施工前，项目部要对施工现场进行一次全面检查，对发现的问题和隐患及时处理和解决，确保施工现场周围无积水，现场安装配电设备防雨避雷设施齐全、完善、供电畅通。</w:t>
      </w:r>
    </w:p>
    <w:p w14:paraId="031884AE">
      <w:pPr>
        <w:spacing w:line="360" w:lineRule="auto"/>
        <w:ind w:firstLine="480" w:firstLineChars="200"/>
        <w:rPr>
          <w:rFonts w:hint="eastAsia" w:ascii="宋体" w:hAnsi="宋体" w:cs="宋体"/>
          <w:kern w:val="0"/>
          <w:sz w:val="24"/>
        </w:rPr>
      </w:pPr>
      <w:r>
        <w:rPr>
          <w:rFonts w:hint="eastAsia" w:ascii="宋体" w:hAnsi="宋体" w:cs="宋体"/>
          <w:kern w:val="0"/>
          <w:sz w:val="24"/>
        </w:rPr>
        <w:t>（9）做好场地外界雨水入侵工作，在所有与外界畅通雨水容易倒流地方备好若干砂袋，在暴雨来临之前用砂袋及围堰堵死，以防雨水入侵。</w:t>
      </w:r>
    </w:p>
    <w:p w14:paraId="5EA6BBCF">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0</w:t>
      </w:r>
      <w:r>
        <w:rPr>
          <w:rFonts w:hint="eastAsia" w:ascii="宋体" w:hAnsi="宋体" w:cs="宋体"/>
          <w:kern w:val="0"/>
          <w:sz w:val="24"/>
        </w:rPr>
        <w:t>）做好施工场地的排水工作计划，按施工现场的地势情况，在临建设施周围、材料库、料场、作业棚附近做好排水坡度，并与道路排水沟连接，使雨水有组织的汇入场内原有的排水系统。</w:t>
      </w:r>
    </w:p>
    <w:p w14:paraId="3D7FE1AC">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1</w:t>
      </w:r>
      <w:r>
        <w:rPr>
          <w:rFonts w:hint="eastAsia" w:ascii="宋体" w:hAnsi="宋体" w:cs="宋体"/>
          <w:kern w:val="0"/>
          <w:sz w:val="24"/>
        </w:rPr>
        <w:t>）对施工现场的防雷设施及临时用电线路和设施进行全面检查，确保电缆没有拖地，各种用电设备接地、接零保护良好、漏电保护装置齐全有效。配电箱、电缆线接头箱、电焊机等必须有防雨措施。防止水浸受潮造成漏电或设备事故。</w:t>
      </w:r>
    </w:p>
    <w:p w14:paraId="6E015C6C">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2</w:t>
      </w:r>
      <w:r>
        <w:rPr>
          <w:rFonts w:hint="eastAsia" w:ascii="宋体" w:hAnsi="宋体" w:cs="宋体"/>
          <w:kern w:val="0"/>
          <w:sz w:val="24"/>
        </w:rPr>
        <w:t>）雨季施工要做好雨期安全教育工作，保证每位施工人员要有自我安全防护意识。</w:t>
      </w:r>
    </w:p>
    <w:p w14:paraId="45438C60">
      <w:pPr>
        <w:spacing w:line="360" w:lineRule="auto"/>
        <w:ind w:firstLine="480" w:firstLineChars="200"/>
        <w:rPr>
          <w:rFonts w:hint="eastAsia" w:ascii="宋体" w:hAnsi="宋体" w:cs="宋体"/>
          <w:kern w:val="0"/>
          <w:sz w:val="24"/>
        </w:rPr>
      </w:pPr>
      <w:r>
        <w:rPr>
          <w:rFonts w:hint="eastAsia" w:ascii="宋体" w:hAnsi="宋体" w:cs="宋体"/>
          <w:kern w:val="0"/>
          <w:sz w:val="24"/>
        </w:rPr>
        <w:t>（1</w:t>
      </w:r>
      <w:r>
        <w:rPr>
          <w:rFonts w:ascii="宋体" w:hAnsi="宋体" w:cs="宋体"/>
          <w:kern w:val="0"/>
          <w:sz w:val="24"/>
        </w:rPr>
        <w:t>3</w:t>
      </w:r>
      <w:r>
        <w:rPr>
          <w:rFonts w:hint="eastAsia" w:ascii="宋体" w:hAnsi="宋体" w:cs="宋体"/>
          <w:kern w:val="0"/>
          <w:sz w:val="24"/>
        </w:rPr>
        <w:t>）充分准备防雨设施，在施工现场准备好一定数量的防雨设施材料，同时落实好防雨设施、材料的购买联系渠道，以供紧急采购之需。</w:t>
      </w:r>
    </w:p>
    <w:p w14:paraId="4B6D2381">
      <w:pPr>
        <w:spacing w:line="360" w:lineRule="auto"/>
        <w:rPr>
          <w:rFonts w:hint="eastAsia" w:ascii="宋体" w:hAnsi="宋体" w:cs="宋体"/>
          <w:kern w:val="0"/>
          <w:sz w:val="24"/>
        </w:rPr>
      </w:pPr>
    </w:p>
    <w:p w14:paraId="34F7E388">
      <w:pPr>
        <w:pStyle w:val="45"/>
        <w:numPr>
          <w:ilvl w:val="0"/>
          <w:numId w:val="1"/>
        </w:numPr>
        <w:rPr>
          <w:rFonts w:hint="eastAsia" w:ascii="黑体" w:hAnsi="黑体" w:cs="Times New Roman"/>
          <w:color w:val="000000" w:themeColor="text1"/>
          <w:sz w:val="28"/>
          <w:szCs w:val="28"/>
          <w14:textFill>
            <w14:solidFill>
              <w14:schemeClr w14:val="tx1"/>
            </w14:solidFill>
          </w14:textFill>
        </w:rPr>
      </w:pPr>
      <w:bookmarkStart w:id="386" w:name="_Toc97207336"/>
      <w:bookmarkStart w:id="387" w:name="_Toc132902883"/>
      <w:r>
        <w:rPr>
          <w:rFonts w:ascii="黑体" w:hAnsi="黑体" w:cs="Times New Roman"/>
          <w:color w:val="000000" w:themeColor="text1"/>
          <w:sz w:val="28"/>
          <w:szCs w:val="28"/>
          <w14:textFill>
            <w14:solidFill>
              <w14:schemeClr w14:val="tx1"/>
            </w14:solidFill>
          </w14:textFill>
        </w:rPr>
        <w:t>网络与信息安全及“三同步要求”</w:t>
      </w:r>
      <w:bookmarkEnd w:id="386"/>
      <w:bookmarkEnd w:id="387"/>
    </w:p>
    <w:p w14:paraId="24E09FD1">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88" w:name="_Toc54213166"/>
      <w:bookmarkStart w:id="389" w:name="_Toc132902884"/>
      <w:bookmarkStart w:id="390" w:name="_Toc54213998"/>
      <w:bookmarkStart w:id="391" w:name="_Toc54213845"/>
      <w:bookmarkStart w:id="392" w:name="_Toc97207337"/>
      <w:bookmarkStart w:id="393" w:name="_Toc54212664"/>
      <w:bookmarkStart w:id="394" w:name="_Toc54212763"/>
      <w:r>
        <w:rPr>
          <w:rFonts w:ascii="黑体" w:hAnsi="黑体" w:eastAsia="黑体" w:cs="Times New Roman"/>
          <w:color w:val="000000" w:themeColor="text1"/>
          <w:sz w:val="28"/>
          <w:szCs w:val="28"/>
          <w14:textFill>
            <w14:solidFill>
              <w14:schemeClr w14:val="tx1"/>
            </w14:solidFill>
          </w14:textFill>
        </w:rPr>
        <w:t>网络与信息安全要求</w:t>
      </w:r>
      <w:bookmarkEnd w:id="388"/>
      <w:bookmarkEnd w:id="389"/>
      <w:bookmarkEnd w:id="390"/>
      <w:bookmarkEnd w:id="391"/>
      <w:bookmarkEnd w:id="392"/>
      <w:bookmarkEnd w:id="393"/>
      <w:bookmarkEnd w:id="394"/>
    </w:p>
    <w:p w14:paraId="585FCC5F">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bookmarkStart w:id="395" w:name="_Toc494104348"/>
      <w:bookmarkStart w:id="396" w:name="_Toc41997749"/>
      <w:r>
        <w:rPr>
          <w:rFonts w:ascii="宋体" w:hAnsi="宋体" w:eastAsia="宋体" w:cs="Times New Roman"/>
          <w:b w:val="0"/>
          <w:bCs w:val="0"/>
          <w:sz w:val="24"/>
          <w:szCs w:val="24"/>
        </w:rPr>
        <w:t>移动通信网及信息安全防护范围</w:t>
      </w:r>
      <w:bookmarkEnd w:id="395"/>
      <w:bookmarkEnd w:id="396"/>
    </w:p>
    <w:p w14:paraId="6E30423C">
      <w:pPr>
        <w:spacing w:line="360" w:lineRule="auto"/>
        <w:ind w:firstLine="480"/>
        <w:rPr>
          <w:sz w:val="24"/>
          <w:szCs w:val="32"/>
        </w:rPr>
      </w:pPr>
      <w:r>
        <w:rPr>
          <w:sz w:val="24"/>
          <w:szCs w:val="32"/>
        </w:rPr>
        <w:t>移动通信网是通过无线接入技术为公众用户提供移动通信业务的网络。移动通信网的安全防护范畴包括GSM/WCDMA/TD-SCDMA/CDMA2000/LTE/NR等无线网络以及与这些网络运行和业务提供相关的传送网、IP承载网、信令网、同步网和支撑网等相关系统。</w:t>
      </w:r>
    </w:p>
    <w:p w14:paraId="4C69DCF3">
      <w:pPr>
        <w:spacing w:line="360" w:lineRule="auto"/>
        <w:ind w:firstLine="480"/>
        <w:rPr>
          <w:sz w:val="24"/>
          <w:szCs w:val="32"/>
        </w:rPr>
      </w:pPr>
      <w:r>
        <w:rPr>
          <w:sz w:val="24"/>
          <w:szCs w:val="32"/>
        </w:rPr>
        <w:t>网络安全防护工作贯穿网络规划、设计、采购、建设、入网运行、维护以及下线退网整个生命周期，本设计适用于移动通信网中的无线接入子系统设计阶段的安全防护工作。</w:t>
      </w:r>
    </w:p>
    <w:p w14:paraId="144E3883">
      <w:pPr>
        <w:pStyle w:val="5"/>
        <w:keepLines w:val="0"/>
        <w:numPr>
          <w:ilvl w:val="2"/>
          <w:numId w:val="1"/>
        </w:numPr>
        <w:spacing w:before="0" w:after="0" w:line="360" w:lineRule="auto"/>
        <w:ind w:left="0" w:firstLine="0"/>
        <w:rPr>
          <w:rFonts w:hint="eastAsia" w:ascii="宋体" w:hAnsi="宋体" w:eastAsia="宋体" w:cs="Times New Roman"/>
          <w:b w:val="0"/>
          <w:bCs w:val="0"/>
          <w:sz w:val="24"/>
          <w:szCs w:val="24"/>
        </w:rPr>
      </w:pPr>
      <w:r>
        <w:rPr>
          <w:rFonts w:ascii="宋体" w:hAnsi="宋体" w:eastAsia="宋体" w:cs="Times New Roman"/>
          <w:b w:val="0"/>
          <w:bCs w:val="0"/>
          <w:sz w:val="24"/>
          <w:szCs w:val="24"/>
        </w:rPr>
        <w:t>移动通信网及安全防护内容</w:t>
      </w:r>
    </w:p>
    <w:p w14:paraId="17DAB217">
      <w:pPr>
        <w:spacing w:line="360" w:lineRule="auto"/>
        <w:ind w:firstLine="480"/>
        <w:rPr>
          <w:sz w:val="24"/>
          <w:szCs w:val="32"/>
        </w:rPr>
      </w:pPr>
      <w:r>
        <w:rPr>
          <w:sz w:val="24"/>
          <w:szCs w:val="32"/>
        </w:rPr>
        <w:t>根据电信网和互联网安全防护体系的要求，将移动通信网安全防护内容分为安全风险评估、安全等级保护和灾难备份及恢复3个部分。</w:t>
      </w:r>
    </w:p>
    <w:p w14:paraId="3BEECE2F">
      <w:pPr>
        <w:spacing w:line="360" w:lineRule="auto"/>
        <w:ind w:firstLine="480" w:firstLineChars="200"/>
        <w:rPr>
          <w:sz w:val="24"/>
          <w:szCs w:val="32"/>
        </w:rPr>
      </w:pPr>
      <w:r>
        <w:rPr>
          <w:sz w:val="24"/>
          <w:szCs w:val="32"/>
        </w:rPr>
        <w:t>（1）移动通信网安全风险评估</w:t>
      </w:r>
    </w:p>
    <w:p w14:paraId="5368B2E5">
      <w:pPr>
        <w:spacing w:line="360" w:lineRule="auto"/>
        <w:ind w:firstLine="480"/>
        <w:rPr>
          <w:sz w:val="24"/>
          <w:szCs w:val="32"/>
        </w:rPr>
      </w:pPr>
      <w:r>
        <w:rPr>
          <w:sz w:val="24"/>
          <w:szCs w:val="32"/>
        </w:rPr>
        <w:t>主要包括资产识别、脆弱性识别、威胁识别、己有安全措施的确认、风险分析和风险评估文件记录等。本设计仅对移动通信网进行资产分析、脆弱性分析、威胁分析，在移动通信网安全风险评估过程中确定各个资产、脆弱性、威胁的具体值，资产、脆弱性、威胁的赋值方法及资产价值、风险值的计算方法参见《电信网和互联网安全风险评估实施指南》。</w:t>
      </w:r>
    </w:p>
    <w:p w14:paraId="72A3E284">
      <w:pPr>
        <w:spacing w:line="360" w:lineRule="auto"/>
        <w:ind w:firstLine="480" w:firstLineChars="200"/>
        <w:rPr>
          <w:sz w:val="24"/>
          <w:szCs w:val="32"/>
        </w:rPr>
      </w:pPr>
      <w:r>
        <w:rPr>
          <w:sz w:val="24"/>
          <w:szCs w:val="32"/>
        </w:rPr>
        <w:t>（2）移动通信网安全等级保护</w:t>
      </w:r>
    </w:p>
    <w:p w14:paraId="1435CE4D">
      <w:pPr>
        <w:spacing w:line="360" w:lineRule="auto"/>
        <w:ind w:firstLine="480"/>
        <w:rPr>
          <w:sz w:val="24"/>
          <w:szCs w:val="32"/>
        </w:rPr>
      </w:pPr>
      <w:r>
        <w:rPr>
          <w:sz w:val="24"/>
          <w:szCs w:val="32"/>
        </w:rPr>
        <w:t>主要包括定级对象和安全等级确定、业务安全、网络安全、设备安全、物理环境安全和管理安全等。</w:t>
      </w:r>
    </w:p>
    <w:p w14:paraId="6F382C9F">
      <w:pPr>
        <w:spacing w:line="360" w:lineRule="auto"/>
        <w:ind w:firstLine="480" w:firstLineChars="200"/>
        <w:rPr>
          <w:sz w:val="24"/>
          <w:szCs w:val="32"/>
        </w:rPr>
      </w:pPr>
      <w:r>
        <w:rPr>
          <w:sz w:val="24"/>
          <w:szCs w:val="32"/>
        </w:rPr>
        <w:t>（3）移动通信网灾难备份及恢复</w:t>
      </w:r>
    </w:p>
    <w:p w14:paraId="5914C8FF">
      <w:pPr>
        <w:spacing w:line="360" w:lineRule="auto"/>
        <w:ind w:firstLine="480"/>
        <w:rPr>
          <w:sz w:val="24"/>
          <w:szCs w:val="32"/>
        </w:rPr>
      </w:pPr>
      <w:r>
        <w:rPr>
          <w:sz w:val="24"/>
          <w:szCs w:val="32"/>
        </w:rPr>
        <w:t>主要包括灾难备份及恢复等级确定、针对灾难备份及恢复各资源要素的具体实施等。</w:t>
      </w:r>
    </w:p>
    <w:p w14:paraId="0D6FB495">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通用安全属性要求</w:t>
      </w:r>
    </w:p>
    <w:p w14:paraId="116F78B8">
      <w:pPr>
        <w:spacing w:line="360" w:lineRule="auto"/>
        <w:ind w:firstLine="480"/>
        <w:rPr>
          <w:sz w:val="24"/>
          <w:szCs w:val="32"/>
        </w:rPr>
      </w:pPr>
      <w:r>
        <w:rPr>
          <w:sz w:val="24"/>
          <w:szCs w:val="32"/>
        </w:rPr>
        <w:t>通用性安全要求即保证信息的完整性、保密性和可用性。信息的保密性，就是具有一定保密程度的信息只能让有权读到或更改的人读到和更改。信息的完整性是指在存储或传输信息的过程中，原始的信息不能允许被随意更改。信息的可用性是指，对于信息的合法拥有和使用者，在他们需要这些信息的任何时候，都应该保障他们能够及时得到所需要的信息。具体涉及如下方面：</w:t>
      </w:r>
    </w:p>
    <w:p w14:paraId="7C76F458">
      <w:pPr>
        <w:spacing w:line="360" w:lineRule="auto"/>
        <w:ind w:firstLine="480"/>
        <w:rPr>
          <w:sz w:val="24"/>
          <w:szCs w:val="32"/>
        </w:rPr>
      </w:pPr>
      <w:r>
        <w:rPr>
          <w:sz w:val="24"/>
          <w:szCs w:val="32"/>
        </w:rPr>
        <w:t>（1）所有平台类系统（应用系统和网管系统）的网络设备配置应满足基线配置规范。系统的端口和服务等基础安全信息须进行备案，所有必须开放的端口其对应的应用软件和功用必须列表登记，不允许存在非必要的开放端口。对操作系统、数据库、中间件、网络设备实施安全基线配置，包含口令账号管理、密码复杂度配置、开启安全审计、关闭危险服务等，确保配置的安全性。</w:t>
      </w:r>
    </w:p>
    <w:p w14:paraId="7A88DB70">
      <w:pPr>
        <w:spacing w:line="360" w:lineRule="auto"/>
        <w:ind w:firstLine="480"/>
        <w:rPr>
          <w:sz w:val="24"/>
          <w:szCs w:val="32"/>
        </w:rPr>
      </w:pPr>
      <w:r>
        <w:rPr>
          <w:sz w:val="24"/>
          <w:szCs w:val="32"/>
        </w:rPr>
        <w:t>（2）所有平台类系统（应用系统和网管系统）应纳入集中监控，通过部署异常流量检测手段，建立异常流量的预警，防止流量攻击，通过纳入集中监控系统，及时发现系统故障等。移动通信网在基站侧可不作流量监控，但是在核心网侧需要部署异常流量检查手段，建立异常流程预警机制。</w:t>
      </w:r>
    </w:p>
    <w:p w14:paraId="6F57411C">
      <w:pPr>
        <w:spacing w:line="360" w:lineRule="auto"/>
        <w:ind w:firstLine="480"/>
        <w:rPr>
          <w:sz w:val="24"/>
          <w:szCs w:val="32"/>
        </w:rPr>
      </w:pPr>
      <w:r>
        <w:rPr>
          <w:sz w:val="24"/>
          <w:szCs w:val="32"/>
        </w:rPr>
        <w:t>（3）漏洞扫描整改，所有系统上线前主动开展漏洞扫描、渗透测试，及时发现漏洞整改，并闭环复核，确保杜绝高中危险漏洞。系统上线后定期开展漏洞扫描、渗透测试，针对最新发现的问题及时整改到位。</w:t>
      </w:r>
    </w:p>
    <w:p w14:paraId="0169BEE5">
      <w:pPr>
        <w:spacing w:line="360" w:lineRule="auto"/>
        <w:ind w:firstLine="480"/>
        <w:rPr>
          <w:sz w:val="24"/>
          <w:szCs w:val="32"/>
        </w:rPr>
      </w:pPr>
      <w:r>
        <w:rPr>
          <w:sz w:val="24"/>
          <w:szCs w:val="32"/>
        </w:rPr>
        <w:t>（4）最小化服务端口管理，所有系统的网络服务配置方面，必须遵循最小化服务原则，关闭不需要开启的所有服务，避免网络服务或网络协议自身存在的安全漏洞增加网络的安全风险。对于必须开启的网络服务，必须通过访问控制列表等手段限制远程主机源地址，对于危险端口，严格禁止对外网开放。</w:t>
      </w:r>
    </w:p>
    <w:p w14:paraId="50CD0413">
      <w:pPr>
        <w:spacing w:line="360" w:lineRule="auto"/>
        <w:ind w:firstLine="480"/>
        <w:rPr>
          <w:sz w:val="24"/>
          <w:szCs w:val="32"/>
        </w:rPr>
      </w:pPr>
      <w:r>
        <w:rPr>
          <w:sz w:val="24"/>
          <w:szCs w:val="32"/>
        </w:rPr>
        <w:t>（5）系统的物理安全。系统线缆布放整齐合理，符合公司机房规范。各种标签齐全，标签内容应该打印，不能手写；新建机架的配电模块应使用空气开关，严禁在集装架内随意串接、复接电源插线板或设备等。</w:t>
      </w:r>
    </w:p>
    <w:p w14:paraId="64221F2C">
      <w:pPr>
        <w:spacing w:line="360" w:lineRule="auto"/>
        <w:ind w:firstLine="480"/>
        <w:rPr>
          <w:sz w:val="24"/>
          <w:szCs w:val="32"/>
        </w:rPr>
      </w:pPr>
      <w:r>
        <w:rPr>
          <w:sz w:val="24"/>
          <w:szCs w:val="32"/>
        </w:rPr>
        <w:t>（6）双路由双节点：系统重要传输节点要有双路由、双节点备份，且必须具备可以快速倒换转接业务的需求。移动通信网的承载网系统需要具备双路由双节点。</w:t>
      </w:r>
    </w:p>
    <w:p w14:paraId="0C12D13A">
      <w:pPr>
        <w:spacing w:line="360" w:lineRule="auto"/>
        <w:ind w:firstLine="480"/>
        <w:rPr>
          <w:sz w:val="24"/>
          <w:szCs w:val="32"/>
        </w:rPr>
      </w:pPr>
      <w:r>
        <w:rPr>
          <w:sz w:val="24"/>
          <w:szCs w:val="32"/>
        </w:rPr>
        <w:t>（7）数据备份及恢复：按照相关要求建立数据备份机制，并考虑灾难发生后数据恢复技术建设。移动通信网支撑系统的网管平台应具备数据备份机制，基站侧可不作要求。</w:t>
      </w:r>
    </w:p>
    <w:p w14:paraId="48F1434F">
      <w:pPr>
        <w:spacing w:line="360" w:lineRule="auto"/>
        <w:ind w:firstLine="480"/>
        <w:rPr>
          <w:sz w:val="24"/>
          <w:szCs w:val="32"/>
        </w:rPr>
      </w:pPr>
      <w:r>
        <w:rPr>
          <w:sz w:val="24"/>
          <w:szCs w:val="32"/>
        </w:rPr>
        <w:t>（8）账户口令安全：移动通信网核心网、支撑网等系统密码应具备定期更换功能。移动通信网基站子系统的基站设备采用出厂统一设置密码方式，但是需要将近端登陆密码进行全网禁止设置。</w:t>
      </w:r>
    </w:p>
    <w:p w14:paraId="6AB0121A">
      <w:pPr>
        <w:spacing w:line="360" w:lineRule="auto"/>
        <w:ind w:firstLine="480"/>
        <w:rPr>
          <w:sz w:val="24"/>
          <w:szCs w:val="32"/>
        </w:rPr>
      </w:pPr>
      <w:r>
        <w:rPr>
          <w:sz w:val="24"/>
          <w:szCs w:val="32"/>
        </w:rPr>
        <w:t>（9）在网络设备选型、采购和使用时，应遵守电信设备进网要求，满足信息安全管理需求。</w:t>
      </w:r>
    </w:p>
    <w:p w14:paraId="7FB35891">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系统自有基础安全属性要求</w:t>
      </w:r>
    </w:p>
    <w:p w14:paraId="1E59ACD0">
      <w:pPr>
        <w:pStyle w:val="50"/>
        <w:numPr>
          <w:ilvl w:val="0"/>
          <w:numId w:val="32"/>
        </w:numPr>
        <w:spacing w:line="360" w:lineRule="auto"/>
        <w:ind w:leftChars="200"/>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无线接入网类项目</w:t>
      </w:r>
    </w:p>
    <w:p w14:paraId="71475E08">
      <w:pPr>
        <w:spacing w:line="360" w:lineRule="auto"/>
        <w:ind w:firstLine="480" w:firstLineChars="20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无线接入网中采用共享物理媒质网络的设备应具备数据加密功能。在MS和基站系统之间的无线链路通过空口安全协议保证数据的传输安全。</w:t>
      </w:r>
    </w:p>
    <w:p w14:paraId="59EF5B21">
      <w:pPr>
        <w:pStyle w:val="50"/>
        <w:spacing w:line="360" w:lineRule="auto"/>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对基站侧的操作仅允许无线网管系统单独进行，无线网管系统具备4A防护认证。</w:t>
      </w:r>
    </w:p>
    <w:p w14:paraId="4E87F580">
      <w:pPr>
        <w:pStyle w:val="50"/>
        <w:numPr>
          <w:ilvl w:val="0"/>
          <w:numId w:val="32"/>
        </w:numPr>
        <w:spacing w:line="360" w:lineRule="auto"/>
        <w:ind w:leftChars="200"/>
        <w:jc w:val="left"/>
        <w:rPr>
          <w:rFonts w:ascii="Times New Roman" w:hAnsi="Times New Roman"/>
          <w:color w:val="000000" w:themeColor="text1"/>
          <w:sz w:val="24"/>
          <w14:textFill>
            <w14:solidFill>
              <w14:schemeClr w14:val="tx1"/>
            </w14:solidFill>
          </w14:textFill>
        </w:rPr>
      </w:pPr>
      <w:r>
        <w:rPr>
          <w:rFonts w:ascii="Times New Roman" w:hAnsi="Times New Roman"/>
          <w:color w:val="000000" w:themeColor="text1"/>
          <w:sz w:val="24"/>
          <w14:textFill>
            <w14:solidFill>
              <w14:schemeClr w14:val="tx1"/>
            </w14:solidFill>
          </w14:textFill>
        </w:rPr>
        <w:t>机房局所等基础设施类项目</w:t>
      </w:r>
    </w:p>
    <w:p w14:paraId="50E21AA6">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机房和办公场地应选择在具有防震、防风和防雨等能力的建筑内；</w:t>
      </w:r>
    </w:p>
    <w:p w14:paraId="0D252268">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机房场地应避免设在建筑物的高层或地下室，以及用水设备的下层或隔壁；</w:t>
      </w:r>
    </w:p>
    <w:p w14:paraId="64A5A9EC">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专用设备机房出入口应配置电子门禁系统，控制、鉴别和记录进入的人员；</w:t>
      </w:r>
    </w:p>
    <w:p w14:paraId="4274C123">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应对机房划分区域进行管理，区域和区域之间设置物理隔离装置，在重要区域前设置交付或安装等过渡区域；</w:t>
      </w:r>
    </w:p>
    <w:p w14:paraId="142245F7">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应将通信线缆铺设在隐蔽处，可铺设在地下或管道中；</w:t>
      </w:r>
    </w:p>
    <w:p w14:paraId="01E2DDF1">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应利用光、电等技术设置机房防盗报警系统；</w:t>
      </w:r>
    </w:p>
    <w:p w14:paraId="7769056B">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应对机房设置监控报警系统；</w:t>
      </w:r>
    </w:p>
    <w:p w14:paraId="1301D3C9">
      <w:pPr>
        <w:pStyle w:val="58"/>
        <w:numPr>
          <w:ilvl w:val="0"/>
          <w:numId w:val="33"/>
        </w:numPr>
        <w:spacing w:line="360" w:lineRule="auto"/>
        <w:ind w:firstLineChars="0"/>
        <w:jc w:val="left"/>
        <w:rPr>
          <w:color w:val="000000" w:themeColor="text1"/>
          <w:sz w:val="24"/>
          <w14:textFill>
            <w14:solidFill>
              <w14:schemeClr w14:val="tx1"/>
            </w14:solidFill>
          </w14:textFill>
        </w:rPr>
      </w:pPr>
      <w:r>
        <w:rPr>
          <w:color w:val="000000" w:themeColor="text1"/>
          <w:sz w:val="24"/>
          <w14:textFill>
            <w14:solidFill>
              <w14:schemeClr w14:val="tx1"/>
            </w14:solidFill>
          </w14:textFill>
        </w:rPr>
        <w:t>应采用接地方式防止外界电磁干扰和设备寄生耦合干扰。</w:t>
      </w:r>
    </w:p>
    <w:p w14:paraId="48267E71">
      <w:pPr>
        <w:pStyle w:val="5"/>
        <w:keepLines w:val="0"/>
        <w:numPr>
          <w:ilvl w:val="2"/>
          <w:numId w:val="1"/>
        </w:numPr>
        <w:spacing w:before="0" w:after="0" w:line="360" w:lineRule="auto"/>
        <w:ind w:left="0" w:firstLine="0"/>
        <w:rPr>
          <w:rFonts w:hint="eastAsia" w:ascii="黑体" w:hAnsi="黑体" w:eastAsia="黑体" w:cs="Times New Roman"/>
          <w:b w:val="0"/>
          <w:bCs w:val="0"/>
        </w:rPr>
      </w:pPr>
      <w:r>
        <w:rPr>
          <w:rFonts w:ascii="黑体" w:hAnsi="黑体" w:eastAsia="黑体" w:cs="Times New Roman"/>
          <w:b w:val="0"/>
          <w:bCs w:val="0"/>
        </w:rPr>
        <w:t>无线网管日志留存要求</w:t>
      </w:r>
    </w:p>
    <w:p w14:paraId="07CD8647">
      <w:pPr>
        <w:spacing w:line="360" w:lineRule="auto"/>
        <w:ind w:firstLine="480"/>
        <w:rPr>
          <w:rFonts w:hint="eastAsia" w:ascii="宋体" w:hAnsi="宋体"/>
          <w:sz w:val="24"/>
          <w:szCs w:val="32"/>
        </w:rPr>
      </w:pPr>
      <w:r>
        <w:rPr>
          <w:rFonts w:ascii="宋体" w:hAnsi="宋体"/>
          <w:sz w:val="24"/>
          <w:szCs w:val="32"/>
        </w:rPr>
        <w:t>无线网管系统需对账号、密码严格管理，对于通过系统进行操作、维护的过程、脚本等存储在系统固定位置；上述日志留存时间要求不小于6个月，用于备查。</w:t>
      </w:r>
    </w:p>
    <w:p w14:paraId="72A5015F">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397" w:name="_Toc97207338"/>
      <w:bookmarkStart w:id="398" w:name="_Toc132902885"/>
      <w:r>
        <w:rPr>
          <w:rFonts w:hint="eastAsia" w:ascii="黑体" w:hAnsi="黑体" w:eastAsia="黑体" w:cs="Times New Roman"/>
          <w:color w:val="000000" w:themeColor="text1"/>
          <w:sz w:val="28"/>
          <w:szCs w:val="28"/>
          <w14:textFill>
            <w14:solidFill>
              <w14:schemeClr w14:val="tx1"/>
            </w14:solidFill>
          </w14:textFill>
        </w:rPr>
        <w:t>网络安全防护技术方案</w:t>
      </w:r>
      <w:bookmarkEnd w:id="397"/>
      <w:bookmarkEnd w:id="398"/>
    </w:p>
    <w:p w14:paraId="3F328077">
      <w:pPr>
        <w:pStyle w:val="5"/>
        <w:keepLines w:val="0"/>
        <w:numPr>
          <w:ilvl w:val="2"/>
          <w:numId w:val="1"/>
        </w:numPr>
        <w:spacing w:before="0" w:after="0" w:line="360" w:lineRule="auto"/>
        <w:ind w:left="0" w:firstLine="0"/>
        <w:rPr>
          <w:rFonts w:ascii="Times New Roman" w:hAnsi="Times New Roman" w:eastAsia="宋体" w:cs="Times New Roman"/>
          <w:b w:val="0"/>
          <w:bCs w:val="0"/>
          <w:sz w:val="24"/>
          <w:szCs w:val="24"/>
        </w:rPr>
      </w:pPr>
      <w:r>
        <w:rPr>
          <w:rFonts w:ascii="Times New Roman" w:hAnsi="Times New Roman" w:eastAsia="宋体" w:cs="Times New Roman"/>
          <w:b w:val="0"/>
          <w:bCs w:val="0"/>
          <w:sz w:val="24"/>
          <w:szCs w:val="24"/>
        </w:rPr>
        <w:t>通用安全属性建设</w:t>
      </w:r>
    </w:p>
    <w:p w14:paraId="0F771EE3">
      <w:pPr>
        <w:spacing w:line="360" w:lineRule="auto"/>
        <w:ind w:firstLine="480"/>
        <w:rPr>
          <w:rFonts w:hint="eastAsia" w:ascii="宋体" w:hAnsi="宋体"/>
          <w:sz w:val="24"/>
          <w:szCs w:val="32"/>
        </w:rPr>
      </w:pPr>
      <w:r>
        <w:rPr>
          <w:rFonts w:ascii="宋体" w:hAnsi="宋体"/>
          <w:sz w:val="24"/>
          <w:szCs w:val="32"/>
        </w:rPr>
        <w:t>（1）gNodeB管理地址为私网地址。5G无线网管系统通过防火墙与DCN网络接口，以满足管理维护需求。</w:t>
      </w:r>
    </w:p>
    <w:p w14:paraId="67E8B325">
      <w:pPr>
        <w:spacing w:line="360" w:lineRule="auto"/>
        <w:ind w:firstLine="480"/>
        <w:rPr>
          <w:rFonts w:hint="eastAsia" w:ascii="宋体" w:hAnsi="宋体"/>
          <w:sz w:val="24"/>
          <w:szCs w:val="32"/>
        </w:rPr>
      </w:pPr>
      <w:r>
        <w:rPr>
          <w:rFonts w:ascii="宋体" w:hAnsi="宋体"/>
          <w:sz w:val="24"/>
          <w:szCs w:val="32"/>
        </w:rPr>
        <w:t>（2）基站入网前利用省公司漏洞扫描系统主动开展漏洞扫描、渗透测试，及时发现漏洞整改，并闭环复核，确保杜绝高中危险漏洞。</w:t>
      </w:r>
    </w:p>
    <w:p w14:paraId="652D739F">
      <w:pPr>
        <w:spacing w:line="360" w:lineRule="auto"/>
        <w:ind w:firstLine="480"/>
        <w:rPr>
          <w:rFonts w:hint="eastAsia" w:ascii="宋体" w:hAnsi="宋体"/>
          <w:sz w:val="24"/>
          <w:szCs w:val="32"/>
        </w:rPr>
      </w:pPr>
      <w:r>
        <w:rPr>
          <w:rFonts w:ascii="宋体" w:hAnsi="宋体"/>
          <w:sz w:val="24"/>
          <w:szCs w:val="32"/>
        </w:rPr>
        <w:t>（3）基站建设按照施工规范进行施工，设备线缆布放整齐合理，符合公司机房规范。各种标签齐全，标签内容应该打印，不能手写；新建机架的配电模块应使用空气开关，严禁在集装架内随意串接、复接电源插线板或设备等。</w:t>
      </w:r>
    </w:p>
    <w:p w14:paraId="1BB98B28">
      <w:pPr>
        <w:spacing w:line="360" w:lineRule="auto"/>
        <w:ind w:firstLine="480"/>
        <w:rPr>
          <w:rFonts w:hint="eastAsia" w:ascii="宋体" w:hAnsi="宋体"/>
          <w:sz w:val="24"/>
          <w:szCs w:val="32"/>
        </w:rPr>
      </w:pPr>
      <w:r>
        <w:rPr>
          <w:rFonts w:ascii="宋体" w:hAnsi="宋体"/>
          <w:sz w:val="24"/>
          <w:szCs w:val="32"/>
        </w:rPr>
        <w:t>（4）在网络设备选型、采购和使用时，遵守电信设备进网要求，满足信息安全管理需求。</w:t>
      </w:r>
    </w:p>
    <w:p w14:paraId="381C42B1">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自有安全属性建设</w:t>
      </w:r>
    </w:p>
    <w:p w14:paraId="2F374CE1">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gNodeB网络设备安全防护</w:t>
      </w:r>
    </w:p>
    <w:p w14:paraId="778D1FA3">
      <w:pPr>
        <w:spacing w:line="360" w:lineRule="auto"/>
        <w:ind w:firstLine="480"/>
        <w:rPr>
          <w:rFonts w:hint="eastAsia" w:ascii="宋体" w:hAnsi="宋体"/>
          <w:sz w:val="24"/>
          <w:szCs w:val="32"/>
        </w:rPr>
      </w:pPr>
      <w:r>
        <w:rPr>
          <w:rFonts w:ascii="宋体" w:hAnsi="宋体"/>
          <w:sz w:val="24"/>
          <w:szCs w:val="32"/>
        </w:rPr>
        <w:t>（1）设备密码使用加密模式存放，禁用明文存放密码。</w:t>
      </w:r>
    </w:p>
    <w:p w14:paraId="7C03B07D">
      <w:pPr>
        <w:spacing w:line="360" w:lineRule="auto"/>
        <w:ind w:firstLine="480"/>
        <w:rPr>
          <w:rFonts w:hint="eastAsia" w:ascii="宋体" w:hAnsi="宋体"/>
          <w:sz w:val="24"/>
          <w:szCs w:val="32"/>
        </w:rPr>
      </w:pPr>
      <w:r>
        <w:rPr>
          <w:rFonts w:ascii="宋体" w:hAnsi="宋体"/>
          <w:sz w:val="24"/>
          <w:szCs w:val="32"/>
        </w:rPr>
        <w:t>（2）设置控制口和远程登录口的空闲超时，控制口或远程登录口在空闲一定时间后自动断开。</w:t>
      </w:r>
    </w:p>
    <w:p w14:paraId="3496AA6A">
      <w:pPr>
        <w:pStyle w:val="58"/>
        <w:numPr>
          <w:ilvl w:val="0"/>
          <w:numId w:val="34"/>
        </w:numPr>
        <w:spacing w:line="360" w:lineRule="auto"/>
        <w:ind w:firstLineChars="0"/>
        <w:rPr>
          <w:rFonts w:hint="eastAsia" w:ascii="宋体" w:hAnsi="宋体"/>
          <w:sz w:val="24"/>
          <w:szCs w:val="32"/>
        </w:rPr>
      </w:pPr>
      <w:r>
        <w:rPr>
          <w:rFonts w:ascii="宋体" w:hAnsi="宋体"/>
          <w:sz w:val="24"/>
          <w:szCs w:val="32"/>
        </w:rPr>
        <w:t>gNodeB网络设备账号口令</w:t>
      </w:r>
    </w:p>
    <w:p w14:paraId="131479DB">
      <w:pPr>
        <w:spacing w:line="360" w:lineRule="auto"/>
        <w:ind w:firstLine="480"/>
        <w:rPr>
          <w:rFonts w:hint="eastAsia" w:ascii="宋体" w:hAnsi="宋体"/>
          <w:sz w:val="24"/>
          <w:szCs w:val="32"/>
        </w:rPr>
      </w:pPr>
      <w:r>
        <w:rPr>
          <w:rFonts w:ascii="宋体" w:hAnsi="宋体"/>
          <w:sz w:val="24"/>
          <w:szCs w:val="32"/>
        </w:rPr>
        <w:t>计划使用省公司安全审计系统进行账号管理，对网络设备的管理采取管理员每人一个账号的方式进行设置，并根据实际情况对管理员进行最小化权限限制。</w:t>
      </w:r>
    </w:p>
    <w:p w14:paraId="139375C4">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399" w:name="_Toc54213847"/>
      <w:bookmarkStart w:id="400" w:name="_Toc54213168"/>
      <w:bookmarkStart w:id="401" w:name="_Toc54212765"/>
      <w:bookmarkStart w:id="402" w:name="_Toc54212666"/>
      <w:bookmarkStart w:id="403" w:name="_Toc54214000"/>
      <w:r>
        <w:rPr>
          <w:rFonts w:ascii="宋体" w:hAnsi="宋体" w:cs="Times New Roman"/>
          <w:b/>
          <w:bCs/>
          <w:color w:val="000000" w:themeColor="text1"/>
          <w:sz w:val="28"/>
          <w:szCs w:val="28"/>
          <w14:textFill>
            <w14:solidFill>
              <w14:schemeClr w14:val="tx1"/>
            </w14:solidFill>
          </w14:textFill>
        </w:rPr>
        <w:t xml:space="preserve"> </w:t>
      </w:r>
      <w:bookmarkStart w:id="404" w:name="_Toc132902886"/>
      <w:bookmarkStart w:id="405" w:name="_Toc97207339"/>
      <w:r>
        <w:rPr>
          <w:rFonts w:ascii="宋体" w:hAnsi="宋体" w:cs="Times New Roman"/>
          <w:b/>
          <w:bCs/>
          <w:color w:val="000000" w:themeColor="text1"/>
          <w:sz w:val="28"/>
          <w:szCs w:val="28"/>
          <w14:textFill>
            <w14:solidFill>
              <w14:schemeClr w14:val="tx1"/>
            </w14:solidFill>
          </w14:textFill>
        </w:rPr>
        <w:t>“三同步”要求</w:t>
      </w:r>
      <w:bookmarkEnd w:id="399"/>
      <w:bookmarkEnd w:id="400"/>
      <w:bookmarkEnd w:id="401"/>
      <w:bookmarkEnd w:id="402"/>
      <w:bookmarkEnd w:id="403"/>
      <w:bookmarkEnd w:id="404"/>
      <w:bookmarkEnd w:id="405"/>
    </w:p>
    <w:p w14:paraId="1B19A451">
      <w:pPr>
        <w:spacing w:line="360" w:lineRule="auto"/>
        <w:ind w:firstLine="480"/>
        <w:rPr>
          <w:rFonts w:hint="eastAsia" w:ascii="宋体" w:hAnsi="宋体"/>
          <w:sz w:val="24"/>
        </w:rPr>
      </w:pPr>
      <w:r>
        <w:rPr>
          <w:rFonts w:ascii="宋体" w:hAnsi="宋体"/>
          <w:sz w:val="24"/>
        </w:rPr>
        <w:t>网络建设应满足公司网络安全“三同步”管理规范要求，遵循以下原则：</w:t>
      </w:r>
    </w:p>
    <w:p w14:paraId="41C16F2C">
      <w:pPr>
        <w:spacing w:line="360" w:lineRule="auto"/>
        <w:ind w:firstLine="480"/>
        <w:rPr>
          <w:rFonts w:hint="eastAsia" w:ascii="宋体" w:hAnsi="宋体"/>
          <w:sz w:val="24"/>
        </w:rPr>
      </w:pPr>
      <w:r>
        <w:rPr>
          <w:rFonts w:ascii="宋体" w:hAnsi="宋体"/>
          <w:sz w:val="24"/>
        </w:rPr>
        <w:t>（1）三同步原则：即安全防护措施应与系统同步规划、同步建设、同步运行，不能滞后于系统的发展。新建、改建、扩建的通信网络工程中应配套建设网络安全保障措施，并有相应资金保证；</w:t>
      </w:r>
    </w:p>
    <w:p w14:paraId="34D2CA38">
      <w:pPr>
        <w:spacing w:line="360" w:lineRule="auto"/>
        <w:ind w:firstLine="480"/>
        <w:rPr>
          <w:rFonts w:hint="eastAsia" w:ascii="宋体" w:hAnsi="宋体"/>
          <w:sz w:val="24"/>
        </w:rPr>
      </w:pPr>
      <w:r>
        <w:rPr>
          <w:rFonts w:ascii="宋体" w:hAnsi="宋体"/>
          <w:sz w:val="24"/>
        </w:rPr>
        <w:t>（2）适度安全原则：安全防护措施应在确定的投资规模下，充分考虑业务发展需要和安全防护需要，取得效益和成本的最佳平衡；</w:t>
      </w:r>
    </w:p>
    <w:p w14:paraId="15A49B04">
      <w:pPr>
        <w:spacing w:line="360" w:lineRule="auto"/>
        <w:ind w:firstLine="480"/>
        <w:rPr>
          <w:rFonts w:hint="eastAsia" w:ascii="宋体" w:hAnsi="宋体"/>
          <w:sz w:val="24"/>
        </w:rPr>
      </w:pPr>
      <w:r>
        <w:rPr>
          <w:rFonts w:ascii="宋体" w:hAnsi="宋体"/>
          <w:sz w:val="24"/>
        </w:rPr>
        <w:t>（3）标准性原则：安全防护措施应遵循国家、行业以及公司的相关规范；</w:t>
      </w:r>
    </w:p>
    <w:p w14:paraId="66DBA5AB">
      <w:pPr>
        <w:spacing w:line="360" w:lineRule="auto"/>
        <w:ind w:firstLine="480"/>
        <w:rPr>
          <w:rFonts w:hint="eastAsia" w:ascii="宋体" w:hAnsi="宋体"/>
          <w:sz w:val="24"/>
        </w:rPr>
      </w:pPr>
      <w:r>
        <w:rPr>
          <w:rFonts w:ascii="宋体" w:hAnsi="宋体"/>
          <w:sz w:val="24"/>
        </w:rPr>
        <w:t>（4）完整性原则：安全防护措施应当整体、全面，避免由于遗漏造成未来的安全隐患。</w:t>
      </w:r>
    </w:p>
    <w:p w14:paraId="136F7A53">
      <w:pPr>
        <w:pStyle w:val="41"/>
        <w:numPr>
          <w:ilvl w:val="1"/>
          <w:numId w:val="1"/>
        </w:numPr>
        <w:ind w:left="426" w:hanging="426"/>
        <w:rPr>
          <w:rFonts w:hint="eastAsia" w:ascii="宋体" w:hAnsi="宋体" w:cs="Times New Roman"/>
          <w:b/>
          <w:bCs/>
          <w:color w:val="000000" w:themeColor="text1"/>
          <w:sz w:val="28"/>
          <w:szCs w:val="28"/>
          <w14:textFill>
            <w14:solidFill>
              <w14:schemeClr w14:val="tx1"/>
            </w14:solidFill>
          </w14:textFill>
        </w:rPr>
      </w:pPr>
      <w:bookmarkStart w:id="406" w:name="_Toc54212766"/>
      <w:bookmarkStart w:id="407" w:name="_Toc478849593"/>
      <w:bookmarkStart w:id="408" w:name="_Toc132902887"/>
      <w:bookmarkStart w:id="409" w:name="_Toc97207340"/>
      <w:bookmarkStart w:id="410" w:name="_Toc54214001"/>
      <w:bookmarkStart w:id="411" w:name="_Toc41997751"/>
      <w:bookmarkStart w:id="412" w:name="_Toc54213848"/>
      <w:bookmarkStart w:id="413" w:name="_Toc54213169"/>
      <w:bookmarkStart w:id="414" w:name="_Toc54212667"/>
      <w:bookmarkStart w:id="415" w:name="_Toc494104350"/>
      <w:r>
        <w:rPr>
          <w:rFonts w:ascii="宋体" w:hAnsi="宋体" w:cs="Times New Roman"/>
          <w:b/>
          <w:bCs/>
          <w:color w:val="000000" w:themeColor="text1"/>
          <w:sz w:val="28"/>
          <w:szCs w:val="28"/>
          <w14:textFill>
            <w14:solidFill>
              <w14:schemeClr w14:val="tx1"/>
            </w14:solidFill>
          </w14:textFill>
        </w:rPr>
        <w:t>移动通信网及信息安全风险评估</w:t>
      </w:r>
      <w:bookmarkEnd w:id="406"/>
      <w:bookmarkEnd w:id="407"/>
      <w:bookmarkEnd w:id="408"/>
      <w:bookmarkEnd w:id="409"/>
      <w:bookmarkEnd w:id="410"/>
      <w:bookmarkEnd w:id="411"/>
      <w:bookmarkEnd w:id="412"/>
      <w:bookmarkEnd w:id="413"/>
      <w:bookmarkEnd w:id="414"/>
      <w:bookmarkEnd w:id="415"/>
    </w:p>
    <w:p w14:paraId="36B47687">
      <w:pPr>
        <w:pStyle w:val="5"/>
        <w:keepLines w:val="0"/>
        <w:numPr>
          <w:ilvl w:val="2"/>
          <w:numId w:val="1"/>
        </w:numPr>
        <w:spacing w:before="0" w:after="0" w:line="360" w:lineRule="auto"/>
        <w:ind w:left="0" w:firstLine="0"/>
        <w:rPr>
          <w:rFonts w:ascii="Times New Roman" w:hAnsi="Times New Roman" w:eastAsia="宋体" w:cs="Times New Roman"/>
        </w:rPr>
      </w:pPr>
      <w:bookmarkStart w:id="416" w:name="_Ref54191824"/>
      <w:r>
        <w:rPr>
          <w:rFonts w:ascii="Times New Roman" w:hAnsi="Times New Roman" w:eastAsia="宋体" w:cs="Times New Roman"/>
        </w:rPr>
        <w:t>资产分析</w:t>
      </w:r>
      <w:bookmarkEnd w:id="416"/>
    </w:p>
    <w:p w14:paraId="4433F19C">
      <w:pPr>
        <w:spacing w:line="360" w:lineRule="auto"/>
        <w:ind w:firstLine="480"/>
        <w:rPr>
          <w:sz w:val="24"/>
          <w:szCs w:val="32"/>
        </w:rPr>
      </w:pPr>
      <w:r>
        <w:rPr>
          <w:sz w:val="24"/>
          <w:szCs w:val="32"/>
        </w:rPr>
        <w:t>移动通信网安全风险评估的资产至少应包括设备硬件、设备软件、重要数据、提供的服务、文档和人员等，本设计可能涉及到需进行安全风险评估的资产如下表所示。</w:t>
      </w:r>
    </w:p>
    <w:p w14:paraId="17C8BBFA">
      <w:pPr>
        <w:jc w:val="left"/>
        <w:rPr>
          <w:bCs/>
          <w:szCs w:val="21"/>
        </w:rPr>
      </w:pPr>
      <w:r>
        <w:rPr>
          <w:bCs/>
          <w:szCs w:val="21"/>
        </w:rPr>
        <w:t>表</w:t>
      </w:r>
      <w:r>
        <w:rPr>
          <w:bCs/>
          <w:szCs w:val="21"/>
        </w:rPr>
        <w:fldChar w:fldCharType="begin"/>
      </w:r>
      <w:r>
        <w:rPr>
          <w:bCs/>
          <w:szCs w:val="21"/>
        </w:rPr>
        <w:instrText xml:space="preserve"> REF _Ref54191824 \r \h  \* MERGEFORMAT </w:instrText>
      </w:r>
      <w:r>
        <w:rPr>
          <w:bCs/>
          <w:szCs w:val="21"/>
        </w:rPr>
        <w:fldChar w:fldCharType="separate"/>
      </w:r>
      <w:r>
        <w:rPr>
          <w:bCs/>
          <w:szCs w:val="21"/>
        </w:rPr>
        <w:t>12.4.1</w:t>
      </w:r>
      <w:r>
        <w:rPr>
          <w:bCs/>
          <w:szCs w:val="21"/>
        </w:rPr>
        <w:fldChar w:fldCharType="end"/>
      </w:r>
      <w:r>
        <w:rPr>
          <w:bCs/>
          <w:szCs w:val="21"/>
        </w:rPr>
        <w:t xml:space="preserve">                            资产列表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86"/>
        <w:gridCol w:w="7035"/>
      </w:tblGrid>
      <w:tr w14:paraId="420839E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trPr>
        <w:tc>
          <w:tcPr>
            <w:tcW w:w="960" w:type="pct"/>
            <w:shd w:val="clear" w:color="auto" w:fill="auto"/>
            <w:noWrap/>
            <w:vAlign w:val="center"/>
          </w:tcPr>
          <w:p w14:paraId="0AE0122E">
            <w:pPr>
              <w:widowControl/>
              <w:jc w:val="center"/>
              <w:rPr>
                <w:color w:val="000000"/>
                <w:kern w:val="0"/>
                <w:szCs w:val="21"/>
              </w:rPr>
            </w:pPr>
            <w:r>
              <w:rPr>
                <w:color w:val="000000"/>
                <w:kern w:val="0"/>
                <w:szCs w:val="21"/>
              </w:rPr>
              <w:t>分类</w:t>
            </w:r>
          </w:p>
        </w:tc>
        <w:tc>
          <w:tcPr>
            <w:tcW w:w="4040" w:type="pct"/>
            <w:shd w:val="clear" w:color="auto" w:fill="auto"/>
            <w:noWrap/>
            <w:vAlign w:val="center"/>
          </w:tcPr>
          <w:p w14:paraId="51263691">
            <w:pPr>
              <w:widowControl/>
              <w:jc w:val="center"/>
              <w:rPr>
                <w:color w:val="000000"/>
                <w:kern w:val="0"/>
                <w:szCs w:val="21"/>
              </w:rPr>
            </w:pPr>
            <w:r>
              <w:rPr>
                <w:color w:val="000000"/>
                <w:kern w:val="0"/>
                <w:szCs w:val="21"/>
              </w:rPr>
              <w:t>示例</w:t>
            </w:r>
          </w:p>
        </w:tc>
      </w:tr>
      <w:tr w14:paraId="211C5C4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14:paraId="50A356D2">
            <w:pPr>
              <w:widowControl/>
              <w:jc w:val="center"/>
              <w:rPr>
                <w:color w:val="000000"/>
                <w:kern w:val="0"/>
                <w:szCs w:val="21"/>
              </w:rPr>
            </w:pPr>
            <w:r>
              <w:rPr>
                <w:color w:val="000000"/>
                <w:kern w:val="0"/>
                <w:szCs w:val="21"/>
              </w:rPr>
              <w:t>频率和码号资源</w:t>
            </w:r>
          </w:p>
        </w:tc>
        <w:tc>
          <w:tcPr>
            <w:tcW w:w="4040" w:type="pct"/>
            <w:shd w:val="clear" w:color="auto" w:fill="auto"/>
            <w:noWrap/>
            <w:vAlign w:val="center"/>
          </w:tcPr>
          <w:p w14:paraId="25469DB1">
            <w:pPr>
              <w:widowControl/>
              <w:jc w:val="left"/>
              <w:rPr>
                <w:color w:val="000000"/>
                <w:kern w:val="0"/>
                <w:szCs w:val="21"/>
              </w:rPr>
            </w:pPr>
            <w:r>
              <w:rPr>
                <w:color w:val="000000"/>
                <w:kern w:val="0"/>
                <w:szCs w:val="21"/>
              </w:rPr>
              <w:t>频段、频点</w:t>
            </w:r>
          </w:p>
        </w:tc>
      </w:tr>
      <w:tr w14:paraId="4F45866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restart"/>
            <w:shd w:val="clear" w:color="auto" w:fill="auto"/>
            <w:noWrap/>
            <w:vAlign w:val="center"/>
          </w:tcPr>
          <w:p w14:paraId="580BF1FE">
            <w:pPr>
              <w:widowControl/>
              <w:jc w:val="center"/>
              <w:rPr>
                <w:color w:val="000000"/>
                <w:kern w:val="0"/>
                <w:szCs w:val="21"/>
              </w:rPr>
            </w:pPr>
            <w:r>
              <w:rPr>
                <w:color w:val="000000"/>
                <w:kern w:val="0"/>
                <w:szCs w:val="21"/>
              </w:rPr>
              <w:t>设备硬件</w:t>
            </w:r>
          </w:p>
        </w:tc>
        <w:tc>
          <w:tcPr>
            <w:tcW w:w="4040" w:type="pct"/>
            <w:shd w:val="clear" w:color="auto" w:fill="auto"/>
            <w:noWrap/>
            <w:vAlign w:val="center"/>
          </w:tcPr>
          <w:p w14:paraId="5D4F88F2">
            <w:pPr>
              <w:widowControl/>
              <w:jc w:val="left"/>
              <w:rPr>
                <w:color w:val="000000"/>
                <w:kern w:val="0"/>
                <w:szCs w:val="21"/>
              </w:rPr>
            </w:pPr>
            <w:r>
              <w:rPr>
                <w:color w:val="000000"/>
                <w:kern w:val="0"/>
                <w:szCs w:val="21"/>
              </w:rPr>
              <w:t>GSM/GPRS网络设备：BTS、BSC、PCU</w:t>
            </w:r>
          </w:p>
        </w:tc>
      </w:tr>
      <w:tr w14:paraId="1AC9723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14:paraId="3942ED9F">
            <w:pPr>
              <w:widowControl/>
              <w:jc w:val="center"/>
              <w:rPr>
                <w:color w:val="000000"/>
                <w:kern w:val="0"/>
                <w:szCs w:val="21"/>
              </w:rPr>
            </w:pPr>
          </w:p>
        </w:tc>
        <w:tc>
          <w:tcPr>
            <w:tcW w:w="4040" w:type="pct"/>
            <w:shd w:val="clear" w:color="auto" w:fill="auto"/>
            <w:noWrap/>
            <w:vAlign w:val="center"/>
          </w:tcPr>
          <w:p w14:paraId="57A2C76D">
            <w:pPr>
              <w:widowControl/>
              <w:jc w:val="left"/>
              <w:rPr>
                <w:color w:val="000000"/>
                <w:kern w:val="0"/>
                <w:szCs w:val="21"/>
              </w:rPr>
            </w:pPr>
            <w:r>
              <w:rPr>
                <w:color w:val="000000"/>
                <w:kern w:val="0"/>
                <w:szCs w:val="21"/>
              </w:rPr>
              <w:t>WCDMA/TD-SCDMA网络设备：Node B、RNC</w:t>
            </w:r>
          </w:p>
        </w:tc>
      </w:tr>
      <w:tr w14:paraId="0349A9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14:paraId="3D2EBA96">
            <w:pPr>
              <w:widowControl/>
              <w:jc w:val="center"/>
              <w:rPr>
                <w:color w:val="000000"/>
                <w:kern w:val="0"/>
                <w:szCs w:val="21"/>
              </w:rPr>
            </w:pPr>
          </w:p>
        </w:tc>
        <w:tc>
          <w:tcPr>
            <w:tcW w:w="4040" w:type="pct"/>
            <w:shd w:val="clear" w:color="auto" w:fill="auto"/>
            <w:noWrap/>
            <w:vAlign w:val="center"/>
          </w:tcPr>
          <w:p w14:paraId="44B8DED7">
            <w:pPr>
              <w:widowControl/>
              <w:jc w:val="left"/>
              <w:rPr>
                <w:color w:val="000000"/>
                <w:kern w:val="0"/>
                <w:szCs w:val="21"/>
              </w:rPr>
            </w:pPr>
            <w:r>
              <w:rPr>
                <w:color w:val="000000"/>
                <w:kern w:val="0"/>
                <w:szCs w:val="21"/>
              </w:rPr>
              <w:t>CDMA2000网络设备：BTS、BSC、PCF</w:t>
            </w:r>
          </w:p>
        </w:tc>
      </w:tr>
      <w:tr w14:paraId="7640833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14:paraId="3BF7C98C">
            <w:pPr>
              <w:widowControl/>
              <w:jc w:val="center"/>
              <w:rPr>
                <w:color w:val="000000"/>
                <w:kern w:val="0"/>
                <w:szCs w:val="21"/>
              </w:rPr>
            </w:pPr>
          </w:p>
        </w:tc>
        <w:tc>
          <w:tcPr>
            <w:tcW w:w="4040" w:type="pct"/>
            <w:shd w:val="clear" w:color="auto" w:fill="auto"/>
            <w:noWrap/>
            <w:vAlign w:val="center"/>
          </w:tcPr>
          <w:p w14:paraId="2BFBCEFD">
            <w:pPr>
              <w:widowControl/>
              <w:jc w:val="left"/>
              <w:rPr>
                <w:color w:val="000000"/>
                <w:kern w:val="0"/>
                <w:szCs w:val="21"/>
              </w:rPr>
            </w:pPr>
            <w:r>
              <w:rPr>
                <w:color w:val="000000"/>
                <w:kern w:val="0"/>
                <w:szCs w:val="21"/>
              </w:rPr>
              <w:t>LTE网络设备：eNode B</w:t>
            </w:r>
          </w:p>
        </w:tc>
      </w:tr>
      <w:tr w14:paraId="7616CF2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vMerge w:val="continue"/>
            <w:vAlign w:val="center"/>
          </w:tcPr>
          <w:p w14:paraId="23F5F35A">
            <w:pPr>
              <w:widowControl/>
              <w:jc w:val="center"/>
              <w:rPr>
                <w:color w:val="000000"/>
                <w:kern w:val="0"/>
                <w:szCs w:val="21"/>
              </w:rPr>
            </w:pPr>
          </w:p>
        </w:tc>
        <w:tc>
          <w:tcPr>
            <w:tcW w:w="4040" w:type="pct"/>
            <w:shd w:val="clear" w:color="auto" w:fill="auto"/>
            <w:noWrap/>
            <w:vAlign w:val="center"/>
          </w:tcPr>
          <w:p w14:paraId="2D85839C">
            <w:pPr>
              <w:widowControl/>
              <w:jc w:val="left"/>
              <w:rPr>
                <w:color w:val="000000"/>
                <w:kern w:val="0"/>
                <w:szCs w:val="21"/>
              </w:rPr>
            </w:pPr>
            <w:r>
              <w:rPr>
                <w:color w:val="000000"/>
                <w:kern w:val="0"/>
                <w:szCs w:val="21"/>
              </w:rPr>
              <w:t>NR网络设备：gNode B</w:t>
            </w:r>
          </w:p>
        </w:tc>
      </w:tr>
      <w:tr w14:paraId="650BD4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960" w:type="pct"/>
            <w:vMerge w:val="continue"/>
            <w:vAlign w:val="center"/>
          </w:tcPr>
          <w:p w14:paraId="64174445">
            <w:pPr>
              <w:widowControl/>
              <w:jc w:val="center"/>
              <w:rPr>
                <w:color w:val="000000"/>
                <w:kern w:val="0"/>
                <w:szCs w:val="21"/>
              </w:rPr>
            </w:pPr>
          </w:p>
        </w:tc>
        <w:tc>
          <w:tcPr>
            <w:tcW w:w="4040" w:type="pct"/>
            <w:shd w:val="clear" w:color="auto" w:fill="auto"/>
            <w:vAlign w:val="center"/>
          </w:tcPr>
          <w:p w14:paraId="6BA2F131">
            <w:pPr>
              <w:widowControl/>
              <w:jc w:val="left"/>
              <w:rPr>
                <w:color w:val="000000"/>
                <w:kern w:val="0"/>
                <w:szCs w:val="21"/>
              </w:rPr>
            </w:pPr>
            <w:r>
              <w:rPr>
                <w:color w:val="000000"/>
                <w:kern w:val="0"/>
                <w:szCs w:val="21"/>
              </w:rPr>
              <w:t>物理环境设备：机房、电力供应系统、电磁防护系统、防火、防水和防潮系统、防静电系统、防雷击系统、温湿度控制系统等</w:t>
            </w:r>
          </w:p>
        </w:tc>
      </w:tr>
      <w:tr w14:paraId="770154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14:paraId="11ED6540">
            <w:pPr>
              <w:widowControl/>
              <w:jc w:val="center"/>
              <w:rPr>
                <w:color w:val="000000"/>
                <w:kern w:val="0"/>
                <w:szCs w:val="21"/>
              </w:rPr>
            </w:pPr>
            <w:r>
              <w:rPr>
                <w:color w:val="000000"/>
                <w:kern w:val="0"/>
                <w:szCs w:val="21"/>
              </w:rPr>
              <w:t>设备软件</w:t>
            </w:r>
          </w:p>
        </w:tc>
        <w:tc>
          <w:tcPr>
            <w:tcW w:w="4040" w:type="pct"/>
            <w:shd w:val="clear" w:color="auto" w:fill="auto"/>
            <w:noWrap/>
            <w:vAlign w:val="center"/>
          </w:tcPr>
          <w:p w14:paraId="5B521520">
            <w:pPr>
              <w:widowControl/>
              <w:jc w:val="left"/>
              <w:rPr>
                <w:color w:val="000000"/>
                <w:kern w:val="0"/>
                <w:szCs w:val="21"/>
              </w:rPr>
            </w:pPr>
            <w:r>
              <w:rPr>
                <w:color w:val="000000"/>
                <w:kern w:val="0"/>
                <w:szCs w:val="21"/>
              </w:rPr>
              <w:t>设备的系统软件:操作系统、各种数据库软件等</w:t>
            </w:r>
          </w:p>
        </w:tc>
      </w:tr>
      <w:tr w14:paraId="35C7D9A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14:paraId="090FBCDA">
            <w:pPr>
              <w:widowControl/>
              <w:jc w:val="center"/>
              <w:rPr>
                <w:color w:val="000000"/>
                <w:kern w:val="0"/>
                <w:szCs w:val="21"/>
              </w:rPr>
            </w:pPr>
            <w:r>
              <w:rPr>
                <w:color w:val="000000"/>
                <w:kern w:val="0"/>
                <w:szCs w:val="21"/>
              </w:rPr>
              <w:t>重要数据</w:t>
            </w:r>
          </w:p>
        </w:tc>
        <w:tc>
          <w:tcPr>
            <w:tcW w:w="4040" w:type="pct"/>
            <w:shd w:val="clear" w:color="auto" w:fill="auto"/>
            <w:noWrap/>
            <w:vAlign w:val="center"/>
          </w:tcPr>
          <w:p w14:paraId="3BCCAAF9">
            <w:pPr>
              <w:widowControl/>
              <w:jc w:val="left"/>
              <w:rPr>
                <w:color w:val="000000"/>
                <w:kern w:val="0"/>
                <w:szCs w:val="21"/>
              </w:rPr>
            </w:pPr>
            <w:r>
              <w:rPr>
                <w:color w:val="000000"/>
                <w:kern w:val="0"/>
                <w:szCs w:val="21"/>
              </w:rPr>
              <w:t>支撑移动通信网运行的的各种重要数据，包括用户数据、网络配置数据等</w:t>
            </w:r>
          </w:p>
        </w:tc>
      </w:tr>
      <w:tr w14:paraId="311A36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14:paraId="4EF5317C">
            <w:pPr>
              <w:widowControl/>
              <w:jc w:val="center"/>
              <w:rPr>
                <w:color w:val="000000"/>
                <w:kern w:val="0"/>
                <w:szCs w:val="21"/>
              </w:rPr>
            </w:pPr>
            <w:r>
              <w:rPr>
                <w:color w:val="000000"/>
                <w:kern w:val="0"/>
                <w:szCs w:val="21"/>
              </w:rPr>
              <w:t>服务/业务</w:t>
            </w:r>
          </w:p>
        </w:tc>
        <w:tc>
          <w:tcPr>
            <w:tcW w:w="4040" w:type="pct"/>
            <w:shd w:val="clear" w:color="auto" w:fill="auto"/>
            <w:noWrap/>
            <w:vAlign w:val="center"/>
          </w:tcPr>
          <w:p w14:paraId="2F7831C6">
            <w:pPr>
              <w:widowControl/>
              <w:jc w:val="left"/>
              <w:rPr>
                <w:color w:val="000000"/>
                <w:kern w:val="0"/>
                <w:szCs w:val="21"/>
              </w:rPr>
            </w:pPr>
            <w:r>
              <w:rPr>
                <w:color w:val="000000"/>
                <w:kern w:val="0"/>
                <w:szCs w:val="21"/>
              </w:rPr>
              <w:t>移动通信网提供的各种业务：基本通话、各种补充业务等</w:t>
            </w:r>
          </w:p>
        </w:tc>
      </w:tr>
      <w:tr w14:paraId="78A3F5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960" w:type="pct"/>
            <w:shd w:val="clear" w:color="auto" w:fill="auto"/>
            <w:noWrap/>
            <w:vAlign w:val="center"/>
          </w:tcPr>
          <w:p w14:paraId="55AD51DD">
            <w:pPr>
              <w:widowControl/>
              <w:jc w:val="center"/>
              <w:rPr>
                <w:color w:val="000000"/>
                <w:kern w:val="0"/>
                <w:szCs w:val="21"/>
              </w:rPr>
            </w:pPr>
            <w:r>
              <w:rPr>
                <w:color w:val="000000"/>
                <w:kern w:val="0"/>
                <w:szCs w:val="21"/>
              </w:rPr>
              <w:t>网络拓扑</w:t>
            </w:r>
          </w:p>
        </w:tc>
        <w:tc>
          <w:tcPr>
            <w:tcW w:w="4040" w:type="pct"/>
            <w:shd w:val="clear" w:color="auto" w:fill="auto"/>
            <w:noWrap/>
            <w:vAlign w:val="center"/>
          </w:tcPr>
          <w:p w14:paraId="752A73A8">
            <w:pPr>
              <w:widowControl/>
              <w:jc w:val="left"/>
              <w:rPr>
                <w:color w:val="000000"/>
                <w:kern w:val="0"/>
                <w:szCs w:val="21"/>
              </w:rPr>
            </w:pPr>
            <w:r>
              <w:rPr>
                <w:color w:val="000000"/>
                <w:kern w:val="0"/>
                <w:szCs w:val="21"/>
              </w:rPr>
              <w:t>网络节点和链路之间的连接</w:t>
            </w:r>
          </w:p>
        </w:tc>
      </w:tr>
    </w:tbl>
    <w:p w14:paraId="4502D1CA">
      <w:pPr>
        <w:pStyle w:val="5"/>
        <w:keepLines w:val="0"/>
        <w:numPr>
          <w:ilvl w:val="2"/>
          <w:numId w:val="1"/>
        </w:numPr>
        <w:spacing w:before="0" w:after="0" w:line="360" w:lineRule="auto"/>
        <w:ind w:left="0" w:firstLine="0"/>
        <w:rPr>
          <w:rFonts w:ascii="Times New Roman" w:hAnsi="Times New Roman" w:eastAsia="宋体" w:cs="Times New Roman"/>
        </w:rPr>
      </w:pPr>
      <w:bookmarkStart w:id="417" w:name="_Ref54191891"/>
      <w:r>
        <w:rPr>
          <w:rFonts w:ascii="Times New Roman" w:hAnsi="Times New Roman" w:eastAsia="宋体" w:cs="Times New Roman"/>
        </w:rPr>
        <w:t>脆弱性分析</w:t>
      </w:r>
      <w:bookmarkEnd w:id="417"/>
    </w:p>
    <w:p w14:paraId="1836FCA4">
      <w:pPr>
        <w:spacing w:line="360" w:lineRule="auto"/>
        <w:ind w:firstLine="480"/>
        <w:rPr>
          <w:sz w:val="24"/>
        </w:rPr>
      </w:pPr>
      <w:r>
        <w:rPr>
          <w:sz w:val="24"/>
        </w:rPr>
        <w:t>移动通信网的脆弱性可以从技术脆弱性和管理脆弱性两个方面考虑。脆弱性识别对象应以资产为核心。本设计仅从技术脆弱性方面给予分析，下表给出技术脆弱性识别内容。</w:t>
      </w:r>
    </w:p>
    <w:p w14:paraId="1086D348">
      <w:pPr>
        <w:rPr>
          <w:bCs/>
          <w:szCs w:val="21"/>
        </w:rPr>
      </w:pPr>
      <w:r>
        <w:rPr>
          <w:bCs/>
          <w:szCs w:val="21"/>
        </w:rPr>
        <w:t>表</w:t>
      </w:r>
      <w:r>
        <w:rPr>
          <w:bCs/>
          <w:szCs w:val="21"/>
        </w:rPr>
        <w:fldChar w:fldCharType="begin"/>
      </w:r>
      <w:r>
        <w:rPr>
          <w:bCs/>
          <w:szCs w:val="21"/>
        </w:rPr>
        <w:instrText xml:space="preserve"> REF _Ref54191891 \r \h  \* MERGEFORMAT </w:instrText>
      </w:r>
      <w:r>
        <w:rPr>
          <w:bCs/>
          <w:szCs w:val="21"/>
        </w:rPr>
        <w:fldChar w:fldCharType="separate"/>
      </w:r>
      <w:r>
        <w:rPr>
          <w:bCs/>
          <w:szCs w:val="21"/>
        </w:rPr>
        <w:t>12.4.2</w:t>
      </w:r>
      <w:r>
        <w:rPr>
          <w:bCs/>
          <w:szCs w:val="21"/>
        </w:rPr>
        <w:fldChar w:fldCharType="end"/>
      </w:r>
      <w:r>
        <w:rPr>
          <w:bCs/>
          <w:szCs w:val="21"/>
        </w:rPr>
        <w:t xml:space="preserve">                    </w:t>
      </w:r>
      <w:r>
        <w:rPr>
          <w:rFonts w:hint="eastAsia"/>
          <w:bCs/>
          <w:szCs w:val="21"/>
        </w:rPr>
        <w:t xml:space="preserve">  </w:t>
      </w:r>
      <w:r>
        <w:rPr>
          <w:bCs/>
          <w:szCs w:val="21"/>
        </w:rPr>
        <w:t xml:space="preserve"> 脆弱性分析表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3"/>
        <w:gridCol w:w="1096"/>
        <w:gridCol w:w="6382"/>
      </w:tblGrid>
      <w:tr w14:paraId="29F3C53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blHeader/>
        </w:trPr>
        <w:tc>
          <w:tcPr>
            <w:tcW w:w="604" w:type="pct"/>
            <w:shd w:val="clear" w:color="auto" w:fill="auto"/>
            <w:noWrap/>
            <w:vAlign w:val="center"/>
          </w:tcPr>
          <w:p w14:paraId="1F64315F">
            <w:pPr>
              <w:widowControl/>
              <w:jc w:val="center"/>
              <w:rPr>
                <w:color w:val="000000"/>
                <w:kern w:val="0"/>
                <w:szCs w:val="21"/>
              </w:rPr>
            </w:pPr>
            <w:r>
              <w:rPr>
                <w:color w:val="000000"/>
                <w:kern w:val="0"/>
                <w:szCs w:val="21"/>
              </w:rPr>
              <w:t>类型</w:t>
            </w:r>
          </w:p>
        </w:tc>
        <w:tc>
          <w:tcPr>
            <w:tcW w:w="680" w:type="pct"/>
            <w:shd w:val="clear" w:color="auto" w:fill="auto"/>
            <w:noWrap/>
            <w:vAlign w:val="center"/>
          </w:tcPr>
          <w:p w14:paraId="61C6D689">
            <w:pPr>
              <w:widowControl/>
              <w:jc w:val="center"/>
              <w:rPr>
                <w:color w:val="000000"/>
                <w:kern w:val="0"/>
                <w:szCs w:val="21"/>
              </w:rPr>
            </w:pPr>
            <w:r>
              <w:rPr>
                <w:color w:val="000000"/>
                <w:kern w:val="0"/>
                <w:szCs w:val="21"/>
              </w:rPr>
              <w:t>对象</w:t>
            </w:r>
          </w:p>
        </w:tc>
        <w:tc>
          <w:tcPr>
            <w:tcW w:w="3715" w:type="pct"/>
            <w:shd w:val="clear" w:color="auto" w:fill="auto"/>
            <w:noWrap/>
            <w:vAlign w:val="center"/>
          </w:tcPr>
          <w:p w14:paraId="24213B7C">
            <w:pPr>
              <w:widowControl/>
              <w:jc w:val="center"/>
              <w:rPr>
                <w:color w:val="000000"/>
                <w:kern w:val="0"/>
                <w:szCs w:val="21"/>
              </w:rPr>
            </w:pPr>
            <w:r>
              <w:rPr>
                <w:color w:val="000000"/>
                <w:kern w:val="0"/>
                <w:szCs w:val="21"/>
              </w:rPr>
              <w:t>存在的脆弱性</w:t>
            </w:r>
          </w:p>
        </w:tc>
      </w:tr>
      <w:tr w14:paraId="6FDE019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restart"/>
            <w:shd w:val="clear" w:color="auto" w:fill="auto"/>
            <w:noWrap/>
            <w:vAlign w:val="center"/>
          </w:tcPr>
          <w:p w14:paraId="07E269B0">
            <w:pPr>
              <w:widowControl/>
              <w:jc w:val="center"/>
              <w:rPr>
                <w:color w:val="000000"/>
                <w:kern w:val="0"/>
                <w:szCs w:val="21"/>
              </w:rPr>
            </w:pPr>
            <w:r>
              <w:rPr>
                <w:color w:val="000000"/>
                <w:kern w:val="0"/>
                <w:szCs w:val="21"/>
              </w:rPr>
              <w:t>技术脆弱性</w:t>
            </w:r>
          </w:p>
        </w:tc>
        <w:tc>
          <w:tcPr>
            <w:tcW w:w="680" w:type="pct"/>
            <w:shd w:val="clear" w:color="auto" w:fill="auto"/>
            <w:noWrap/>
            <w:vAlign w:val="center"/>
          </w:tcPr>
          <w:p w14:paraId="13FD4514">
            <w:pPr>
              <w:widowControl/>
              <w:jc w:val="center"/>
              <w:rPr>
                <w:color w:val="000000"/>
                <w:kern w:val="0"/>
                <w:szCs w:val="21"/>
              </w:rPr>
            </w:pPr>
            <w:r>
              <w:rPr>
                <w:color w:val="000000"/>
                <w:kern w:val="0"/>
                <w:szCs w:val="21"/>
              </w:rPr>
              <w:t>业务/应用</w:t>
            </w:r>
          </w:p>
        </w:tc>
        <w:tc>
          <w:tcPr>
            <w:tcW w:w="3715" w:type="pct"/>
            <w:shd w:val="clear" w:color="auto" w:fill="auto"/>
            <w:noWrap/>
            <w:vAlign w:val="center"/>
          </w:tcPr>
          <w:p w14:paraId="764FD652">
            <w:pPr>
              <w:widowControl/>
              <w:jc w:val="left"/>
              <w:rPr>
                <w:color w:val="000000"/>
                <w:kern w:val="0"/>
                <w:szCs w:val="21"/>
              </w:rPr>
            </w:pPr>
            <w:r>
              <w:rPr>
                <w:color w:val="000000"/>
                <w:kern w:val="0"/>
                <w:szCs w:val="21"/>
              </w:rPr>
              <w:t>网络和设备的处理能力不够而导致在突发话务量高时业务提供不连续</w:t>
            </w:r>
          </w:p>
        </w:tc>
      </w:tr>
      <w:tr w14:paraId="5A078E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604" w:type="pct"/>
            <w:vMerge w:val="continue"/>
            <w:vAlign w:val="center"/>
          </w:tcPr>
          <w:p w14:paraId="32F11817">
            <w:pPr>
              <w:widowControl/>
              <w:jc w:val="center"/>
              <w:rPr>
                <w:color w:val="000000"/>
                <w:kern w:val="0"/>
                <w:szCs w:val="21"/>
              </w:rPr>
            </w:pPr>
          </w:p>
        </w:tc>
        <w:tc>
          <w:tcPr>
            <w:tcW w:w="680" w:type="pct"/>
            <w:shd w:val="clear" w:color="auto" w:fill="auto"/>
            <w:noWrap/>
            <w:vAlign w:val="center"/>
          </w:tcPr>
          <w:p w14:paraId="6635F069">
            <w:pPr>
              <w:widowControl/>
              <w:jc w:val="center"/>
              <w:rPr>
                <w:color w:val="000000"/>
                <w:kern w:val="0"/>
                <w:szCs w:val="21"/>
              </w:rPr>
            </w:pPr>
            <w:r>
              <w:rPr>
                <w:color w:val="000000"/>
                <w:kern w:val="0"/>
                <w:szCs w:val="21"/>
              </w:rPr>
              <w:t>网络</w:t>
            </w:r>
          </w:p>
        </w:tc>
        <w:tc>
          <w:tcPr>
            <w:tcW w:w="3715" w:type="pct"/>
            <w:shd w:val="clear" w:color="auto" w:fill="auto"/>
            <w:vAlign w:val="center"/>
          </w:tcPr>
          <w:p w14:paraId="3E54E5FA">
            <w:pPr>
              <w:widowControl/>
              <w:jc w:val="left"/>
              <w:rPr>
                <w:color w:val="000000"/>
                <w:kern w:val="0"/>
                <w:szCs w:val="21"/>
              </w:rPr>
            </w:pPr>
            <w:r>
              <w:rPr>
                <w:color w:val="000000"/>
                <w:kern w:val="0"/>
                <w:szCs w:val="21"/>
              </w:rPr>
              <w:t>网络拓扑设计不合理，网络节点设备、路由配置不合理或不够</w:t>
            </w:r>
          </w:p>
        </w:tc>
      </w:tr>
      <w:tr w14:paraId="2318C8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604" w:type="pct"/>
            <w:vMerge w:val="continue"/>
            <w:vAlign w:val="center"/>
          </w:tcPr>
          <w:p w14:paraId="6F05AB0B">
            <w:pPr>
              <w:widowControl/>
              <w:jc w:val="center"/>
              <w:rPr>
                <w:color w:val="000000"/>
                <w:kern w:val="0"/>
                <w:szCs w:val="21"/>
              </w:rPr>
            </w:pPr>
          </w:p>
        </w:tc>
        <w:tc>
          <w:tcPr>
            <w:tcW w:w="680" w:type="pct"/>
            <w:shd w:val="clear" w:color="auto" w:fill="auto"/>
            <w:noWrap/>
            <w:vAlign w:val="center"/>
          </w:tcPr>
          <w:p w14:paraId="477FC01A">
            <w:pPr>
              <w:widowControl/>
              <w:jc w:val="center"/>
              <w:rPr>
                <w:color w:val="000000"/>
                <w:kern w:val="0"/>
                <w:szCs w:val="21"/>
              </w:rPr>
            </w:pPr>
            <w:r>
              <w:rPr>
                <w:color w:val="000000"/>
                <w:kern w:val="0"/>
                <w:szCs w:val="21"/>
              </w:rPr>
              <w:t>物理环境</w:t>
            </w:r>
          </w:p>
        </w:tc>
        <w:tc>
          <w:tcPr>
            <w:tcW w:w="3715" w:type="pct"/>
            <w:shd w:val="clear" w:color="auto" w:fill="auto"/>
            <w:vAlign w:val="center"/>
          </w:tcPr>
          <w:p w14:paraId="0AF99012">
            <w:pPr>
              <w:widowControl/>
              <w:jc w:val="left"/>
              <w:rPr>
                <w:color w:val="000000"/>
                <w:kern w:val="0"/>
                <w:szCs w:val="21"/>
              </w:rPr>
            </w:pPr>
            <w:r>
              <w:rPr>
                <w:color w:val="000000"/>
                <w:kern w:val="0"/>
                <w:szCs w:val="21"/>
              </w:rPr>
              <w:t>机房场地选择不合理，防火、供配电、防静电、接地与防雷、电磁防护、温湿度控制不符合规范，通信线路、机房设备的保护不符合规范</w:t>
            </w:r>
          </w:p>
        </w:tc>
      </w:tr>
    </w:tbl>
    <w:p w14:paraId="08C609B4">
      <w:pPr>
        <w:pStyle w:val="5"/>
        <w:keepLines w:val="0"/>
        <w:numPr>
          <w:ilvl w:val="2"/>
          <w:numId w:val="1"/>
        </w:numPr>
        <w:spacing w:before="0" w:after="0" w:line="360" w:lineRule="auto"/>
        <w:ind w:left="0" w:firstLine="0"/>
        <w:rPr>
          <w:rFonts w:ascii="Times New Roman" w:hAnsi="Times New Roman" w:eastAsia="宋体" w:cs="Times New Roman"/>
        </w:rPr>
      </w:pPr>
      <w:bookmarkStart w:id="418" w:name="_Ref54191940"/>
      <w:r>
        <w:t>威胁分析</w:t>
      </w:r>
      <w:bookmarkEnd w:id="418"/>
    </w:p>
    <w:p w14:paraId="306EED72">
      <w:pPr>
        <w:spacing w:line="360" w:lineRule="auto"/>
        <w:ind w:firstLine="480"/>
        <w:rPr>
          <w:sz w:val="24"/>
        </w:rPr>
      </w:pPr>
      <w:r>
        <w:rPr>
          <w:sz w:val="24"/>
        </w:rPr>
        <w:t>移动通信网的根据来源可分为网络设备威胁、环境威胁和人为威胁。环境威胁包括自然界不可抗的威胁和其他物理威胁。根据威胁的动机，人为威胁又可分为恶意和非恶意两种。本设计仅从网络设备威胁及环境威胁进行分析，下表列举出威胁的相关内容。</w:t>
      </w:r>
    </w:p>
    <w:p w14:paraId="2A980AF4">
      <w:pPr>
        <w:jc w:val="left"/>
        <w:rPr>
          <w:bCs/>
          <w:szCs w:val="21"/>
        </w:rPr>
      </w:pPr>
      <w:r>
        <w:rPr>
          <w:bCs/>
          <w:szCs w:val="21"/>
        </w:rPr>
        <w:t>表</w:t>
      </w:r>
      <w:r>
        <w:rPr>
          <w:bCs/>
          <w:szCs w:val="21"/>
        </w:rPr>
        <w:fldChar w:fldCharType="begin"/>
      </w:r>
      <w:r>
        <w:rPr>
          <w:bCs/>
          <w:szCs w:val="21"/>
        </w:rPr>
        <w:instrText xml:space="preserve"> REF _Ref54191940 \r \h  \* MERGEFORMAT </w:instrText>
      </w:r>
      <w:r>
        <w:rPr>
          <w:bCs/>
          <w:szCs w:val="21"/>
        </w:rPr>
        <w:fldChar w:fldCharType="separate"/>
      </w:r>
      <w:r>
        <w:rPr>
          <w:bCs/>
          <w:szCs w:val="21"/>
        </w:rPr>
        <w:t>12.4.3</w:t>
      </w:r>
      <w:r>
        <w:rPr>
          <w:bCs/>
          <w:szCs w:val="21"/>
        </w:rPr>
        <w:fldChar w:fldCharType="end"/>
      </w:r>
      <w:r>
        <w:rPr>
          <w:bCs/>
          <w:szCs w:val="21"/>
        </w:rPr>
        <w:t xml:space="preserve">                      威胁来源表</w:t>
      </w:r>
    </w:p>
    <w:tbl>
      <w:tblPr>
        <w:tblStyle w:val="3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11"/>
        <w:gridCol w:w="1312"/>
        <w:gridCol w:w="6098"/>
      </w:tblGrid>
      <w:tr w14:paraId="41E6742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14:paraId="25E8F2A2">
            <w:pPr>
              <w:widowControl/>
              <w:spacing w:line="276" w:lineRule="auto"/>
              <w:jc w:val="center"/>
              <w:rPr>
                <w:color w:val="000000"/>
                <w:kern w:val="0"/>
                <w:szCs w:val="22"/>
              </w:rPr>
            </w:pPr>
            <w:r>
              <w:rPr>
                <w:color w:val="000000"/>
                <w:kern w:val="0"/>
                <w:szCs w:val="22"/>
              </w:rPr>
              <w:t>来源</w:t>
            </w:r>
          </w:p>
        </w:tc>
        <w:tc>
          <w:tcPr>
            <w:tcW w:w="3496" w:type="pct"/>
            <w:shd w:val="clear" w:color="auto" w:fill="auto"/>
            <w:noWrap/>
            <w:vAlign w:val="center"/>
          </w:tcPr>
          <w:p w14:paraId="74B0E8F8">
            <w:pPr>
              <w:widowControl/>
              <w:spacing w:line="276" w:lineRule="auto"/>
              <w:jc w:val="center"/>
              <w:rPr>
                <w:color w:val="000000"/>
                <w:kern w:val="0"/>
                <w:szCs w:val="22"/>
              </w:rPr>
            </w:pPr>
            <w:r>
              <w:rPr>
                <w:color w:val="000000"/>
                <w:kern w:val="0"/>
                <w:szCs w:val="22"/>
              </w:rPr>
              <w:t>威胁描述</w:t>
            </w:r>
          </w:p>
        </w:tc>
      </w:tr>
      <w:tr w14:paraId="4010AC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504" w:type="pct"/>
            <w:gridSpan w:val="2"/>
            <w:shd w:val="clear" w:color="auto" w:fill="auto"/>
            <w:noWrap/>
            <w:vAlign w:val="center"/>
          </w:tcPr>
          <w:p w14:paraId="41037C0C">
            <w:pPr>
              <w:widowControl/>
              <w:spacing w:line="276" w:lineRule="auto"/>
              <w:jc w:val="center"/>
              <w:rPr>
                <w:color w:val="000000"/>
                <w:kern w:val="0"/>
                <w:szCs w:val="22"/>
              </w:rPr>
            </w:pPr>
            <w:r>
              <w:rPr>
                <w:color w:val="000000"/>
                <w:kern w:val="0"/>
                <w:szCs w:val="22"/>
              </w:rPr>
              <w:t>网络设备威胁</w:t>
            </w:r>
          </w:p>
        </w:tc>
        <w:tc>
          <w:tcPr>
            <w:tcW w:w="3496" w:type="pct"/>
            <w:shd w:val="clear" w:color="auto" w:fill="auto"/>
            <w:noWrap/>
            <w:vAlign w:val="center"/>
          </w:tcPr>
          <w:p w14:paraId="3DBABDD0">
            <w:pPr>
              <w:widowControl/>
              <w:spacing w:line="276" w:lineRule="auto"/>
              <w:jc w:val="left"/>
              <w:rPr>
                <w:color w:val="000000"/>
                <w:kern w:val="0"/>
                <w:szCs w:val="22"/>
              </w:rPr>
            </w:pPr>
            <w:r>
              <w:rPr>
                <w:color w:val="000000"/>
                <w:kern w:val="0"/>
                <w:szCs w:val="22"/>
              </w:rPr>
              <w:t>节假日或其他原因的高话务冲击等</w:t>
            </w:r>
          </w:p>
        </w:tc>
      </w:tr>
      <w:tr w14:paraId="05A4E4B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752" w:type="pct"/>
            <w:vMerge w:val="restart"/>
            <w:shd w:val="clear" w:color="auto" w:fill="auto"/>
            <w:noWrap/>
            <w:vAlign w:val="center"/>
          </w:tcPr>
          <w:p w14:paraId="5AA93AF8">
            <w:pPr>
              <w:widowControl/>
              <w:spacing w:line="276" w:lineRule="auto"/>
              <w:jc w:val="center"/>
              <w:rPr>
                <w:color w:val="000000"/>
                <w:kern w:val="0"/>
                <w:szCs w:val="22"/>
              </w:rPr>
            </w:pPr>
            <w:r>
              <w:rPr>
                <w:color w:val="000000"/>
                <w:kern w:val="0"/>
                <w:szCs w:val="22"/>
              </w:rPr>
              <w:t>环境威胁</w:t>
            </w:r>
          </w:p>
        </w:tc>
        <w:tc>
          <w:tcPr>
            <w:tcW w:w="752" w:type="pct"/>
            <w:shd w:val="clear" w:color="auto" w:fill="auto"/>
            <w:noWrap/>
            <w:vAlign w:val="center"/>
          </w:tcPr>
          <w:p w14:paraId="29481E07">
            <w:pPr>
              <w:widowControl/>
              <w:spacing w:line="276" w:lineRule="auto"/>
              <w:jc w:val="center"/>
              <w:rPr>
                <w:color w:val="000000"/>
                <w:kern w:val="0"/>
                <w:szCs w:val="22"/>
              </w:rPr>
            </w:pPr>
            <w:r>
              <w:rPr>
                <w:color w:val="000000"/>
                <w:kern w:val="0"/>
                <w:szCs w:val="22"/>
              </w:rPr>
              <w:t>物理环境</w:t>
            </w:r>
          </w:p>
        </w:tc>
        <w:tc>
          <w:tcPr>
            <w:tcW w:w="3496" w:type="pct"/>
            <w:shd w:val="clear" w:color="auto" w:fill="auto"/>
            <w:vAlign w:val="center"/>
          </w:tcPr>
          <w:p w14:paraId="4EB4B587">
            <w:pPr>
              <w:widowControl/>
              <w:spacing w:line="276" w:lineRule="auto"/>
              <w:jc w:val="left"/>
              <w:rPr>
                <w:color w:val="000000"/>
                <w:kern w:val="0"/>
                <w:szCs w:val="22"/>
              </w:rPr>
            </w:pPr>
            <w:r>
              <w:rPr>
                <w:color w:val="000000"/>
                <w:kern w:val="0"/>
                <w:szCs w:val="22"/>
              </w:rPr>
              <w:t>断电、静电、灰尘、潮温、温度、电磁干扰等，意外事故或通讯线路方面的故障</w:t>
            </w:r>
          </w:p>
        </w:tc>
      </w:tr>
      <w:tr w14:paraId="0B9B6D4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752" w:type="pct"/>
            <w:vMerge w:val="continue"/>
            <w:tcBorders>
              <w:bottom w:val="single" w:color="auto" w:sz="4" w:space="0"/>
            </w:tcBorders>
            <w:vAlign w:val="center"/>
          </w:tcPr>
          <w:p w14:paraId="21E7372B">
            <w:pPr>
              <w:widowControl/>
              <w:spacing w:line="276" w:lineRule="auto"/>
              <w:jc w:val="center"/>
              <w:rPr>
                <w:color w:val="000000"/>
                <w:kern w:val="0"/>
                <w:szCs w:val="22"/>
              </w:rPr>
            </w:pPr>
          </w:p>
        </w:tc>
        <w:tc>
          <w:tcPr>
            <w:tcW w:w="752" w:type="pct"/>
            <w:tcBorders>
              <w:bottom w:val="single" w:color="auto" w:sz="4" w:space="0"/>
            </w:tcBorders>
            <w:shd w:val="clear" w:color="auto" w:fill="auto"/>
            <w:noWrap/>
            <w:vAlign w:val="center"/>
          </w:tcPr>
          <w:p w14:paraId="3E3C3BAC">
            <w:pPr>
              <w:widowControl/>
              <w:spacing w:line="276" w:lineRule="auto"/>
              <w:jc w:val="center"/>
              <w:rPr>
                <w:color w:val="000000"/>
                <w:kern w:val="0"/>
                <w:szCs w:val="22"/>
              </w:rPr>
            </w:pPr>
            <w:r>
              <w:rPr>
                <w:color w:val="000000"/>
                <w:kern w:val="0"/>
                <w:szCs w:val="22"/>
              </w:rPr>
              <w:t>自然灾害</w:t>
            </w:r>
          </w:p>
        </w:tc>
        <w:tc>
          <w:tcPr>
            <w:tcW w:w="3496" w:type="pct"/>
            <w:tcBorders>
              <w:bottom w:val="single" w:color="auto" w:sz="4" w:space="0"/>
            </w:tcBorders>
            <w:shd w:val="clear" w:color="auto" w:fill="auto"/>
            <w:noWrap/>
            <w:vAlign w:val="center"/>
          </w:tcPr>
          <w:p w14:paraId="27CA012A">
            <w:pPr>
              <w:widowControl/>
              <w:spacing w:line="276" w:lineRule="auto"/>
              <w:jc w:val="left"/>
              <w:rPr>
                <w:color w:val="000000"/>
                <w:kern w:val="0"/>
                <w:szCs w:val="22"/>
              </w:rPr>
            </w:pPr>
            <w:r>
              <w:rPr>
                <w:color w:val="000000"/>
                <w:kern w:val="0"/>
                <w:szCs w:val="22"/>
              </w:rPr>
              <w:t>火灾、雷电等</w:t>
            </w:r>
          </w:p>
        </w:tc>
      </w:tr>
    </w:tbl>
    <w:p w14:paraId="64BBAEB4">
      <w:pPr>
        <w:ind w:firstLine="480"/>
      </w:pPr>
      <w:bookmarkStart w:id="419" w:name="_Toc494104351"/>
      <w:bookmarkStart w:id="420" w:name="_Toc478849594"/>
      <w:bookmarkStart w:id="421" w:name="_Toc54212767"/>
      <w:bookmarkStart w:id="422" w:name="_Toc41997752"/>
      <w:bookmarkStart w:id="423" w:name="_Toc54214002"/>
      <w:bookmarkStart w:id="424" w:name="_Toc54212668"/>
      <w:bookmarkStart w:id="425" w:name="_Toc54213170"/>
      <w:bookmarkStart w:id="426" w:name="_Toc54213849"/>
    </w:p>
    <w:p w14:paraId="0F2A29E7">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7" w:name="_Toc97207341"/>
      <w:bookmarkStart w:id="428" w:name="_Toc132902888"/>
      <w:r>
        <w:rPr>
          <w:rFonts w:ascii="黑体" w:hAnsi="黑体" w:eastAsia="黑体" w:cs="Times New Roman"/>
          <w:color w:val="000000" w:themeColor="text1"/>
          <w:sz w:val="28"/>
          <w:szCs w:val="28"/>
          <w14:textFill>
            <w14:solidFill>
              <w14:schemeClr w14:val="tx1"/>
            </w14:solidFill>
          </w14:textFill>
        </w:rPr>
        <w:t>移动通信网</w:t>
      </w:r>
      <w:bookmarkEnd w:id="419"/>
      <w:bookmarkEnd w:id="420"/>
      <w:r>
        <w:rPr>
          <w:rFonts w:ascii="黑体" w:hAnsi="黑体" w:eastAsia="黑体" w:cs="Times New Roman"/>
          <w:color w:val="000000" w:themeColor="text1"/>
          <w:sz w:val="28"/>
          <w:szCs w:val="28"/>
          <w14:textFill>
            <w14:solidFill>
              <w14:schemeClr w14:val="tx1"/>
            </w14:solidFill>
          </w14:textFill>
        </w:rPr>
        <w:t>及信息安全解决方案</w:t>
      </w:r>
      <w:bookmarkEnd w:id="421"/>
      <w:bookmarkEnd w:id="422"/>
      <w:bookmarkEnd w:id="423"/>
      <w:bookmarkEnd w:id="424"/>
      <w:bookmarkEnd w:id="425"/>
      <w:bookmarkEnd w:id="426"/>
      <w:bookmarkEnd w:id="427"/>
      <w:bookmarkEnd w:id="428"/>
    </w:p>
    <w:p w14:paraId="5F9635B8">
      <w:pPr>
        <w:spacing w:line="360" w:lineRule="auto"/>
        <w:ind w:firstLine="480"/>
        <w:rPr>
          <w:rFonts w:hint="eastAsia" w:ascii="宋体" w:hAnsi="宋体"/>
          <w:sz w:val="24"/>
          <w:szCs w:val="32"/>
        </w:rPr>
      </w:pPr>
      <w:r>
        <w:rPr>
          <w:rFonts w:ascii="宋体" w:hAnsi="宋体"/>
          <w:sz w:val="24"/>
          <w:szCs w:val="32"/>
        </w:rPr>
        <w:t>移动通信网安全等级是移动通信网安全重要程度的表征。重要程度可从移动通信网及相关系统受到破坏后，对国家安全、社会秩序、经济运行、公共利益、网络和业务运营商造成的损害来衡量，由低到高分别划分为一级、二级、三级、四级、五级，分级标准执行国家网络安全防护定级行业标准。</w:t>
      </w:r>
    </w:p>
    <w:p w14:paraId="2097B388">
      <w:pPr>
        <w:spacing w:line="360" w:lineRule="auto"/>
        <w:ind w:firstLine="480"/>
        <w:rPr>
          <w:rFonts w:hint="eastAsia" w:ascii="宋体" w:hAnsi="宋体"/>
          <w:sz w:val="24"/>
          <w:szCs w:val="32"/>
        </w:rPr>
      </w:pPr>
      <w:r>
        <w:rPr>
          <w:rFonts w:ascii="宋体" w:hAnsi="宋体"/>
          <w:sz w:val="24"/>
          <w:szCs w:val="32"/>
        </w:rPr>
        <w:t>根据工信部建议，无线接入子系统的安全等级为2级/3.1级。</w:t>
      </w:r>
    </w:p>
    <w:p w14:paraId="76CF1A28">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第2 级安全等级</w:t>
      </w:r>
    </w:p>
    <w:p w14:paraId="022B61C1">
      <w:pPr>
        <w:pStyle w:val="58"/>
        <w:spacing w:line="360" w:lineRule="auto"/>
        <w:ind w:firstLine="480"/>
        <w:rPr>
          <w:sz w:val="24"/>
          <w:szCs w:val="32"/>
        </w:rPr>
      </w:pPr>
      <w:r>
        <w:rPr>
          <w:sz w:val="24"/>
          <w:szCs w:val="32"/>
        </w:rPr>
        <w:t>定级对象受到破坏后，会对网络和业务运营商的合法权益产生严重损害，或者对社会秩序、经济运行和公共利益造成轻微损害，但不损害国家安全。</w:t>
      </w:r>
    </w:p>
    <w:p w14:paraId="5551C7E8">
      <w:pPr>
        <w:pStyle w:val="58"/>
        <w:spacing w:line="360" w:lineRule="auto"/>
        <w:ind w:firstLine="480"/>
        <w:rPr>
          <w:sz w:val="24"/>
          <w:szCs w:val="32"/>
        </w:rPr>
      </w:pPr>
      <w:r>
        <w:rPr>
          <w:sz w:val="24"/>
          <w:szCs w:val="32"/>
        </w:rPr>
        <w:t>本级由网络和业务运营商依据国家和通信行业有关标准进行保护，主管部门对其安全等级保护工作进行指导。</w:t>
      </w:r>
    </w:p>
    <w:p w14:paraId="3D6F0239">
      <w:pPr>
        <w:pStyle w:val="58"/>
        <w:widowControl/>
        <w:numPr>
          <w:ilvl w:val="0"/>
          <w:numId w:val="35"/>
        </w:numPr>
        <w:spacing w:line="360" w:lineRule="auto"/>
        <w:ind w:firstLineChars="0"/>
        <w:jc w:val="left"/>
        <w:rPr>
          <w:sz w:val="24"/>
          <w:szCs w:val="32"/>
        </w:rPr>
      </w:pPr>
      <w:r>
        <w:rPr>
          <w:sz w:val="24"/>
          <w:szCs w:val="32"/>
        </w:rPr>
        <w:t>业务安全要求</w:t>
      </w:r>
    </w:p>
    <w:p w14:paraId="66B5279C">
      <w:pPr>
        <w:pStyle w:val="58"/>
        <w:spacing w:line="360" w:lineRule="auto"/>
        <w:ind w:firstLine="480"/>
        <w:rPr>
          <w:sz w:val="24"/>
          <w:szCs w:val="32"/>
        </w:rPr>
      </w:pPr>
      <w:r>
        <w:rPr>
          <w:sz w:val="24"/>
          <w:szCs w:val="32"/>
        </w:rPr>
        <w:t>在网络发生拥塞或设备发生单点故障时，应保证业务的连续性。</w:t>
      </w:r>
    </w:p>
    <w:p w14:paraId="4EBD82E2">
      <w:pPr>
        <w:pStyle w:val="58"/>
        <w:widowControl/>
        <w:numPr>
          <w:ilvl w:val="0"/>
          <w:numId w:val="35"/>
        </w:numPr>
        <w:spacing w:line="360" w:lineRule="auto"/>
        <w:ind w:firstLineChars="0"/>
        <w:jc w:val="left"/>
        <w:rPr>
          <w:sz w:val="24"/>
          <w:szCs w:val="32"/>
        </w:rPr>
      </w:pPr>
      <w:r>
        <w:rPr>
          <w:sz w:val="24"/>
          <w:szCs w:val="32"/>
        </w:rPr>
        <w:t>网络安全要求</w:t>
      </w:r>
    </w:p>
    <w:p w14:paraId="5752F191">
      <w:pPr>
        <w:pStyle w:val="58"/>
        <w:spacing w:line="360" w:lineRule="auto"/>
        <w:ind w:firstLine="480"/>
        <w:rPr>
          <w:sz w:val="24"/>
          <w:szCs w:val="32"/>
        </w:rPr>
      </w:pPr>
      <w:r>
        <w:rPr>
          <w:sz w:val="24"/>
          <w:szCs w:val="32"/>
        </w:rPr>
        <w:t>在网络发生拥塞或设备发生单点故障时，应保证业务的连续性。</w:t>
      </w:r>
    </w:p>
    <w:p w14:paraId="240A1CDF">
      <w:pPr>
        <w:pStyle w:val="58"/>
        <w:widowControl/>
        <w:numPr>
          <w:ilvl w:val="0"/>
          <w:numId w:val="36"/>
        </w:numPr>
        <w:spacing w:line="360" w:lineRule="auto"/>
        <w:ind w:firstLineChars="0"/>
        <w:jc w:val="left"/>
        <w:rPr>
          <w:sz w:val="24"/>
          <w:szCs w:val="32"/>
        </w:rPr>
      </w:pPr>
      <w:r>
        <w:rPr>
          <w:sz w:val="24"/>
          <w:szCs w:val="32"/>
        </w:rPr>
        <w:t>网络拓扑结构</w:t>
      </w:r>
    </w:p>
    <w:p w14:paraId="33025EA5">
      <w:pPr>
        <w:pStyle w:val="58"/>
        <w:spacing w:line="360" w:lineRule="auto"/>
        <w:ind w:firstLine="480"/>
        <w:rPr>
          <w:sz w:val="24"/>
          <w:szCs w:val="32"/>
        </w:rPr>
      </w:pPr>
      <w:r>
        <w:rPr>
          <w:sz w:val="24"/>
          <w:szCs w:val="32"/>
        </w:rPr>
        <w:t>设计中网络设备处理能力具备冗余空间，满足流量高负荷时需求，可避免由于设备配置不够而导致网络全部或者局部瘫痪。</w:t>
      </w:r>
    </w:p>
    <w:p w14:paraId="7CF5AC4A">
      <w:pPr>
        <w:pStyle w:val="58"/>
        <w:spacing w:line="360" w:lineRule="auto"/>
        <w:ind w:firstLine="480"/>
        <w:rPr>
          <w:sz w:val="24"/>
          <w:szCs w:val="32"/>
        </w:rPr>
      </w:pPr>
      <w:r>
        <w:rPr>
          <w:sz w:val="24"/>
          <w:szCs w:val="32"/>
        </w:rPr>
        <w:t>网络拓扑设计合理，设计中绘制与当前运行情况相符合的网络拓扑图。</w:t>
      </w:r>
    </w:p>
    <w:p w14:paraId="77DF969B">
      <w:pPr>
        <w:pStyle w:val="58"/>
        <w:widowControl/>
        <w:numPr>
          <w:ilvl w:val="0"/>
          <w:numId w:val="36"/>
        </w:numPr>
        <w:spacing w:line="360" w:lineRule="auto"/>
        <w:ind w:firstLineChars="0"/>
        <w:jc w:val="left"/>
        <w:rPr>
          <w:sz w:val="24"/>
          <w:szCs w:val="32"/>
        </w:rPr>
      </w:pPr>
      <w:r>
        <w:rPr>
          <w:sz w:val="24"/>
          <w:szCs w:val="32"/>
        </w:rPr>
        <w:t>接入安全</w:t>
      </w:r>
    </w:p>
    <w:p w14:paraId="57A19EBC">
      <w:pPr>
        <w:pStyle w:val="58"/>
        <w:spacing w:line="360" w:lineRule="auto"/>
        <w:ind w:firstLine="480"/>
        <w:rPr>
          <w:sz w:val="24"/>
          <w:szCs w:val="32"/>
        </w:rPr>
      </w:pPr>
      <w:r>
        <w:rPr>
          <w:sz w:val="24"/>
          <w:szCs w:val="32"/>
        </w:rPr>
        <w:t>接入移动通信网系统的用户鉴权、用户身份的保密及加密机制详见《YDT 1734-2009 移动通信网安全防护要求》中相关章节内容。</w:t>
      </w:r>
    </w:p>
    <w:p w14:paraId="6E5377D2">
      <w:pPr>
        <w:pStyle w:val="58"/>
        <w:widowControl/>
        <w:numPr>
          <w:ilvl w:val="0"/>
          <w:numId w:val="36"/>
        </w:numPr>
        <w:spacing w:line="360" w:lineRule="auto"/>
        <w:ind w:firstLineChars="0"/>
        <w:jc w:val="left"/>
        <w:rPr>
          <w:sz w:val="24"/>
          <w:szCs w:val="32"/>
        </w:rPr>
      </w:pPr>
      <w:r>
        <w:rPr>
          <w:sz w:val="24"/>
          <w:szCs w:val="32"/>
        </w:rPr>
        <w:t>网络域安全</w:t>
      </w:r>
    </w:p>
    <w:p w14:paraId="1328B837">
      <w:pPr>
        <w:pStyle w:val="58"/>
        <w:spacing w:line="360" w:lineRule="auto"/>
        <w:ind w:firstLine="480"/>
        <w:rPr>
          <w:sz w:val="24"/>
          <w:szCs w:val="32"/>
        </w:rPr>
      </w:pPr>
      <w:r>
        <w:rPr>
          <w:sz w:val="24"/>
          <w:szCs w:val="32"/>
        </w:rPr>
        <w:t>分组域与外部IP网络之间及内部网络之间的安全保护要求详见《YDT 1734-2009 移动通信网安全防护要求》中相关章节内容。</w:t>
      </w:r>
    </w:p>
    <w:p w14:paraId="1C2FD273">
      <w:pPr>
        <w:pStyle w:val="58"/>
        <w:widowControl/>
        <w:numPr>
          <w:ilvl w:val="0"/>
          <w:numId w:val="35"/>
        </w:numPr>
        <w:spacing w:line="360" w:lineRule="auto"/>
        <w:ind w:firstLineChars="0"/>
        <w:jc w:val="left"/>
        <w:rPr>
          <w:sz w:val="24"/>
          <w:szCs w:val="32"/>
        </w:rPr>
      </w:pPr>
      <w:r>
        <w:rPr>
          <w:sz w:val="24"/>
          <w:szCs w:val="32"/>
        </w:rPr>
        <w:t>设备安全要求</w:t>
      </w:r>
    </w:p>
    <w:p w14:paraId="71A94FA7">
      <w:pPr>
        <w:pStyle w:val="58"/>
        <w:spacing w:line="360" w:lineRule="auto"/>
        <w:ind w:firstLine="480"/>
        <w:rPr>
          <w:sz w:val="24"/>
          <w:szCs w:val="32"/>
        </w:rPr>
      </w:pPr>
      <w:r>
        <w:rPr>
          <w:sz w:val="24"/>
          <w:szCs w:val="32"/>
        </w:rPr>
        <w:t>设备安全满足设备技术规范、设备入网管理相关要求。</w:t>
      </w:r>
    </w:p>
    <w:p w14:paraId="0761BD9F">
      <w:pPr>
        <w:pStyle w:val="58"/>
        <w:widowControl/>
        <w:numPr>
          <w:ilvl w:val="0"/>
          <w:numId w:val="35"/>
        </w:numPr>
        <w:spacing w:line="360" w:lineRule="auto"/>
        <w:ind w:firstLineChars="0"/>
        <w:jc w:val="left"/>
        <w:rPr>
          <w:sz w:val="24"/>
          <w:szCs w:val="32"/>
        </w:rPr>
      </w:pPr>
      <w:r>
        <w:rPr>
          <w:sz w:val="24"/>
          <w:szCs w:val="32"/>
        </w:rPr>
        <w:t>物理环境安全要求</w:t>
      </w:r>
    </w:p>
    <w:p w14:paraId="4BB42B4B">
      <w:pPr>
        <w:pStyle w:val="58"/>
        <w:widowControl/>
        <w:numPr>
          <w:ilvl w:val="0"/>
          <w:numId w:val="37"/>
        </w:numPr>
        <w:spacing w:line="360" w:lineRule="auto"/>
        <w:ind w:firstLineChars="0"/>
        <w:jc w:val="left"/>
        <w:rPr>
          <w:sz w:val="24"/>
          <w:szCs w:val="32"/>
        </w:rPr>
      </w:pPr>
      <w:r>
        <w:rPr>
          <w:sz w:val="24"/>
          <w:szCs w:val="32"/>
        </w:rPr>
        <w:t>机房、办公场地物理环境安全</w:t>
      </w:r>
    </w:p>
    <w:p w14:paraId="59EDAE5E">
      <w:pPr>
        <w:widowControl/>
        <w:spacing w:line="360" w:lineRule="auto"/>
        <w:ind w:firstLine="480" w:firstLineChars="200"/>
        <w:jc w:val="left"/>
        <w:rPr>
          <w:sz w:val="24"/>
          <w:szCs w:val="32"/>
        </w:rPr>
      </w:pPr>
      <w:r>
        <w:rPr>
          <w:sz w:val="24"/>
          <w:szCs w:val="32"/>
        </w:rPr>
        <w:t>除满足YDT/T 1754《电信网和互联网物理环境安全等级保护要求》中第2级的安全要求外，还需满足：机房整体抗震能力不低于里氏7级，相关楼层承重能力不低于750kg/m²。</w:t>
      </w:r>
    </w:p>
    <w:p w14:paraId="0E4728FD">
      <w:pPr>
        <w:pStyle w:val="58"/>
        <w:widowControl/>
        <w:numPr>
          <w:ilvl w:val="0"/>
          <w:numId w:val="37"/>
        </w:numPr>
        <w:spacing w:line="360" w:lineRule="auto"/>
        <w:ind w:firstLineChars="0"/>
        <w:jc w:val="left"/>
        <w:rPr>
          <w:sz w:val="24"/>
          <w:szCs w:val="32"/>
        </w:rPr>
      </w:pPr>
      <w:r>
        <w:rPr>
          <w:sz w:val="24"/>
          <w:szCs w:val="32"/>
        </w:rPr>
        <w:t>室外无线接入设备场地物理环境</w:t>
      </w:r>
    </w:p>
    <w:p w14:paraId="5AFC2768">
      <w:pPr>
        <w:pStyle w:val="58"/>
        <w:widowControl/>
        <w:numPr>
          <w:ilvl w:val="0"/>
          <w:numId w:val="38"/>
        </w:numPr>
        <w:spacing w:line="360" w:lineRule="auto"/>
        <w:ind w:left="420" w:leftChars="200" w:firstLineChars="0"/>
        <w:jc w:val="left"/>
        <w:rPr>
          <w:sz w:val="24"/>
          <w:szCs w:val="32"/>
        </w:rPr>
      </w:pPr>
      <w:r>
        <w:rPr>
          <w:sz w:val="24"/>
          <w:szCs w:val="32"/>
        </w:rPr>
        <w:t>物理位置的选择</w:t>
      </w:r>
    </w:p>
    <w:p w14:paraId="1680B526">
      <w:pPr>
        <w:widowControl/>
        <w:spacing w:line="360" w:lineRule="auto"/>
        <w:ind w:firstLine="480" w:firstLineChars="200"/>
        <w:jc w:val="left"/>
        <w:rPr>
          <w:sz w:val="24"/>
          <w:szCs w:val="32"/>
        </w:rPr>
      </w:pPr>
      <w:r>
        <w:rPr>
          <w:sz w:val="24"/>
          <w:szCs w:val="32"/>
        </w:rPr>
        <w:t>室外无线接入设备场地选择在具有防震、防风和防雨等能力的建筑内；</w:t>
      </w:r>
    </w:p>
    <w:p w14:paraId="62B229A7">
      <w:pPr>
        <w:widowControl/>
        <w:spacing w:line="360" w:lineRule="auto"/>
        <w:ind w:firstLine="480" w:firstLineChars="200"/>
        <w:jc w:val="left"/>
        <w:rPr>
          <w:sz w:val="24"/>
          <w:szCs w:val="32"/>
        </w:rPr>
      </w:pPr>
      <w:r>
        <w:rPr>
          <w:sz w:val="24"/>
          <w:szCs w:val="32"/>
        </w:rPr>
        <w:t>室外无线接入设备场地整体抗震能力不低于里氏7级，承重能力不低于750kg/m²。</w:t>
      </w:r>
    </w:p>
    <w:p w14:paraId="67F4C402">
      <w:pPr>
        <w:pStyle w:val="58"/>
        <w:widowControl/>
        <w:numPr>
          <w:ilvl w:val="0"/>
          <w:numId w:val="38"/>
        </w:numPr>
        <w:spacing w:line="360" w:lineRule="auto"/>
        <w:ind w:left="420" w:leftChars="200" w:firstLineChars="0"/>
        <w:jc w:val="left"/>
        <w:rPr>
          <w:sz w:val="24"/>
          <w:szCs w:val="32"/>
        </w:rPr>
      </w:pPr>
      <w:r>
        <w:rPr>
          <w:sz w:val="24"/>
          <w:szCs w:val="32"/>
        </w:rPr>
        <w:t>防盗窃和防破坏</w:t>
      </w:r>
    </w:p>
    <w:p w14:paraId="3410607C">
      <w:pPr>
        <w:widowControl/>
        <w:spacing w:line="360" w:lineRule="auto"/>
        <w:ind w:firstLine="480" w:firstLineChars="200"/>
        <w:jc w:val="left"/>
        <w:rPr>
          <w:sz w:val="24"/>
          <w:szCs w:val="32"/>
        </w:rPr>
      </w:pPr>
      <w:r>
        <w:rPr>
          <w:sz w:val="24"/>
          <w:szCs w:val="32"/>
        </w:rPr>
        <w:t>主要设备放置在物理受限的范围内；</w:t>
      </w:r>
    </w:p>
    <w:p w14:paraId="73525421">
      <w:pPr>
        <w:widowControl/>
        <w:spacing w:line="360" w:lineRule="auto"/>
        <w:ind w:firstLine="480" w:firstLineChars="200"/>
        <w:jc w:val="left"/>
        <w:rPr>
          <w:sz w:val="24"/>
          <w:szCs w:val="32"/>
        </w:rPr>
      </w:pPr>
      <w:r>
        <w:rPr>
          <w:sz w:val="24"/>
          <w:szCs w:val="32"/>
        </w:rPr>
        <w:t>对设备或主要部件进行固定；</w:t>
      </w:r>
    </w:p>
    <w:p w14:paraId="38726316">
      <w:pPr>
        <w:widowControl/>
        <w:spacing w:line="360" w:lineRule="auto"/>
        <w:ind w:firstLine="480" w:firstLineChars="200"/>
        <w:jc w:val="left"/>
        <w:rPr>
          <w:sz w:val="24"/>
          <w:szCs w:val="32"/>
        </w:rPr>
      </w:pPr>
      <w:r>
        <w:rPr>
          <w:sz w:val="24"/>
          <w:szCs w:val="32"/>
        </w:rPr>
        <w:t>通信线缆铺设在隐蔽处，如铺设在地下或管道中等。</w:t>
      </w:r>
    </w:p>
    <w:p w14:paraId="17500874">
      <w:pPr>
        <w:pStyle w:val="58"/>
        <w:widowControl/>
        <w:numPr>
          <w:ilvl w:val="0"/>
          <w:numId w:val="38"/>
        </w:numPr>
        <w:spacing w:line="360" w:lineRule="auto"/>
        <w:ind w:left="420" w:leftChars="200" w:firstLineChars="0"/>
        <w:jc w:val="left"/>
        <w:rPr>
          <w:sz w:val="24"/>
          <w:szCs w:val="32"/>
        </w:rPr>
      </w:pPr>
      <w:r>
        <w:rPr>
          <w:sz w:val="24"/>
          <w:szCs w:val="32"/>
        </w:rPr>
        <w:t>防雷击</w:t>
      </w:r>
    </w:p>
    <w:p w14:paraId="74610C39">
      <w:pPr>
        <w:widowControl/>
        <w:spacing w:line="360" w:lineRule="auto"/>
        <w:ind w:firstLine="480" w:firstLineChars="200"/>
        <w:jc w:val="left"/>
        <w:rPr>
          <w:sz w:val="24"/>
          <w:szCs w:val="32"/>
        </w:rPr>
      </w:pPr>
      <w:r>
        <w:rPr>
          <w:sz w:val="24"/>
          <w:szCs w:val="32"/>
        </w:rPr>
        <w:t>室外无线接入设备建筑设置避雷装置；</w:t>
      </w:r>
    </w:p>
    <w:p w14:paraId="4A1EEEDA">
      <w:pPr>
        <w:widowControl/>
        <w:spacing w:line="360" w:lineRule="auto"/>
        <w:ind w:firstLine="480" w:firstLineChars="200"/>
        <w:jc w:val="left"/>
        <w:rPr>
          <w:sz w:val="24"/>
          <w:szCs w:val="32"/>
        </w:rPr>
      </w:pPr>
      <w:r>
        <w:rPr>
          <w:sz w:val="24"/>
          <w:szCs w:val="32"/>
        </w:rPr>
        <w:t>设置交流电源地线；</w:t>
      </w:r>
    </w:p>
    <w:p w14:paraId="1FBDFCAF">
      <w:pPr>
        <w:widowControl/>
        <w:spacing w:line="360" w:lineRule="auto"/>
        <w:ind w:firstLine="480" w:firstLineChars="200"/>
        <w:jc w:val="left"/>
        <w:rPr>
          <w:sz w:val="24"/>
          <w:szCs w:val="32"/>
        </w:rPr>
      </w:pPr>
      <w:r>
        <w:rPr>
          <w:sz w:val="24"/>
          <w:szCs w:val="32"/>
        </w:rPr>
        <w:t>满足GB50689-2011中“3基本规定”、“4综合通信大楼的防雷与接地”、“6移动通信基站的防雷与接地”、“7 小型通信站的防雷与接地”、“9 通信局(站)雷电过电压保护设计”的要求。</w:t>
      </w:r>
    </w:p>
    <w:p w14:paraId="56939718">
      <w:pPr>
        <w:pStyle w:val="58"/>
        <w:widowControl/>
        <w:numPr>
          <w:ilvl w:val="0"/>
          <w:numId w:val="38"/>
        </w:numPr>
        <w:spacing w:line="360" w:lineRule="auto"/>
        <w:ind w:left="420" w:leftChars="200" w:firstLineChars="0"/>
        <w:jc w:val="left"/>
        <w:rPr>
          <w:sz w:val="24"/>
          <w:szCs w:val="32"/>
        </w:rPr>
      </w:pPr>
      <w:r>
        <w:rPr>
          <w:sz w:val="24"/>
          <w:szCs w:val="32"/>
        </w:rPr>
        <w:t>防火</w:t>
      </w:r>
    </w:p>
    <w:p w14:paraId="77186588">
      <w:pPr>
        <w:widowControl/>
        <w:spacing w:line="360" w:lineRule="auto"/>
        <w:ind w:firstLine="480" w:firstLineChars="200"/>
        <w:jc w:val="left"/>
        <w:rPr>
          <w:sz w:val="24"/>
          <w:szCs w:val="32"/>
        </w:rPr>
      </w:pPr>
      <w:r>
        <w:rPr>
          <w:sz w:val="24"/>
          <w:szCs w:val="32"/>
        </w:rPr>
        <w:t>机房内设置灭火设备，并保持灭火设备的良好状态。</w:t>
      </w:r>
    </w:p>
    <w:p w14:paraId="7DFC0F3C">
      <w:pPr>
        <w:pStyle w:val="58"/>
        <w:widowControl/>
        <w:numPr>
          <w:ilvl w:val="0"/>
          <w:numId w:val="38"/>
        </w:numPr>
        <w:spacing w:line="360" w:lineRule="auto"/>
        <w:ind w:left="420" w:leftChars="200" w:firstLineChars="0"/>
        <w:jc w:val="left"/>
        <w:rPr>
          <w:sz w:val="24"/>
          <w:szCs w:val="32"/>
        </w:rPr>
      </w:pPr>
      <w:r>
        <w:rPr>
          <w:sz w:val="24"/>
          <w:szCs w:val="32"/>
        </w:rPr>
        <w:t>防水和防潮</w:t>
      </w:r>
    </w:p>
    <w:p w14:paraId="49E16250">
      <w:pPr>
        <w:widowControl/>
        <w:spacing w:line="360" w:lineRule="auto"/>
        <w:ind w:firstLine="480" w:firstLineChars="200"/>
        <w:jc w:val="left"/>
        <w:rPr>
          <w:sz w:val="24"/>
          <w:szCs w:val="32"/>
        </w:rPr>
      </w:pPr>
      <w:r>
        <w:rPr>
          <w:sz w:val="24"/>
          <w:szCs w:val="32"/>
        </w:rPr>
        <w:t>在移动通信设备机房装修及活动MINI机房生产工艺上有明确防水防潮要求：</w:t>
      </w:r>
    </w:p>
    <w:p w14:paraId="66857818">
      <w:pPr>
        <w:widowControl/>
        <w:spacing w:line="360" w:lineRule="auto"/>
        <w:ind w:firstLine="480" w:firstLineChars="200"/>
        <w:jc w:val="left"/>
        <w:rPr>
          <w:sz w:val="24"/>
          <w:szCs w:val="32"/>
        </w:rPr>
      </w:pPr>
      <w:r>
        <w:rPr>
          <w:sz w:val="24"/>
          <w:szCs w:val="32"/>
        </w:rPr>
        <w:t>防止雨水通过屋顶和墙壁渗透；</w:t>
      </w:r>
    </w:p>
    <w:p w14:paraId="295D132D">
      <w:pPr>
        <w:widowControl/>
        <w:spacing w:line="360" w:lineRule="auto"/>
        <w:ind w:firstLine="480" w:firstLineChars="200"/>
        <w:jc w:val="left"/>
        <w:rPr>
          <w:sz w:val="24"/>
          <w:szCs w:val="32"/>
        </w:rPr>
      </w:pPr>
      <w:r>
        <w:rPr>
          <w:sz w:val="24"/>
          <w:szCs w:val="32"/>
        </w:rPr>
        <w:t>防止室内水蒸气结露和地下积水的转移与渗透。</w:t>
      </w:r>
    </w:p>
    <w:p w14:paraId="72B572BF">
      <w:pPr>
        <w:pStyle w:val="58"/>
        <w:widowControl/>
        <w:numPr>
          <w:ilvl w:val="0"/>
          <w:numId w:val="38"/>
        </w:numPr>
        <w:spacing w:line="360" w:lineRule="auto"/>
        <w:ind w:left="420" w:leftChars="200" w:firstLineChars="0"/>
        <w:jc w:val="left"/>
        <w:rPr>
          <w:sz w:val="24"/>
          <w:szCs w:val="32"/>
        </w:rPr>
      </w:pPr>
      <w:r>
        <w:rPr>
          <w:sz w:val="24"/>
          <w:szCs w:val="32"/>
        </w:rPr>
        <w:t>温湿度控制</w:t>
      </w:r>
    </w:p>
    <w:p w14:paraId="35FFFB94">
      <w:pPr>
        <w:widowControl/>
        <w:spacing w:line="360" w:lineRule="auto"/>
        <w:ind w:firstLine="480" w:firstLineChars="200"/>
        <w:jc w:val="left"/>
        <w:rPr>
          <w:sz w:val="24"/>
          <w:szCs w:val="32"/>
        </w:rPr>
      </w:pPr>
      <w:r>
        <w:rPr>
          <w:sz w:val="24"/>
          <w:szCs w:val="32"/>
        </w:rPr>
        <w:t>机房内设置空调、新风系统等温、湿度自动调节设施，使室外无线接入设备场地温、湿度的变化在设备运行所允许的范围之内。</w:t>
      </w:r>
    </w:p>
    <w:p w14:paraId="38632FB6">
      <w:pPr>
        <w:pStyle w:val="58"/>
        <w:widowControl/>
        <w:numPr>
          <w:ilvl w:val="0"/>
          <w:numId w:val="38"/>
        </w:numPr>
        <w:spacing w:line="360" w:lineRule="auto"/>
        <w:ind w:left="420" w:leftChars="200" w:firstLineChars="0"/>
        <w:jc w:val="left"/>
        <w:rPr>
          <w:sz w:val="24"/>
          <w:szCs w:val="32"/>
        </w:rPr>
      </w:pPr>
      <w:r>
        <w:rPr>
          <w:sz w:val="24"/>
          <w:szCs w:val="32"/>
        </w:rPr>
        <w:t>防尘</w:t>
      </w:r>
    </w:p>
    <w:p w14:paraId="502A35E1">
      <w:pPr>
        <w:widowControl/>
        <w:spacing w:line="360" w:lineRule="auto"/>
        <w:ind w:firstLine="480" w:firstLineChars="200"/>
        <w:jc w:val="left"/>
        <w:rPr>
          <w:sz w:val="24"/>
          <w:szCs w:val="32"/>
        </w:rPr>
      </w:pPr>
      <w:r>
        <w:rPr>
          <w:sz w:val="24"/>
          <w:szCs w:val="32"/>
        </w:rPr>
        <w:t>对室外无线接入设备机房有具体的防尘要求，出入室外无线接入设备机房要求使用鞋套。</w:t>
      </w:r>
    </w:p>
    <w:p w14:paraId="7E61CDA1">
      <w:pPr>
        <w:pStyle w:val="58"/>
        <w:widowControl/>
        <w:numPr>
          <w:ilvl w:val="0"/>
          <w:numId w:val="38"/>
        </w:numPr>
        <w:spacing w:line="360" w:lineRule="auto"/>
        <w:ind w:left="420" w:leftChars="200" w:firstLineChars="0"/>
        <w:jc w:val="left"/>
        <w:rPr>
          <w:sz w:val="24"/>
          <w:szCs w:val="32"/>
        </w:rPr>
      </w:pPr>
      <w:r>
        <w:rPr>
          <w:sz w:val="24"/>
          <w:szCs w:val="32"/>
        </w:rPr>
        <w:t>防鼠虫</w:t>
      </w:r>
    </w:p>
    <w:p w14:paraId="091A91FA">
      <w:pPr>
        <w:widowControl/>
        <w:spacing w:line="360" w:lineRule="auto"/>
        <w:ind w:firstLine="480" w:firstLineChars="200"/>
        <w:jc w:val="left"/>
        <w:rPr>
          <w:sz w:val="24"/>
          <w:szCs w:val="32"/>
        </w:rPr>
      </w:pPr>
      <w:r>
        <w:rPr>
          <w:sz w:val="24"/>
          <w:szCs w:val="32"/>
        </w:rPr>
        <w:t>采用防鼠光缆等措施，有效防范鼠虫蚁害。</w:t>
      </w:r>
    </w:p>
    <w:p w14:paraId="5B5EDA4B">
      <w:pPr>
        <w:pStyle w:val="58"/>
        <w:widowControl/>
        <w:numPr>
          <w:ilvl w:val="0"/>
          <w:numId w:val="38"/>
        </w:numPr>
        <w:spacing w:line="360" w:lineRule="auto"/>
        <w:ind w:left="420" w:leftChars="200" w:firstLineChars="0"/>
        <w:jc w:val="left"/>
        <w:rPr>
          <w:sz w:val="24"/>
          <w:szCs w:val="32"/>
        </w:rPr>
      </w:pPr>
      <w:r>
        <w:rPr>
          <w:sz w:val="24"/>
          <w:szCs w:val="32"/>
        </w:rPr>
        <w:t>电力供应</w:t>
      </w:r>
    </w:p>
    <w:p w14:paraId="60E94B1B">
      <w:pPr>
        <w:widowControl/>
        <w:spacing w:line="360" w:lineRule="auto"/>
        <w:ind w:firstLine="480" w:firstLineChars="200"/>
        <w:jc w:val="left"/>
        <w:rPr>
          <w:sz w:val="24"/>
          <w:szCs w:val="32"/>
        </w:rPr>
      </w:pPr>
      <w:r>
        <w:rPr>
          <w:sz w:val="24"/>
          <w:szCs w:val="32"/>
        </w:rPr>
        <w:t>机房内设置开关电源或UPS等稳压器和过电压防护设备；</w:t>
      </w:r>
    </w:p>
    <w:p w14:paraId="70F33F2B">
      <w:pPr>
        <w:widowControl/>
        <w:spacing w:line="360" w:lineRule="auto"/>
        <w:ind w:firstLine="480" w:firstLineChars="200"/>
        <w:jc w:val="left"/>
        <w:rPr>
          <w:sz w:val="24"/>
          <w:szCs w:val="32"/>
        </w:rPr>
      </w:pPr>
      <w:r>
        <w:rPr>
          <w:sz w:val="24"/>
          <w:szCs w:val="32"/>
        </w:rPr>
        <w:t>机房内设置蓄电池等短期的备用电力供应。</w:t>
      </w:r>
    </w:p>
    <w:p w14:paraId="3ECB5832">
      <w:pPr>
        <w:pStyle w:val="5"/>
        <w:keepLines w:val="0"/>
        <w:numPr>
          <w:ilvl w:val="2"/>
          <w:numId w:val="1"/>
        </w:numPr>
        <w:spacing w:before="0" w:after="0" w:line="360" w:lineRule="auto"/>
        <w:ind w:left="0" w:firstLine="0"/>
        <w:rPr>
          <w:rFonts w:ascii="Times New Roman" w:hAnsi="Times New Roman" w:eastAsia="宋体" w:cs="Times New Roman"/>
        </w:rPr>
      </w:pPr>
      <w:r>
        <w:rPr>
          <w:rFonts w:ascii="Times New Roman" w:hAnsi="Times New Roman" w:eastAsia="宋体" w:cs="Times New Roman"/>
        </w:rPr>
        <w:t>第3.1 级安全等级</w:t>
      </w:r>
    </w:p>
    <w:p w14:paraId="1A034E82">
      <w:pPr>
        <w:pStyle w:val="58"/>
        <w:spacing w:line="360" w:lineRule="auto"/>
        <w:ind w:firstLine="480"/>
        <w:rPr>
          <w:sz w:val="24"/>
        </w:rPr>
      </w:pPr>
      <w:r>
        <w:rPr>
          <w:sz w:val="24"/>
        </w:rPr>
        <w:t>定级对象受到破坏后，会对网络和业务运营商的合法权益产生特别严重损害，或者对社会秩序、经济运行和公共利益造成较大损害，或者对国家安全造成轻微损害。</w:t>
      </w:r>
    </w:p>
    <w:p w14:paraId="0BE78AA0">
      <w:pPr>
        <w:pStyle w:val="58"/>
        <w:spacing w:line="360" w:lineRule="auto"/>
        <w:ind w:firstLine="480"/>
        <w:rPr>
          <w:sz w:val="24"/>
        </w:rPr>
      </w:pPr>
      <w:r>
        <w:rPr>
          <w:sz w:val="24"/>
        </w:rPr>
        <w:t>本级由网络和业务运营商依据国家和通信行业有关标准进行保护，主管部门对其安全等级保护工作进行监督、检查。</w:t>
      </w:r>
    </w:p>
    <w:p w14:paraId="4CBDD4D8">
      <w:pPr>
        <w:pStyle w:val="58"/>
        <w:widowControl/>
        <w:numPr>
          <w:ilvl w:val="0"/>
          <w:numId w:val="39"/>
        </w:numPr>
        <w:spacing w:line="360" w:lineRule="auto"/>
        <w:ind w:firstLineChars="0"/>
        <w:jc w:val="left"/>
        <w:rPr>
          <w:sz w:val="24"/>
        </w:rPr>
      </w:pPr>
      <w:r>
        <w:rPr>
          <w:sz w:val="24"/>
        </w:rPr>
        <w:t>业务安全要求</w:t>
      </w:r>
    </w:p>
    <w:p w14:paraId="299B4F91">
      <w:pPr>
        <w:pStyle w:val="72"/>
        <w:spacing w:after="0"/>
        <w:ind w:left="0" w:firstLine="480" w:firstLineChars="200"/>
        <w:rPr>
          <w:szCs w:val="24"/>
        </w:rPr>
      </w:pPr>
      <w:r>
        <w:rPr>
          <w:szCs w:val="24"/>
        </w:rPr>
        <w:t>在网络发生拥塞或设备发生单点故障时，应保证业务的连续性。</w:t>
      </w:r>
    </w:p>
    <w:p w14:paraId="46483322">
      <w:pPr>
        <w:pStyle w:val="58"/>
        <w:widowControl/>
        <w:numPr>
          <w:ilvl w:val="0"/>
          <w:numId w:val="39"/>
        </w:numPr>
        <w:spacing w:line="360" w:lineRule="auto"/>
        <w:ind w:firstLineChars="0"/>
        <w:jc w:val="left"/>
        <w:rPr>
          <w:sz w:val="24"/>
        </w:rPr>
      </w:pPr>
      <w:r>
        <w:rPr>
          <w:sz w:val="24"/>
        </w:rPr>
        <w:t>网络安全要求</w:t>
      </w:r>
    </w:p>
    <w:p w14:paraId="5ADE87CD">
      <w:pPr>
        <w:pStyle w:val="58"/>
        <w:widowControl/>
        <w:numPr>
          <w:ilvl w:val="0"/>
          <w:numId w:val="40"/>
        </w:numPr>
        <w:spacing w:line="360" w:lineRule="auto"/>
        <w:ind w:firstLineChars="0"/>
        <w:jc w:val="left"/>
        <w:rPr>
          <w:sz w:val="24"/>
        </w:rPr>
      </w:pPr>
      <w:r>
        <w:rPr>
          <w:sz w:val="24"/>
        </w:rPr>
        <w:t>网络拓扑结构</w:t>
      </w:r>
    </w:p>
    <w:p w14:paraId="260CA542">
      <w:pPr>
        <w:pStyle w:val="72"/>
        <w:spacing w:after="0"/>
        <w:ind w:left="0" w:firstLine="480" w:firstLineChars="200"/>
        <w:rPr>
          <w:szCs w:val="24"/>
        </w:rPr>
      </w:pPr>
      <w:r>
        <w:rPr>
          <w:szCs w:val="24"/>
        </w:rPr>
        <w:t>设计中网络设备处理能力具备冗余空间，满足流量高负荷时需求，可避免由于设备配置不够而导致网络全部或者局部瘫痪。</w:t>
      </w:r>
    </w:p>
    <w:p w14:paraId="4E2C8A06">
      <w:pPr>
        <w:pStyle w:val="72"/>
        <w:spacing w:after="0"/>
        <w:ind w:left="0" w:firstLine="480" w:firstLineChars="200"/>
        <w:rPr>
          <w:szCs w:val="24"/>
        </w:rPr>
      </w:pPr>
      <w:r>
        <w:rPr>
          <w:szCs w:val="24"/>
        </w:rPr>
        <w:t>网络拓扑设计合理，设计中绘制与当前运行情况相符合的网络拓扑图。</w:t>
      </w:r>
    </w:p>
    <w:p w14:paraId="1DB7F919">
      <w:pPr>
        <w:pStyle w:val="72"/>
        <w:spacing w:after="0"/>
        <w:ind w:left="0" w:firstLine="480" w:firstLineChars="200"/>
        <w:rPr>
          <w:szCs w:val="24"/>
        </w:rPr>
      </w:pPr>
      <w:r>
        <w:rPr>
          <w:szCs w:val="24"/>
        </w:rPr>
        <w:t>网络域至无线接入系统采用物理上的多路由方式配备，在不同的传输设备和传输线路上相互保护，确保传输路径的安全，避免单一传输通道阻断时导致业务全阻。</w:t>
      </w:r>
    </w:p>
    <w:p w14:paraId="35DC03A8">
      <w:pPr>
        <w:pStyle w:val="58"/>
        <w:widowControl/>
        <w:numPr>
          <w:ilvl w:val="0"/>
          <w:numId w:val="40"/>
        </w:numPr>
        <w:spacing w:line="360" w:lineRule="auto"/>
        <w:ind w:firstLineChars="0"/>
        <w:jc w:val="left"/>
        <w:rPr>
          <w:sz w:val="24"/>
        </w:rPr>
      </w:pPr>
      <w:r>
        <w:rPr>
          <w:sz w:val="24"/>
        </w:rPr>
        <w:t>接入安全</w:t>
      </w:r>
    </w:p>
    <w:p w14:paraId="54851A1F">
      <w:pPr>
        <w:pStyle w:val="72"/>
        <w:spacing w:after="0"/>
        <w:ind w:left="0" w:firstLine="480" w:firstLineChars="200"/>
        <w:rPr>
          <w:szCs w:val="24"/>
        </w:rPr>
      </w:pPr>
      <w:r>
        <w:rPr>
          <w:szCs w:val="24"/>
        </w:rPr>
        <w:t>接入移动通信网系统的用户鉴权、用户身份的保密及加密机制详见《YDT 1734-2009 移动通信网安全防护要求》中相关章节内容。</w:t>
      </w:r>
    </w:p>
    <w:p w14:paraId="11480C27">
      <w:pPr>
        <w:pStyle w:val="58"/>
        <w:widowControl/>
        <w:numPr>
          <w:ilvl w:val="0"/>
          <w:numId w:val="40"/>
        </w:numPr>
        <w:spacing w:line="360" w:lineRule="auto"/>
        <w:ind w:firstLineChars="0"/>
        <w:jc w:val="left"/>
        <w:rPr>
          <w:sz w:val="24"/>
        </w:rPr>
      </w:pPr>
      <w:r>
        <w:rPr>
          <w:sz w:val="24"/>
        </w:rPr>
        <w:t>网络域安全</w:t>
      </w:r>
    </w:p>
    <w:p w14:paraId="1406F56F">
      <w:pPr>
        <w:pStyle w:val="72"/>
        <w:spacing w:after="0"/>
        <w:ind w:left="0" w:firstLine="480" w:firstLineChars="200"/>
        <w:rPr>
          <w:szCs w:val="24"/>
        </w:rPr>
      </w:pPr>
      <w:r>
        <w:rPr>
          <w:szCs w:val="24"/>
        </w:rPr>
        <w:t>分组域与外部IP网络之间及内部网络之间的安全保护要求详见《YDT 1734-2009 移动通信网安全防护要求》中相关章节内容。</w:t>
      </w:r>
    </w:p>
    <w:p w14:paraId="6A025ED1">
      <w:pPr>
        <w:pStyle w:val="58"/>
        <w:widowControl/>
        <w:numPr>
          <w:ilvl w:val="0"/>
          <w:numId w:val="39"/>
        </w:numPr>
        <w:spacing w:line="360" w:lineRule="auto"/>
        <w:ind w:firstLineChars="0"/>
        <w:jc w:val="left"/>
        <w:rPr>
          <w:sz w:val="24"/>
        </w:rPr>
      </w:pPr>
      <w:r>
        <w:rPr>
          <w:sz w:val="24"/>
        </w:rPr>
        <w:t>设备安全要求</w:t>
      </w:r>
    </w:p>
    <w:p w14:paraId="77FC5A4E">
      <w:pPr>
        <w:pStyle w:val="72"/>
        <w:spacing w:after="0"/>
        <w:ind w:left="0" w:firstLine="480" w:firstLineChars="200"/>
        <w:rPr>
          <w:szCs w:val="24"/>
        </w:rPr>
      </w:pPr>
      <w:r>
        <w:rPr>
          <w:szCs w:val="24"/>
        </w:rPr>
        <w:t>设备安全满足设备技术规范、设备入网管理相关要求。</w:t>
      </w:r>
    </w:p>
    <w:p w14:paraId="27214F22">
      <w:pPr>
        <w:pStyle w:val="58"/>
        <w:widowControl/>
        <w:numPr>
          <w:ilvl w:val="0"/>
          <w:numId w:val="39"/>
        </w:numPr>
        <w:spacing w:line="360" w:lineRule="auto"/>
        <w:ind w:firstLineChars="0"/>
        <w:jc w:val="left"/>
        <w:rPr>
          <w:sz w:val="24"/>
        </w:rPr>
      </w:pPr>
      <w:r>
        <w:rPr>
          <w:sz w:val="24"/>
        </w:rPr>
        <w:t>物理环境安全要求</w:t>
      </w:r>
    </w:p>
    <w:p w14:paraId="43E59B4D">
      <w:pPr>
        <w:pStyle w:val="58"/>
        <w:widowControl/>
        <w:numPr>
          <w:ilvl w:val="0"/>
          <w:numId w:val="41"/>
        </w:numPr>
        <w:spacing w:line="360" w:lineRule="auto"/>
        <w:ind w:firstLineChars="0"/>
        <w:jc w:val="left"/>
        <w:rPr>
          <w:sz w:val="24"/>
        </w:rPr>
      </w:pPr>
      <w:r>
        <w:rPr>
          <w:sz w:val="24"/>
        </w:rPr>
        <w:t>机房、办公场地物理环境安全</w:t>
      </w:r>
    </w:p>
    <w:p w14:paraId="5A83AB8B">
      <w:pPr>
        <w:pStyle w:val="72"/>
        <w:spacing w:after="0"/>
        <w:ind w:left="0" w:firstLine="480" w:firstLineChars="200"/>
        <w:rPr>
          <w:szCs w:val="24"/>
        </w:rPr>
      </w:pPr>
      <w:r>
        <w:rPr>
          <w:szCs w:val="24"/>
        </w:rPr>
        <w:t>除满足YDT/T 1754《电信网和互联网物理环境安全等级保护要求》中第3.1级的安全要求外，还需满足：机房整体抗震能力不低于里氏8级，相关机架及设备需进行必要的抗震加固，相关楼层承重能力不低于1000kg/m²。</w:t>
      </w:r>
    </w:p>
    <w:p w14:paraId="0858D3C8">
      <w:pPr>
        <w:pStyle w:val="58"/>
        <w:widowControl/>
        <w:numPr>
          <w:ilvl w:val="0"/>
          <w:numId w:val="41"/>
        </w:numPr>
        <w:spacing w:line="360" w:lineRule="auto"/>
        <w:ind w:firstLineChars="0"/>
        <w:jc w:val="left"/>
        <w:rPr>
          <w:sz w:val="24"/>
        </w:rPr>
      </w:pPr>
      <w:r>
        <w:rPr>
          <w:sz w:val="24"/>
        </w:rPr>
        <w:t>室外无线接入设备场地物理环境</w:t>
      </w:r>
    </w:p>
    <w:p w14:paraId="52C162CB">
      <w:pPr>
        <w:pStyle w:val="58"/>
        <w:numPr>
          <w:ilvl w:val="1"/>
          <w:numId w:val="42"/>
        </w:numPr>
        <w:spacing w:line="360" w:lineRule="auto"/>
        <w:ind w:left="420" w:leftChars="200" w:firstLineChars="0"/>
        <w:rPr>
          <w:sz w:val="24"/>
        </w:rPr>
      </w:pPr>
      <w:r>
        <w:rPr>
          <w:sz w:val="24"/>
        </w:rPr>
        <w:t>物理位置的选择</w:t>
      </w:r>
    </w:p>
    <w:p w14:paraId="5FF7D5FE">
      <w:pPr>
        <w:pStyle w:val="58"/>
        <w:widowControl/>
        <w:numPr>
          <w:ilvl w:val="0"/>
          <w:numId w:val="43"/>
        </w:numPr>
        <w:spacing w:line="360" w:lineRule="auto"/>
        <w:ind w:left="0" w:firstLine="198" w:firstLineChars="0"/>
        <w:jc w:val="left"/>
        <w:rPr>
          <w:sz w:val="24"/>
        </w:rPr>
      </w:pPr>
      <w:r>
        <w:rPr>
          <w:sz w:val="24"/>
        </w:rPr>
        <w:t>室外无线接入设备场地选择在具有防震、防风和防雨等能力的建筑内；</w:t>
      </w:r>
    </w:p>
    <w:p w14:paraId="41D95FB8">
      <w:pPr>
        <w:pStyle w:val="58"/>
        <w:widowControl/>
        <w:numPr>
          <w:ilvl w:val="0"/>
          <w:numId w:val="43"/>
        </w:numPr>
        <w:spacing w:line="360" w:lineRule="auto"/>
        <w:ind w:left="0" w:firstLine="198" w:firstLineChars="0"/>
        <w:jc w:val="left"/>
        <w:rPr>
          <w:sz w:val="24"/>
        </w:rPr>
      </w:pPr>
      <w:r>
        <w:rPr>
          <w:sz w:val="24"/>
        </w:rPr>
        <w:t>室外无线接入设备场地整体抗震能力不低于里氏8级，相关机架及设备需进行必要的抗震加固，承重能力不低于1000kg/m²。</w:t>
      </w:r>
    </w:p>
    <w:p w14:paraId="4B39E5A4">
      <w:pPr>
        <w:pStyle w:val="58"/>
        <w:widowControl/>
        <w:numPr>
          <w:ilvl w:val="0"/>
          <w:numId w:val="43"/>
        </w:numPr>
        <w:spacing w:line="360" w:lineRule="auto"/>
        <w:ind w:left="0" w:firstLine="198" w:firstLineChars="0"/>
        <w:jc w:val="left"/>
        <w:rPr>
          <w:sz w:val="24"/>
        </w:rPr>
      </w:pPr>
      <w:r>
        <w:rPr>
          <w:sz w:val="24"/>
        </w:rPr>
        <w:t>室外无线接入设备场地避开强电场、强磁场、强震动源、强噪声源、重度环境污染、易发生火灾、水灾和易遭受雷击的地区。</w:t>
      </w:r>
    </w:p>
    <w:p w14:paraId="072BAF94">
      <w:pPr>
        <w:pStyle w:val="58"/>
        <w:numPr>
          <w:ilvl w:val="1"/>
          <w:numId w:val="42"/>
        </w:numPr>
        <w:spacing w:line="360" w:lineRule="auto"/>
        <w:ind w:left="420" w:leftChars="200" w:firstLineChars="0"/>
        <w:rPr>
          <w:sz w:val="24"/>
        </w:rPr>
      </w:pPr>
      <w:r>
        <w:rPr>
          <w:sz w:val="24"/>
        </w:rPr>
        <w:t>防盗窃和防破坏</w:t>
      </w:r>
    </w:p>
    <w:p w14:paraId="31FB82EE">
      <w:pPr>
        <w:pStyle w:val="58"/>
        <w:widowControl/>
        <w:numPr>
          <w:ilvl w:val="0"/>
          <w:numId w:val="43"/>
        </w:numPr>
        <w:spacing w:line="360" w:lineRule="auto"/>
        <w:ind w:left="0" w:firstLine="198" w:firstLineChars="0"/>
        <w:jc w:val="left"/>
        <w:rPr>
          <w:sz w:val="24"/>
        </w:rPr>
      </w:pPr>
      <w:r>
        <w:rPr>
          <w:sz w:val="24"/>
        </w:rPr>
        <w:t>主要设备放置在物理受限的范围内；</w:t>
      </w:r>
    </w:p>
    <w:p w14:paraId="18DAA6DA">
      <w:pPr>
        <w:pStyle w:val="58"/>
        <w:widowControl/>
        <w:numPr>
          <w:ilvl w:val="0"/>
          <w:numId w:val="43"/>
        </w:numPr>
        <w:spacing w:line="360" w:lineRule="auto"/>
        <w:ind w:left="0" w:firstLine="198" w:firstLineChars="0"/>
        <w:jc w:val="left"/>
        <w:rPr>
          <w:sz w:val="24"/>
        </w:rPr>
      </w:pPr>
      <w:r>
        <w:rPr>
          <w:sz w:val="24"/>
        </w:rPr>
        <w:t>对设备或主要部件进行固定；</w:t>
      </w:r>
    </w:p>
    <w:p w14:paraId="173FAA20">
      <w:pPr>
        <w:pStyle w:val="58"/>
        <w:widowControl/>
        <w:numPr>
          <w:ilvl w:val="0"/>
          <w:numId w:val="43"/>
        </w:numPr>
        <w:spacing w:line="360" w:lineRule="auto"/>
        <w:ind w:left="0" w:firstLine="198" w:firstLineChars="0"/>
        <w:jc w:val="left"/>
        <w:rPr>
          <w:sz w:val="24"/>
        </w:rPr>
      </w:pPr>
      <w:r>
        <w:rPr>
          <w:sz w:val="24"/>
        </w:rPr>
        <w:t>通信线缆铺设在隐蔽处，如铺设在地下或管道中等；</w:t>
      </w:r>
    </w:p>
    <w:p w14:paraId="006E588F">
      <w:pPr>
        <w:pStyle w:val="58"/>
        <w:widowControl/>
        <w:numPr>
          <w:ilvl w:val="0"/>
          <w:numId w:val="43"/>
        </w:numPr>
        <w:spacing w:line="360" w:lineRule="auto"/>
        <w:ind w:left="0" w:firstLine="198" w:firstLineChars="0"/>
        <w:jc w:val="left"/>
        <w:rPr>
          <w:sz w:val="24"/>
        </w:rPr>
      </w:pPr>
      <w:r>
        <w:rPr>
          <w:sz w:val="24"/>
        </w:rPr>
        <w:t>设置室外无线接入设各场地的防盗报警系统，以防进入室外无线接入设备场地的盗窃和破坏行为。</w:t>
      </w:r>
    </w:p>
    <w:p w14:paraId="24480BA4">
      <w:pPr>
        <w:pStyle w:val="58"/>
        <w:numPr>
          <w:ilvl w:val="1"/>
          <w:numId w:val="42"/>
        </w:numPr>
        <w:spacing w:line="360" w:lineRule="auto"/>
        <w:ind w:left="420" w:leftChars="200" w:firstLineChars="0"/>
        <w:rPr>
          <w:sz w:val="24"/>
        </w:rPr>
      </w:pPr>
      <w:r>
        <w:rPr>
          <w:sz w:val="24"/>
        </w:rPr>
        <w:t>防雷击</w:t>
      </w:r>
    </w:p>
    <w:p w14:paraId="7AF35410">
      <w:pPr>
        <w:pStyle w:val="58"/>
        <w:widowControl/>
        <w:numPr>
          <w:ilvl w:val="0"/>
          <w:numId w:val="43"/>
        </w:numPr>
        <w:spacing w:line="360" w:lineRule="auto"/>
        <w:ind w:left="0" w:firstLine="198" w:firstLineChars="0"/>
        <w:jc w:val="left"/>
        <w:rPr>
          <w:sz w:val="24"/>
        </w:rPr>
      </w:pPr>
      <w:r>
        <w:rPr>
          <w:sz w:val="24"/>
        </w:rPr>
        <w:t>室外无线接入设备建筑设置避雷装置；</w:t>
      </w:r>
    </w:p>
    <w:p w14:paraId="63ECEC13">
      <w:pPr>
        <w:pStyle w:val="58"/>
        <w:widowControl/>
        <w:numPr>
          <w:ilvl w:val="0"/>
          <w:numId w:val="43"/>
        </w:numPr>
        <w:spacing w:line="360" w:lineRule="auto"/>
        <w:ind w:left="0" w:firstLine="198" w:firstLineChars="0"/>
        <w:jc w:val="left"/>
        <w:rPr>
          <w:sz w:val="24"/>
        </w:rPr>
      </w:pPr>
      <w:r>
        <w:rPr>
          <w:sz w:val="24"/>
        </w:rPr>
        <w:t>设置交流电源地线；</w:t>
      </w:r>
    </w:p>
    <w:p w14:paraId="132979AF">
      <w:pPr>
        <w:pStyle w:val="58"/>
        <w:widowControl/>
        <w:numPr>
          <w:ilvl w:val="0"/>
          <w:numId w:val="43"/>
        </w:numPr>
        <w:spacing w:line="360" w:lineRule="auto"/>
        <w:ind w:left="0" w:firstLine="198" w:firstLineChars="0"/>
        <w:jc w:val="left"/>
        <w:rPr>
          <w:sz w:val="24"/>
        </w:rPr>
      </w:pPr>
      <w:r>
        <w:rPr>
          <w:sz w:val="24"/>
        </w:rPr>
        <w:t>满足GB50689-2011中“3基本规定”、“4综合通信大楼的防雷与接地”、“6移动通信基站的防雷与接地”、“7 小型通信站的防雷与接地”、“9 通信局(站)雷电过电压保护设计”的要求；</w:t>
      </w:r>
    </w:p>
    <w:p w14:paraId="392DEDD0">
      <w:pPr>
        <w:pStyle w:val="58"/>
        <w:widowControl/>
        <w:numPr>
          <w:ilvl w:val="0"/>
          <w:numId w:val="43"/>
        </w:numPr>
        <w:spacing w:line="360" w:lineRule="auto"/>
        <w:ind w:left="0" w:firstLine="198" w:firstLineChars="0"/>
        <w:jc w:val="left"/>
        <w:rPr>
          <w:sz w:val="24"/>
        </w:rPr>
      </w:pPr>
      <w:r>
        <w:rPr>
          <w:sz w:val="24"/>
        </w:rPr>
        <w:t>场地设置防雷保安器，防止感应雷。</w:t>
      </w:r>
    </w:p>
    <w:p w14:paraId="32092A17">
      <w:pPr>
        <w:pStyle w:val="58"/>
        <w:numPr>
          <w:ilvl w:val="1"/>
          <w:numId w:val="42"/>
        </w:numPr>
        <w:spacing w:line="360" w:lineRule="auto"/>
        <w:ind w:left="420" w:leftChars="200" w:firstLineChars="0"/>
        <w:rPr>
          <w:sz w:val="24"/>
        </w:rPr>
      </w:pPr>
      <w:r>
        <w:rPr>
          <w:sz w:val="24"/>
        </w:rPr>
        <w:t>防火</w:t>
      </w:r>
    </w:p>
    <w:p w14:paraId="24A092EB">
      <w:pPr>
        <w:pStyle w:val="58"/>
        <w:widowControl/>
        <w:numPr>
          <w:ilvl w:val="0"/>
          <w:numId w:val="43"/>
        </w:numPr>
        <w:spacing w:line="360" w:lineRule="auto"/>
        <w:ind w:left="0" w:firstLine="198" w:firstLineChars="0"/>
        <w:jc w:val="left"/>
        <w:rPr>
          <w:sz w:val="24"/>
        </w:rPr>
      </w:pPr>
      <w:r>
        <w:rPr>
          <w:sz w:val="24"/>
        </w:rPr>
        <w:t>机房内设置灭火设备，场地房间采用具有耐火等级的建筑材料。</w:t>
      </w:r>
    </w:p>
    <w:p w14:paraId="3F30FDB0">
      <w:pPr>
        <w:pStyle w:val="58"/>
        <w:numPr>
          <w:ilvl w:val="1"/>
          <w:numId w:val="42"/>
        </w:numPr>
        <w:spacing w:line="360" w:lineRule="auto"/>
        <w:ind w:left="420" w:leftChars="200" w:firstLineChars="0"/>
        <w:rPr>
          <w:sz w:val="24"/>
        </w:rPr>
      </w:pPr>
      <w:r>
        <w:rPr>
          <w:sz w:val="24"/>
        </w:rPr>
        <w:t>防水和防潮</w:t>
      </w:r>
    </w:p>
    <w:p w14:paraId="55812B3E">
      <w:pPr>
        <w:pStyle w:val="58"/>
        <w:widowControl/>
        <w:numPr>
          <w:ilvl w:val="0"/>
          <w:numId w:val="43"/>
        </w:numPr>
        <w:spacing w:line="360" w:lineRule="auto"/>
        <w:ind w:left="0" w:firstLine="198" w:firstLineChars="0"/>
        <w:jc w:val="left"/>
        <w:rPr>
          <w:sz w:val="24"/>
        </w:rPr>
      </w:pPr>
      <w:r>
        <w:rPr>
          <w:sz w:val="24"/>
        </w:rPr>
        <w:t>在移动通信设备机房装修及活动MINI机房生产工艺上有明确防水防潮要求：</w:t>
      </w:r>
    </w:p>
    <w:p w14:paraId="5764CF5A">
      <w:pPr>
        <w:pStyle w:val="58"/>
        <w:widowControl/>
        <w:numPr>
          <w:ilvl w:val="0"/>
          <w:numId w:val="43"/>
        </w:numPr>
        <w:spacing w:line="360" w:lineRule="auto"/>
        <w:ind w:left="0" w:firstLine="198" w:firstLineChars="0"/>
        <w:jc w:val="left"/>
        <w:rPr>
          <w:sz w:val="24"/>
        </w:rPr>
      </w:pPr>
      <w:r>
        <w:rPr>
          <w:sz w:val="24"/>
        </w:rPr>
        <w:t>防止雨水通过屋顶和墙壁渗透；</w:t>
      </w:r>
    </w:p>
    <w:p w14:paraId="517383C4">
      <w:pPr>
        <w:pStyle w:val="58"/>
        <w:widowControl/>
        <w:numPr>
          <w:ilvl w:val="0"/>
          <w:numId w:val="43"/>
        </w:numPr>
        <w:spacing w:line="360" w:lineRule="auto"/>
        <w:ind w:left="0" w:firstLine="198" w:firstLineChars="0"/>
        <w:jc w:val="left"/>
        <w:rPr>
          <w:sz w:val="24"/>
        </w:rPr>
      </w:pPr>
      <w:r>
        <w:rPr>
          <w:sz w:val="24"/>
        </w:rPr>
        <w:t>防止室内水蒸气结露和地下积水的转移与渗透。</w:t>
      </w:r>
    </w:p>
    <w:p w14:paraId="5792C866">
      <w:pPr>
        <w:pStyle w:val="58"/>
        <w:numPr>
          <w:ilvl w:val="1"/>
          <w:numId w:val="42"/>
        </w:numPr>
        <w:spacing w:line="360" w:lineRule="auto"/>
        <w:ind w:left="420" w:leftChars="200" w:firstLineChars="0"/>
        <w:rPr>
          <w:sz w:val="24"/>
        </w:rPr>
      </w:pPr>
      <w:r>
        <w:rPr>
          <w:sz w:val="24"/>
        </w:rPr>
        <w:t>温湿度控制</w:t>
      </w:r>
    </w:p>
    <w:p w14:paraId="351ED4DC">
      <w:pPr>
        <w:pStyle w:val="58"/>
        <w:widowControl/>
        <w:numPr>
          <w:ilvl w:val="0"/>
          <w:numId w:val="43"/>
        </w:numPr>
        <w:spacing w:line="360" w:lineRule="auto"/>
        <w:ind w:left="0" w:firstLine="198" w:firstLineChars="0"/>
        <w:jc w:val="left"/>
        <w:rPr>
          <w:sz w:val="24"/>
        </w:rPr>
      </w:pPr>
      <w:r>
        <w:rPr>
          <w:sz w:val="24"/>
        </w:rPr>
        <w:t>机房内设置空调、新风系统等温、湿度自动调节设施，使室外无线接入设备场地温、湿度的变化在设备运行所允许的范围之内。</w:t>
      </w:r>
    </w:p>
    <w:p w14:paraId="7AD8D3A9">
      <w:pPr>
        <w:pStyle w:val="58"/>
        <w:numPr>
          <w:ilvl w:val="1"/>
          <w:numId w:val="42"/>
        </w:numPr>
        <w:spacing w:line="360" w:lineRule="auto"/>
        <w:ind w:left="420" w:leftChars="200" w:firstLineChars="0"/>
        <w:rPr>
          <w:sz w:val="24"/>
        </w:rPr>
      </w:pPr>
      <w:r>
        <w:rPr>
          <w:sz w:val="24"/>
        </w:rPr>
        <w:t>防尘</w:t>
      </w:r>
    </w:p>
    <w:p w14:paraId="6B3CEF21">
      <w:pPr>
        <w:pStyle w:val="58"/>
        <w:widowControl/>
        <w:numPr>
          <w:ilvl w:val="0"/>
          <w:numId w:val="43"/>
        </w:numPr>
        <w:spacing w:line="360" w:lineRule="auto"/>
        <w:ind w:left="0" w:firstLine="198" w:firstLineChars="0"/>
        <w:jc w:val="left"/>
        <w:rPr>
          <w:sz w:val="24"/>
        </w:rPr>
      </w:pPr>
      <w:r>
        <w:rPr>
          <w:sz w:val="24"/>
        </w:rPr>
        <w:t>对室外无线接入设备机房有具体的防尘要求，出入室外无线接入设备机房要求使用鞋套。</w:t>
      </w:r>
    </w:p>
    <w:p w14:paraId="1BAEC531">
      <w:pPr>
        <w:pStyle w:val="58"/>
        <w:numPr>
          <w:ilvl w:val="1"/>
          <w:numId w:val="42"/>
        </w:numPr>
        <w:spacing w:line="360" w:lineRule="auto"/>
        <w:ind w:left="420" w:leftChars="200" w:firstLineChars="0"/>
        <w:rPr>
          <w:sz w:val="24"/>
        </w:rPr>
      </w:pPr>
      <w:r>
        <w:rPr>
          <w:sz w:val="24"/>
        </w:rPr>
        <w:t>防鼠虫</w:t>
      </w:r>
    </w:p>
    <w:p w14:paraId="1ACFBA8D">
      <w:pPr>
        <w:pStyle w:val="58"/>
        <w:widowControl/>
        <w:numPr>
          <w:ilvl w:val="0"/>
          <w:numId w:val="43"/>
        </w:numPr>
        <w:spacing w:line="360" w:lineRule="auto"/>
        <w:ind w:left="0" w:firstLine="198" w:firstLineChars="0"/>
        <w:jc w:val="left"/>
        <w:rPr>
          <w:sz w:val="24"/>
        </w:rPr>
      </w:pPr>
      <w:r>
        <w:rPr>
          <w:sz w:val="24"/>
        </w:rPr>
        <w:t>采用防鼠光缆等措施，效防范鼠虫蚁害。</w:t>
      </w:r>
    </w:p>
    <w:p w14:paraId="2E346D38">
      <w:pPr>
        <w:pStyle w:val="58"/>
        <w:numPr>
          <w:ilvl w:val="1"/>
          <w:numId w:val="42"/>
        </w:numPr>
        <w:spacing w:line="360" w:lineRule="auto"/>
        <w:ind w:left="420" w:leftChars="200" w:firstLineChars="0"/>
        <w:rPr>
          <w:sz w:val="24"/>
        </w:rPr>
      </w:pPr>
      <w:r>
        <w:rPr>
          <w:sz w:val="24"/>
        </w:rPr>
        <w:t>电力供应</w:t>
      </w:r>
    </w:p>
    <w:p w14:paraId="2C4EC773">
      <w:pPr>
        <w:pStyle w:val="58"/>
        <w:widowControl/>
        <w:numPr>
          <w:ilvl w:val="0"/>
          <w:numId w:val="43"/>
        </w:numPr>
        <w:spacing w:line="360" w:lineRule="auto"/>
        <w:ind w:left="0" w:firstLine="198" w:firstLineChars="0"/>
        <w:jc w:val="left"/>
        <w:rPr>
          <w:sz w:val="24"/>
        </w:rPr>
      </w:pPr>
      <w:r>
        <w:rPr>
          <w:sz w:val="24"/>
        </w:rPr>
        <w:t>机房内设置开关电源或UPS等稳压器和过电压防护设备；</w:t>
      </w:r>
    </w:p>
    <w:p w14:paraId="654652E7">
      <w:pPr>
        <w:pStyle w:val="58"/>
        <w:widowControl/>
        <w:numPr>
          <w:ilvl w:val="0"/>
          <w:numId w:val="43"/>
        </w:numPr>
        <w:spacing w:line="360" w:lineRule="auto"/>
        <w:ind w:left="0" w:firstLine="198" w:firstLineChars="0"/>
        <w:jc w:val="left"/>
        <w:rPr>
          <w:sz w:val="24"/>
        </w:rPr>
      </w:pPr>
      <w:r>
        <w:rPr>
          <w:sz w:val="24"/>
        </w:rPr>
        <w:t>机房内设置蓄电池等短期的备用电力供应；</w:t>
      </w:r>
    </w:p>
    <w:p w14:paraId="55E756BC">
      <w:pPr>
        <w:pStyle w:val="58"/>
        <w:widowControl/>
        <w:numPr>
          <w:ilvl w:val="0"/>
          <w:numId w:val="43"/>
        </w:numPr>
        <w:spacing w:line="360" w:lineRule="auto"/>
        <w:ind w:left="0" w:firstLine="198" w:firstLineChars="0"/>
        <w:jc w:val="left"/>
        <w:rPr>
          <w:sz w:val="24"/>
        </w:rPr>
      </w:pPr>
      <w:r>
        <w:rPr>
          <w:sz w:val="24"/>
        </w:rPr>
        <w:t>建立备用供电系统(如备用发电机)，以备常用供电系统停电时启用。</w:t>
      </w:r>
    </w:p>
    <w:p w14:paraId="26F75CF0">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29" w:name="_Toc132902889"/>
      <w:bookmarkStart w:id="430" w:name="_Toc97207342"/>
      <w:r>
        <w:rPr>
          <w:rFonts w:hint="eastAsia" w:ascii="黑体" w:hAnsi="黑体" w:eastAsia="黑体" w:cs="Times New Roman"/>
          <w:color w:val="000000" w:themeColor="text1"/>
          <w:sz w:val="28"/>
          <w:szCs w:val="28"/>
          <w14:textFill>
            <w14:solidFill>
              <w14:schemeClr w14:val="tx1"/>
            </w14:solidFill>
          </w14:textFill>
        </w:rPr>
        <w:t>人员安全管理</w:t>
      </w:r>
      <w:bookmarkEnd w:id="429"/>
      <w:bookmarkEnd w:id="430"/>
    </w:p>
    <w:p w14:paraId="7AB53994">
      <w:pPr>
        <w:spacing w:line="360" w:lineRule="auto"/>
        <w:ind w:firstLine="480"/>
        <w:rPr>
          <w:sz w:val="24"/>
        </w:rPr>
      </w:pPr>
      <w:r>
        <w:rPr>
          <w:rFonts w:hint="eastAsia"/>
          <w:sz w:val="24"/>
        </w:rPr>
        <w:t>在安全管理的过程中，工程实施和运维人员安全是信息系统主要面临的内部安全威胁，在对人员的管理中，需要重点考虑如下几个方面的内容。</w:t>
      </w:r>
    </w:p>
    <w:p w14:paraId="156ECD2B">
      <w:pPr>
        <w:spacing w:line="360" w:lineRule="auto"/>
        <w:ind w:firstLine="480"/>
        <w:rPr>
          <w:sz w:val="24"/>
        </w:rPr>
      </w:pPr>
      <w:r>
        <w:rPr>
          <w:rFonts w:hint="eastAsia"/>
          <w:sz w:val="24"/>
        </w:rPr>
        <w:t>（</w:t>
      </w:r>
      <w:r>
        <w:rPr>
          <w:sz w:val="24"/>
        </w:rPr>
        <w:t>1</w:t>
      </w:r>
      <w:r>
        <w:rPr>
          <w:rFonts w:hint="eastAsia"/>
          <w:sz w:val="24"/>
        </w:rPr>
        <w:t>）人员安全管理：对员工录用、工作调动、员工离职进行安全管理，定期开展员工的网络安全培训及教育。</w:t>
      </w:r>
    </w:p>
    <w:p w14:paraId="56C19B66">
      <w:pPr>
        <w:spacing w:line="360" w:lineRule="auto"/>
        <w:ind w:firstLine="480"/>
        <w:rPr>
          <w:sz w:val="24"/>
        </w:rPr>
      </w:pPr>
      <w:r>
        <w:rPr>
          <w:rFonts w:hint="eastAsia"/>
          <w:sz w:val="24"/>
        </w:rPr>
        <w:t>（</w:t>
      </w:r>
      <w:r>
        <w:rPr>
          <w:sz w:val="24"/>
        </w:rPr>
        <w:t>2</w:t>
      </w:r>
      <w:r>
        <w:rPr>
          <w:rFonts w:hint="eastAsia"/>
          <w:sz w:val="24"/>
        </w:rPr>
        <w:t>）安全岗位人员管理：应明确网络安全岗位人员职责，对网络安全岗位人员进行考核，签订保密合同，定期对网络安全岗位人员培训教育和职责宣贯。</w:t>
      </w:r>
    </w:p>
    <w:p w14:paraId="5C737B68">
      <w:pPr>
        <w:spacing w:line="360" w:lineRule="auto"/>
        <w:ind w:firstLine="480"/>
        <w:rPr>
          <w:sz w:val="24"/>
        </w:rPr>
      </w:pPr>
      <w:r>
        <w:rPr>
          <w:rFonts w:hint="eastAsia"/>
          <w:sz w:val="24"/>
        </w:rPr>
        <w:t>（</w:t>
      </w:r>
      <w:r>
        <w:rPr>
          <w:sz w:val="24"/>
        </w:rPr>
        <w:t>3</w:t>
      </w:r>
      <w:r>
        <w:rPr>
          <w:rFonts w:hint="eastAsia"/>
          <w:sz w:val="24"/>
        </w:rPr>
        <w:t>）第三方人员安全管理：应对接触系统或信息资产的第三方人员提出安全管理，避免以下安全风险：第三方人员物理访问带来的设备、资料盗窃；第三方人员误操作导致各种软硬件故障；第三方人员的资料、信息外传导致泄密；第三方人员对业务系统的滥用和越权访问；第三方人员给主机系统、软件留下后门；第三方人员对系统的恶意攻击。</w:t>
      </w:r>
    </w:p>
    <w:p w14:paraId="55523F70">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1" w:name="_Toc132902890"/>
      <w:bookmarkStart w:id="432" w:name="_Toc97207343"/>
      <w:r>
        <w:rPr>
          <w:rFonts w:hint="eastAsia" w:ascii="黑体" w:hAnsi="黑体" w:eastAsia="黑体" w:cs="Times New Roman"/>
          <w:color w:val="000000" w:themeColor="text1"/>
          <w:sz w:val="28"/>
          <w:szCs w:val="28"/>
          <w14:textFill>
            <w14:solidFill>
              <w14:schemeClr w14:val="tx1"/>
            </w14:solidFill>
          </w14:textFill>
        </w:rPr>
        <w:t>安全施工管理</w:t>
      </w:r>
      <w:bookmarkEnd w:id="431"/>
      <w:bookmarkEnd w:id="432"/>
    </w:p>
    <w:p w14:paraId="4F5892CA">
      <w:pPr>
        <w:spacing w:line="360" w:lineRule="auto"/>
        <w:ind w:firstLine="480"/>
        <w:rPr>
          <w:sz w:val="24"/>
        </w:rPr>
      </w:pPr>
      <w:r>
        <w:rPr>
          <w:rFonts w:hint="eastAsia"/>
          <w:sz w:val="24"/>
        </w:rPr>
        <w:t>施工阶段应依据设计中提出的安全规范和要求进行工程施工和集成，应根据项目特点有针对性地制定安全施工细则，切实落实安全防护工作。应按照既定规划方案，所有安全相关的建设应与工程同步进行。</w:t>
      </w:r>
    </w:p>
    <w:p w14:paraId="140426D4">
      <w:pPr>
        <w:spacing w:line="360" w:lineRule="auto"/>
        <w:ind w:firstLine="480"/>
        <w:rPr>
          <w:sz w:val="24"/>
        </w:rPr>
      </w:pPr>
      <w:r>
        <w:rPr>
          <w:rFonts w:hint="eastAsia"/>
          <w:sz w:val="24"/>
        </w:rPr>
        <w:t>（</w:t>
      </w:r>
      <w:r>
        <w:rPr>
          <w:sz w:val="24"/>
        </w:rPr>
        <w:t>1</w:t>
      </w:r>
      <w:r>
        <w:rPr>
          <w:rFonts w:hint="eastAsia"/>
          <w:sz w:val="24"/>
        </w:rPr>
        <w:t>）工程项目应按项目规划和设计的网信安全内容进行同步建设</w:t>
      </w:r>
    </w:p>
    <w:p w14:paraId="7E524584">
      <w:pPr>
        <w:spacing w:line="360" w:lineRule="auto"/>
        <w:ind w:firstLine="480"/>
        <w:rPr>
          <w:sz w:val="24"/>
        </w:rPr>
      </w:pPr>
      <w:r>
        <w:rPr>
          <w:rFonts w:hint="eastAsia"/>
          <w:sz w:val="24"/>
        </w:rPr>
        <w:t>（</w:t>
      </w:r>
      <w:r>
        <w:rPr>
          <w:sz w:val="24"/>
        </w:rPr>
        <w:t>2</w:t>
      </w:r>
      <w:r>
        <w:rPr>
          <w:rFonts w:hint="eastAsia"/>
          <w:sz w:val="24"/>
        </w:rPr>
        <w:t>）安全配套项目同步建设</w:t>
      </w:r>
    </w:p>
    <w:p w14:paraId="3541C321">
      <w:pPr>
        <w:spacing w:line="360" w:lineRule="auto"/>
        <w:ind w:firstLine="480"/>
        <w:rPr>
          <w:sz w:val="24"/>
        </w:rPr>
      </w:pPr>
      <w:r>
        <w:rPr>
          <w:rFonts w:hint="eastAsia"/>
          <w:sz w:val="24"/>
        </w:rPr>
        <w:t>基站建设按照施工规范进行施工，设备线缆布放整齐合理，符合公司机房规范。各种标签齐全，标签内容应该打印，不能手写；新建机架的配电模块应使用空气开关，严禁在集装架内随意串接、复接电源插线板或设备等。</w:t>
      </w:r>
    </w:p>
    <w:p w14:paraId="36E78B4D">
      <w:pPr>
        <w:pStyle w:val="41"/>
        <w:numPr>
          <w:ilvl w:val="1"/>
          <w:numId w:val="1"/>
        </w:numPr>
        <w:ind w:left="426" w:hanging="426"/>
        <w:rPr>
          <w:rFonts w:hint="eastAsia" w:ascii="黑体" w:hAnsi="黑体" w:eastAsia="黑体" w:cs="Times New Roman"/>
          <w:color w:val="000000" w:themeColor="text1"/>
          <w:sz w:val="28"/>
          <w:szCs w:val="28"/>
          <w14:textFill>
            <w14:solidFill>
              <w14:schemeClr w14:val="tx1"/>
            </w14:solidFill>
          </w14:textFill>
        </w:rPr>
      </w:pPr>
      <w:bookmarkStart w:id="433" w:name="_Toc132902891"/>
      <w:bookmarkStart w:id="434" w:name="_Toc97207344"/>
      <w:r>
        <w:rPr>
          <w:rFonts w:hint="eastAsia" w:ascii="黑体" w:hAnsi="黑体" w:eastAsia="黑体" w:cs="Times New Roman"/>
          <w:color w:val="000000" w:themeColor="text1"/>
          <w:sz w:val="28"/>
          <w:szCs w:val="28"/>
          <w14:textFill>
            <w14:solidFill>
              <w14:schemeClr w14:val="tx1"/>
            </w14:solidFill>
          </w14:textFill>
        </w:rPr>
        <w:t>安全运维管理</w:t>
      </w:r>
      <w:bookmarkEnd w:id="433"/>
      <w:bookmarkEnd w:id="434"/>
    </w:p>
    <w:p w14:paraId="6BD7D94B">
      <w:pPr>
        <w:spacing w:line="360" w:lineRule="auto"/>
        <w:ind w:firstLine="480"/>
        <w:rPr>
          <w:rFonts w:hint="eastAsia" w:ascii="宋体" w:hAnsi="宋体"/>
          <w:sz w:val="24"/>
        </w:rPr>
      </w:pPr>
      <w:r>
        <w:rPr>
          <w:rFonts w:hint="eastAsia" w:ascii="宋体" w:hAnsi="宋体"/>
          <w:sz w:val="24"/>
        </w:rPr>
        <w:t>安全运维重点给出运维管理、介质管理、恶意代码管理、变更管理、备份与恢复管理、设备管理、安全监控和审计管理等要求，主要包含如下内容：</w:t>
      </w:r>
    </w:p>
    <w:p w14:paraId="52B807A8">
      <w:pPr>
        <w:spacing w:line="360" w:lineRule="auto"/>
        <w:ind w:firstLine="480" w:firstLineChars="200"/>
        <w:rPr>
          <w:rFonts w:hint="eastAsia" w:ascii="宋体" w:hAnsi="宋体"/>
          <w:sz w:val="24"/>
        </w:rPr>
      </w:pPr>
      <w:r>
        <w:rPr>
          <w:rFonts w:hint="eastAsia"/>
          <w:sz w:val="24"/>
        </w:rPr>
        <w:t>（</w:t>
      </w:r>
      <w:r>
        <w:rPr>
          <w:sz w:val="24"/>
        </w:rPr>
        <w:t>1</w:t>
      </w:r>
      <w:r>
        <w:rPr>
          <w:rFonts w:hint="eastAsia"/>
          <w:sz w:val="24"/>
        </w:rPr>
        <w:t>）</w:t>
      </w:r>
      <w:r>
        <w:rPr>
          <w:rFonts w:hint="eastAsia" w:ascii="宋体" w:hAnsi="宋体"/>
          <w:sz w:val="24"/>
        </w:rPr>
        <w:t>运维管理：应根据单位的各类技术规范制定安全运行维护计划，并根据已经制定的安全运行维护计划进行日常操作和检查；应定期检查安全运行维护计划的执行情况，查看安全运行维护记录和实际的匹配情况，并进行记录；</w:t>
      </w:r>
    </w:p>
    <w:p w14:paraId="790AAA25">
      <w:pPr>
        <w:spacing w:line="360" w:lineRule="auto"/>
        <w:ind w:firstLine="480"/>
        <w:rPr>
          <w:rFonts w:hint="eastAsia" w:ascii="宋体" w:hAnsi="宋体"/>
          <w:sz w:val="24"/>
        </w:rPr>
      </w:pPr>
      <w:r>
        <w:rPr>
          <w:rFonts w:hint="eastAsia"/>
          <w:sz w:val="24"/>
        </w:rPr>
        <w:t>（</w:t>
      </w:r>
      <w:r>
        <w:rPr>
          <w:sz w:val="24"/>
        </w:rPr>
        <w:t>2</w:t>
      </w:r>
      <w:r>
        <w:rPr>
          <w:rFonts w:hint="eastAsia"/>
          <w:sz w:val="24"/>
        </w:rPr>
        <w:t>）</w:t>
      </w:r>
      <w:r>
        <w:rPr>
          <w:rFonts w:hint="eastAsia" w:ascii="宋体" w:hAnsi="宋体"/>
          <w:sz w:val="24"/>
        </w:rPr>
        <w:t>介质管理：应具备对介质的访问控制、存储环境安全、分类和归档、销毁和处置的管理办法；</w:t>
      </w:r>
    </w:p>
    <w:p w14:paraId="292E3FC9">
      <w:pPr>
        <w:spacing w:line="360" w:lineRule="auto"/>
        <w:ind w:firstLine="480"/>
        <w:rPr>
          <w:rFonts w:hint="eastAsia" w:ascii="宋体" w:hAnsi="宋体"/>
          <w:sz w:val="24"/>
        </w:rPr>
      </w:pPr>
      <w:r>
        <w:rPr>
          <w:rFonts w:hint="eastAsia"/>
          <w:sz w:val="24"/>
        </w:rPr>
        <w:t>（</w:t>
      </w:r>
      <w:r>
        <w:rPr>
          <w:sz w:val="24"/>
        </w:rPr>
        <w:t>3</w:t>
      </w:r>
      <w:r>
        <w:rPr>
          <w:rFonts w:hint="eastAsia"/>
          <w:sz w:val="24"/>
        </w:rPr>
        <w:t>）</w:t>
      </w:r>
      <w:r>
        <w:rPr>
          <w:rFonts w:hint="eastAsia" w:ascii="宋体" w:hAnsi="宋体"/>
          <w:sz w:val="24"/>
        </w:rPr>
        <w:t>变更管理：本项包含配置变更和变更管理等内容。</w:t>
      </w:r>
    </w:p>
    <w:p w14:paraId="6E51BCB0">
      <w:pPr>
        <w:spacing w:line="360" w:lineRule="auto"/>
        <w:ind w:firstLine="480"/>
        <w:rPr>
          <w:rFonts w:hint="eastAsia" w:ascii="宋体" w:hAnsi="宋体"/>
          <w:sz w:val="24"/>
        </w:rPr>
      </w:pPr>
      <w:r>
        <w:rPr>
          <w:rFonts w:ascii="宋体" w:hAnsi="宋体"/>
          <w:sz w:val="24"/>
        </w:rPr>
        <w:t>（</w:t>
      </w:r>
      <w:r>
        <w:rPr>
          <w:rFonts w:hint="eastAsia" w:ascii="宋体" w:hAnsi="宋体"/>
          <w:sz w:val="24"/>
        </w:rPr>
        <w:t>a）配置变更：应对本系统的设备、系统等信息资产进行配置记录，并保存配置记录的信息；对于系统配置操作的信息应进行记录并保存；应对各系统定制配置操作流程、并严格按照操作流程进行操作；应定制系统配置计划，根据配置计划定期进行设备和系统的配置。</w:t>
      </w:r>
    </w:p>
    <w:p w14:paraId="50C08E65">
      <w:pPr>
        <w:spacing w:line="360" w:lineRule="auto"/>
        <w:ind w:firstLine="480"/>
        <w:rPr>
          <w:rFonts w:hint="eastAsia" w:ascii="宋体" w:hAnsi="宋体"/>
          <w:sz w:val="24"/>
        </w:rPr>
      </w:pPr>
      <w:r>
        <w:rPr>
          <w:rFonts w:ascii="宋体" w:hAnsi="宋体"/>
          <w:sz w:val="24"/>
        </w:rPr>
        <w:t>（b</w:t>
      </w:r>
      <w:r>
        <w:rPr>
          <w:rFonts w:hint="eastAsia" w:ascii="宋体" w:hAnsi="宋体"/>
          <w:sz w:val="24"/>
        </w:rPr>
        <w:t>）变更管理：发生变更操作时，应根据相关制度进行审批、测试。并填写《配置变更申请单》和《配置变更参与人员信息表》。</w:t>
      </w:r>
    </w:p>
    <w:p w14:paraId="0623863F">
      <w:pPr>
        <w:spacing w:line="360" w:lineRule="auto"/>
        <w:ind w:firstLine="480"/>
        <w:rPr>
          <w:rFonts w:hint="eastAsia" w:ascii="宋体" w:hAnsi="宋体"/>
          <w:sz w:val="24"/>
        </w:rPr>
      </w:pPr>
      <w:r>
        <w:rPr>
          <w:rFonts w:hint="eastAsia"/>
          <w:sz w:val="24"/>
        </w:rPr>
        <w:t>（</w:t>
      </w:r>
      <w:r>
        <w:rPr>
          <w:sz w:val="24"/>
        </w:rPr>
        <w:t>4</w:t>
      </w:r>
      <w:r>
        <w:rPr>
          <w:rFonts w:hint="eastAsia"/>
          <w:sz w:val="24"/>
        </w:rPr>
        <w:t>）</w:t>
      </w:r>
      <w:r>
        <w:rPr>
          <w:rFonts w:hint="eastAsia" w:ascii="宋体" w:hAnsi="宋体"/>
          <w:sz w:val="24"/>
        </w:rPr>
        <w:t>备份与恢复管理</w:t>
      </w:r>
    </w:p>
    <w:p w14:paraId="1BE1D24A">
      <w:pPr>
        <w:spacing w:line="360" w:lineRule="auto"/>
        <w:ind w:firstLine="480"/>
        <w:rPr>
          <w:rFonts w:hint="eastAsia" w:ascii="宋体" w:hAnsi="宋体"/>
          <w:sz w:val="24"/>
        </w:rPr>
      </w:pPr>
      <w:r>
        <w:rPr>
          <w:rFonts w:ascii="宋体" w:hAnsi="宋体"/>
          <w:sz w:val="24"/>
        </w:rPr>
        <w:t>（a</w:t>
      </w:r>
      <w:r>
        <w:rPr>
          <w:rFonts w:hint="eastAsia" w:ascii="宋体" w:hAnsi="宋体"/>
          <w:sz w:val="24"/>
        </w:rPr>
        <w:t>）数据备份：应对关键系统进行数据备份，在技术支持部门的协同下制定备份策略和相应的操作规程。备份策略的制定应根据系统性能、存储容量、数据量增长速度、业务需求、备份方式、存储介质、存储介质型号、有效期等因素制定。数据管理实施部门应及时记录备份情况，包括备份作业（或名称），备份周期（定期或临时增加）、时间、内容、数据保存期限，磁带型号、磁带容量、业务种类、归档情况、异地备份记录、相关变更记录等信息，并进行当日备份的问题记录，以留档备查。</w:t>
      </w:r>
    </w:p>
    <w:p w14:paraId="414D2B96">
      <w:pPr>
        <w:spacing w:line="360" w:lineRule="auto"/>
        <w:ind w:firstLine="480"/>
        <w:rPr>
          <w:rFonts w:hint="eastAsia" w:ascii="宋体" w:hAnsi="宋体"/>
          <w:sz w:val="24"/>
        </w:rPr>
      </w:pPr>
      <w:r>
        <w:rPr>
          <w:rFonts w:ascii="宋体" w:hAnsi="宋体"/>
          <w:sz w:val="24"/>
        </w:rPr>
        <w:t>（b</w:t>
      </w:r>
      <w:r>
        <w:rPr>
          <w:rFonts w:hint="eastAsia" w:ascii="宋体" w:hAnsi="宋体"/>
          <w:sz w:val="24"/>
        </w:rPr>
        <w:t>）数据恢复：数据恢复前，必须根据情况对原环境有用的数据进行必要的备份，防止有用数据的丢失。数据恢复申请、审批要按照数据恢复流程和规范执行。数据恢复后，必须进行验证、确认，确保数据恢复的完整性和可用性。</w:t>
      </w:r>
    </w:p>
    <w:p w14:paraId="488DF701">
      <w:pPr>
        <w:spacing w:line="360" w:lineRule="auto"/>
        <w:ind w:firstLine="480"/>
        <w:rPr>
          <w:rFonts w:hint="eastAsia" w:ascii="宋体" w:hAnsi="宋体"/>
          <w:sz w:val="24"/>
        </w:rPr>
      </w:pPr>
      <w:r>
        <w:rPr>
          <w:rFonts w:ascii="宋体" w:hAnsi="宋体"/>
          <w:sz w:val="24"/>
        </w:rPr>
        <w:t>（c</w:t>
      </w:r>
      <w:r>
        <w:rPr>
          <w:rFonts w:hint="eastAsia" w:ascii="宋体" w:hAnsi="宋体"/>
          <w:sz w:val="24"/>
        </w:rPr>
        <w:t>）数据保管、抽检：数据管理实施部门根据备份策略保存数据。采用自动化技术集中管理的备份数据须实现备份数据清单管理的电子化。数据管理牵头部门和技术支持部门共同制定数据抽检方法，包括抽检频度、验证方式等。</w:t>
      </w:r>
    </w:p>
    <w:p w14:paraId="0949AF38">
      <w:pPr>
        <w:spacing w:line="360" w:lineRule="auto"/>
        <w:ind w:firstLine="480"/>
        <w:rPr>
          <w:rFonts w:hint="eastAsia" w:ascii="宋体" w:hAnsi="宋体"/>
          <w:sz w:val="24"/>
        </w:rPr>
      </w:pPr>
      <w:r>
        <w:rPr>
          <w:rFonts w:ascii="宋体" w:hAnsi="宋体"/>
          <w:sz w:val="24"/>
        </w:rPr>
        <w:t>（d</w:t>
      </w:r>
      <w:r>
        <w:rPr>
          <w:rFonts w:hint="eastAsia" w:ascii="宋体" w:hAnsi="宋体"/>
          <w:sz w:val="24"/>
        </w:rPr>
        <w:t>）数据使用：信息系统中的数据不得随意查询、记录、携带、复制、传输、修改、删除和泄漏。测试环境和研发环境需要使用生产环境的数据时，原则上要采用专用的处理程序进行适当的变形处理。技术部门对数据磁带的借用严格遵守磁介质借用审批流程，进行审批、登记、交接和归还，并保证备份数据完好无缺。</w:t>
      </w:r>
    </w:p>
    <w:p w14:paraId="6AD3A041">
      <w:pPr>
        <w:spacing w:line="360" w:lineRule="auto"/>
        <w:ind w:firstLine="480"/>
        <w:rPr>
          <w:rFonts w:hint="eastAsia" w:ascii="宋体" w:hAnsi="宋体"/>
          <w:sz w:val="24"/>
        </w:rPr>
      </w:pPr>
      <w:r>
        <w:rPr>
          <w:rFonts w:ascii="宋体" w:hAnsi="宋体"/>
          <w:sz w:val="24"/>
        </w:rPr>
        <w:t>（e</w:t>
      </w:r>
      <w:r>
        <w:rPr>
          <w:rFonts w:hint="eastAsia" w:ascii="宋体" w:hAnsi="宋体"/>
          <w:sz w:val="24"/>
        </w:rPr>
        <w:t>）数据清理：数据管理牵头部门根据信息系统运行性能，运行成本和业务部门对数据使用的要求，制定数据清理规范，包括清理周期、清理内容等。归档的数据必须有详细的文档进行记录，记录信息应包括：介质的编号、存储的内容、存储数据的记录时间、归档日期、保留期限、访问记录和操作、维护人员等。</w:t>
      </w:r>
    </w:p>
    <w:p w14:paraId="53B7BE32">
      <w:pPr>
        <w:spacing w:line="360" w:lineRule="auto"/>
        <w:ind w:firstLine="480"/>
        <w:rPr>
          <w:rFonts w:hint="eastAsia" w:ascii="宋体" w:hAnsi="宋体"/>
          <w:sz w:val="24"/>
        </w:rPr>
      </w:pPr>
      <w:r>
        <w:rPr>
          <w:rFonts w:ascii="宋体" w:hAnsi="宋体"/>
          <w:sz w:val="24"/>
        </w:rPr>
        <w:t>（f</w:t>
      </w:r>
      <w:r>
        <w:rPr>
          <w:rFonts w:hint="eastAsia" w:ascii="宋体" w:hAnsi="宋体"/>
          <w:sz w:val="24"/>
        </w:rPr>
        <w:t>）数据保密：任何单位和个人发现使用数据的违规行为都有权阻止或举报。涉及加密环节的重要数据（例如各类密码和密钥、各类校验算法、加</w:t>
      </w:r>
      <w:r>
        <w:rPr>
          <w:rFonts w:ascii="宋体" w:hAnsi="宋体"/>
          <w:sz w:val="24"/>
        </w:rPr>
        <w:t>/</w:t>
      </w:r>
      <w:r>
        <w:rPr>
          <w:rFonts w:hint="eastAsia" w:ascii="宋体" w:hAnsi="宋体"/>
          <w:sz w:val="24"/>
        </w:rPr>
        <w:t>解密算法和参数、终端设备识别算法和参数、身份识别算法和参数等）及其存放介质和技术资料等，必须同时按照有关法律、法规和单位有关规定严格管理。外单位人员对单位存放数据的设备进行维修、维护时，必须由单位设备管理人员现场全程监督。有关设备或介质需送交外单位维修、维护前，设备管理部门应确认设备或介质内的数据已经清除。</w:t>
      </w:r>
    </w:p>
    <w:p w14:paraId="4B08633F">
      <w:pPr>
        <w:spacing w:line="360" w:lineRule="auto"/>
        <w:ind w:firstLine="480"/>
        <w:rPr>
          <w:rFonts w:hint="eastAsia" w:ascii="宋体" w:hAnsi="宋体"/>
          <w:sz w:val="24"/>
        </w:rPr>
      </w:pPr>
      <w:r>
        <w:rPr>
          <w:rFonts w:hint="eastAsia"/>
          <w:sz w:val="24"/>
        </w:rPr>
        <w:t>（</w:t>
      </w:r>
      <w:r>
        <w:rPr>
          <w:sz w:val="24"/>
        </w:rPr>
        <w:t>5</w:t>
      </w:r>
      <w:r>
        <w:rPr>
          <w:rFonts w:hint="eastAsia"/>
          <w:sz w:val="24"/>
        </w:rPr>
        <w:t>）</w:t>
      </w:r>
      <w:r>
        <w:rPr>
          <w:rFonts w:hint="eastAsia" w:ascii="宋体" w:hAnsi="宋体"/>
          <w:sz w:val="24"/>
        </w:rPr>
        <w:t>设备及资产管理：应结合企业资产管理要求，对信息资产识别及分类和登记等项目工作。定期检查及维护更新资产信息。</w:t>
      </w:r>
    </w:p>
    <w:p w14:paraId="1BD454FC">
      <w:pPr>
        <w:spacing w:line="360" w:lineRule="auto"/>
        <w:ind w:firstLine="480"/>
        <w:rPr>
          <w:rFonts w:hint="eastAsia" w:ascii="宋体" w:hAnsi="宋体"/>
          <w:sz w:val="24"/>
        </w:rPr>
      </w:pPr>
      <w:r>
        <w:rPr>
          <w:rFonts w:hint="eastAsia"/>
          <w:sz w:val="24"/>
        </w:rPr>
        <w:t>（</w:t>
      </w:r>
      <w:r>
        <w:rPr>
          <w:sz w:val="24"/>
        </w:rPr>
        <w:t>6</w:t>
      </w:r>
      <w:r>
        <w:rPr>
          <w:rFonts w:hint="eastAsia"/>
          <w:sz w:val="24"/>
        </w:rPr>
        <w:t>）</w:t>
      </w:r>
      <w:r>
        <w:rPr>
          <w:rFonts w:hint="eastAsia" w:ascii="宋体" w:hAnsi="宋体"/>
          <w:sz w:val="24"/>
        </w:rPr>
        <w:t>安全监控和审计管理：应建立安全监控管理中心，对设备状态、错误日志、安全审计等安全相关事项进行集中监控管理。通过安全管理系统查看网络和业务系统的安全资产运行状况、安全风险走势、重要的安全事件处理情况，安全分析报表报告等。</w:t>
      </w:r>
    </w:p>
    <w:p w14:paraId="3BCD0D02">
      <w:pPr>
        <w:spacing w:line="360" w:lineRule="auto"/>
        <w:ind w:firstLine="480"/>
        <w:rPr>
          <w:rFonts w:hint="eastAsia" w:ascii="宋体" w:hAnsi="宋体"/>
          <w:sz w:val="24"/>
        </w:rPr>
      </w:pPr>
      <w:r>
        <w:rPr>
          <w:rFonts w:hint="eastAsia"/>
          <w:sz w:val="24"/>
        </w:rPr>
        <w:t>（</w:t>
      </w:r>
      <w:r>
        <w:rPr>
          <w:sz w:val="24"/>
        </w:rPr>
        <w:t>7</w:t>
      </w:r>
      <w:r>
        <w:rPr>
          <w:rFonts w:hint="eastAsia"/>
          <w:sz w:val="24"/>
        </w:rPr>
        <w:t>）</w:t>
      </w:r>
      <w:r>
        <w:rPr>
          <w:rFonts w:hint="eastAsia" w:ascii="宋体" w:hAnsi="宋体"/>
          <w:sz w:val="24"/>
        </w:rPr>
        <w:t>安全加固及基线管理</w:t>
      </w:r>
    </w:p>
    <w:p w14:paraId="4478C7D0">
      <w:pPr>
        <w:spacing w:line="360" w:lineRule="auto"/>
        <w:ind w:firstLine="480"/>
        <w:rPr>
          <w:rFonts w:hint="eastAsia" w:ascii="宋体" w:hAnsi="宋体"/>
          <w:sz w:val="24"/>
        </w:rPr>
      </w:pPr>
      <w:r>
        <w:rPr>
          <w:rFonts w:hint="eastAsia" w:ascii="宋体" w:hAnsi="宋体"/>
          <w:sz w:val="24"/>
        </w:rPr>
        <w:t>在运维过程中，应明确企业安全基线，安全加固流程，定期对系统进行安全加固，通过加固解决存在的问题。加固内容包括但不限于基于网络层的加固、服务器加固、网络设备加固、安全防护系统加固、应用系统开发优化等其他需要安全加固的系统。</w:t>
      </w:r>
    </w:p>
    <w:p w14:paraId="68965857"/>
    <w:bookmarkEnd w:id="30"/>
    <w:bookmarkEnd w:id="31"/>
    <w:bookmarkEnd w:id="32"/>
    <w:bookmarkEnd w:id="33"/>
    <w:bookmarkEnd w:id="34"/>
    <w:bookmarkEnd w:id="35"/>
    <w:bookmarkEnd w:id="36"/>
    <w:bookmarkEnd w:id="37"/>
    <w:bookmarkEnd w:id="38"/>
    <w:bookmarkEnd w:id="39"/>
    <w:bookmarkEnd w:id="40"/>
    <w:bookmarkEnd w:id="41"/>
    <w:bookmarkEnd w:id="275"/>
    <w:p w14:paraId="6AC80361">
      <w:pPr>
        <w:pStyle w:val="45"/>
        <w:numPr>
          <w:ilvl w:val="0"/>
          <w:numId w:val="1"/>
        </w:numPr>
        <w:rPr>
          <w:rFonts w:cs="Times New Roman"/>
          <w:color w:val="000000" w:themeColor="text1"/>
          <w:sz w:val="28"/>
          <w:szCs w:val="28"/>
          <w14:textFill>
            <w14:solidFill>
              <w14:schemeClr w14:val="tx1"/>
            </w14:solidFill>
          </w14:textFill>
        </w:rPr>
      </w:pPr>
      <w:bookmarkStart w:id="435" w:name="_Toc19087225"/>
      <w:bookmarkStart w:id="436" w:name="_Toc132902892"/>
      <w:bookmarkStart w:id="437" w:name="_Toc22324064"/>
      <w:r>
        <w:rPr>
          <w:rFonts w:cs="Times New Roman"/>
          <w:color w:val="000000" w:themeColor="text1"/>
          <w:sz w:val="28"/>
          <w:szCs w:val="28"/>
          <w14:textFill>
            <w14:solidFill>
              <w14:schemeClr w14:val="tx1"/>
            </w14:solidFill>
          </w14:textFill>
        </w:rPr>
        <w:t>安全生产费的计列</w:t>
      </w:r>
      <w:bookmarkEnd w:id="435"/>
      <w:bookmarkEnd w:id="436"/>
      <w:bookmarkEnd w:id="437"/>
    </w:p>
    <w:p w14:paraId="16369128">
      <w:pPr>
        <w:adjustRightInd w:val="0"/>
        <w:spacing w:line="360" w:lineRule="auto"/>
        <w:ind w:firstLine="480" w:firstLineChars="200"/>
        <w:textAlignment w:val="baseline"/>
        <w:rPr>
          <w:color w:val="000000" w:themeColor="text1"/>
          <w:sz w:val="24"/>
          <w14:textFill>
            <w14:solidFill>
              <w14:schemeClr w14:val="tx1"/>
            </w14:solidFill>
          </w14:textFill>
        </w:rPr>
      </w:pPr>
      <w:r>
        <w:rPr>
          <w:color w:val="000000" w:themeColor="text1"/>
          <w:sz w:val="24"/>
          <w14:textFill>
            <w14:solidFill>
              <w14:schemeClr w14:val="tx1"/>
            </w14:solidFill>
          </w14:textFill>
        </w:rPr>
        <w:t>按照国家相关法律法规及工信部2017版</w:t>
      </w:r>
      <w:r>
        <w:rPr>
          <w:b/>
          <w:color w:val="000000" w:themeColor="text1"/>
          <w:sz w:val="24"/>
          <w14:textFill>
            <w14:solidFill>
              <w14:schemeClr w14:val="tx1"/>
            </w14:solidFill>
          </w14:textFill>
        </w:rPr>
        <w:t>《信息通信建设工程预算定额》和《信息通信建设工程费用定额》（工信部通信[2016]451号）</w:t>
      </w:r>
      <w:r>
        <w:rPr>
          <w:color w:val="000000" w:themeColor="text1"/>
          <w:sz w:val="24"/>
          <w14:textFill>
            <w14:solidFill>
              <w14:schemeClr w14:val="tx1"/>
            </w14:solidFill>
          </w14:textFill>
        </w:rPr>
        <w:t>规定，安全生产费必须足额记取，不得打折，取费标准按照</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号)和中国铁塔【2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号文件《关于工程项目施工服务执行新的安全生产费率的通知》的要求进行提取，具体如下：</w:t>
      </w:r>
    </w:p>
    <w:p w14:paraId="466B7B2E">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铁塔、塔基、机房（柜）土建专业，按照3%计取。</w:t>
      </w:r>
    </w:p>
    <w:p w14:paraId="246170C6">
      <w:pPr>
        <w:pStyle w:val="58"/>
        <w:numPr>
          <w:ilvl w:val="0"/>
          <w:numId w:val="44"/>
        </w:numPr>
        <w:adjustRightInd w:val="0"/>
        <w:spacing w:line="360" w:lineRule="auto"/>
        <w:ind w:firstLineChars="0"/>
        <w:textAlignment w:val="baseline"/>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其他专业，包括动力配套、室内分布、传输接入等，按2%计取。</w:t>
      </w:r>
    </w:p>
    <w:p w14:paraId="49302655">
      <w:pPr>
        <w:pStyle w:val="45"/>
        <w:numPr>
          <w:ilvl w:val="0"/>
          <w:numId w:val="1"/>
        </w:numPr>
        <w:rPr>
          <w:rFonts w:cs="Times New Roman"/>
          <w:color w:val="000000" w:themeColor="text1"/>
          <w:sz w:val="28"/>
          <w:szCs w:val="28"/>
          <w14:textFill>
            <w14:solidFill>
              <w14:schemeClr w14:val="tx1"/>
            </w14:solidFill>
          </w14:textFill>
        </w:rPr>
      </w:pPr>
      <w:bookmarkStart w:id="438" w:name="_Toc54083596"/>
      <w:bookmarkStart w:id="439" w:name="_Toc429313927"/>
      <w:bookmarkStart w:id="440" w:name="_Toc16409545"/>
      <w:bookmarkStart w:id="441" w:name="_Toc46544763"/>
      <w:bookmarkStart w:id="442" w:name="_Toc22324065"/>
      <w:bookmarkStart w:id="443" w:name="_Toc54086723"/>
      <w:bookmarkStart w:id="444" w:name="_Toc19087226"/>
      <w:bookmarkStart w:id="445" w:name="_Toc54086195"/>
      <w:bookmarkStart w:id="446" w:name="_Toc15199737"/>
      <w:bookmarkStart w:id="447" w:name="_Toc34465838"/>
      <w:bookmarkStart w:id="448" w:name="_Toc417651998"/>
      <w:bookmarkStart w:id="449" w:name="_Toc364876757"/>
      <w:bookmarkStart w:id="450" w:name="_Toc54086672"/>
      <w:bookmarkStart w:id="451" w:name="_Toc132902893"/>
      <w:r>
        <w:rPr>
          <w:rFonts w:cs="Times New Roman"/>
          <w:color w:val="000000" w:themeColor="text1"/>
          <w:sz w:val="28"/>
          <w:szCs w:val="28"/>
          <w14:textFill>
            <w14:solidFill>
              <w14:schemeClr w14:val="tx1"/>
            </w14:solidFill>
          </w14:textFill>
        </w:rPr>
        <w:t>其它需说明的问题</w:t>
      </w:r>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p>
    <w:p w14:paraId="573B72E1">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（1）本设计参照供货厂家有关技术资料作出的，在安装前应与实际到货核对，如有不符施工中应作相应调整。</w:t>
      </w:r>
    </w:p>
    <w:p w14:paraId="1EB30013">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（2）根据相关要求，建议本工程机房内电源线采用阻燃型软电缆（线）。</w:t>
      </w:r>
    </w:p>
    <w:p w14:paraId="5416A6A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（3）根据</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color w:val="000000" w:themeColor="text1"/>
          <w:sz w:val="24"/>
          <w14:textFill>
            <w14:solidFill>
              <w14:schemeClr w14:val="tx1"/>
            </w14:solidFill>
          </w14:textFill>
        </w:rPr>
        <w:t>要求对</w:t>
      </w:r>
      <w:r>
        <w:rPr>
          <w:rFonts w:hint="eastAsia"/>
          <w:color w:val="000000" w:themeColor="text1"/>
          <w:sz w:val="24"/>
          <w14:textFill>
            <w14:solidFill>
              <w14:schemeClr w14:val="tx1"/>
            </w14:solidFill>
          </w14:textFill>
        </w:rPr>
        <w:t>交流配电屏、直流配电屏、高频开关电源机柜、交流不间断电源机柜、油机控制屏、转换屏、并机屏等</w:t>
      </w:r>
      <w:r>
        <w:rPr>
          <w:color w:val="000000" w:themeColor="text1"/>
          <w:sz w:val="24"/>
          <w14:textFill>
            <w14:solidFill>
              <w14:schemeClr w14:val="tx1"/>
            </w14:solidFill>
          </w14:textFill>
        </w:rPr>
        <w:t>通信电源设备</w:t>
      </w:r>
      <w:r>
        <w:rPr>
          <w:rFonts w:hint="eastAsia"/>
          <w:color w:val="000000" w:themeColor="text1"/>
          <w:sz w:val="24"/>
          <w14:textFill>
            <w14:solidFill>
              <w14:schemeClr w14:val="tx1"/>
            </w14:solidFill>
          </w14:textFill>
        </w:rPr>
        <w:t>，同列相邻安装时，设备侧壁间至少有二点用M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螺栓紧固，设备底脚应采用4个不小于M</w:t>
      </w:r>
      <w:r>
        <w:rPr>
          <w:color w:val="000000" w:themeColor="text1"/>
          <w:sz w:val="24"/>
          <w14:textFill>
            <w14:solidFill>
              <w14:schemeClr w14:val="tx1"/>
            </w14:solidFill>
          </w14:textFill>
        </w:rPr>
        <w:t>10</w:t>
      </w:r>
      <w:r>
        <w:rPr>
          <w:rFonts w:hint="eastAsia"/>
          <w:color w:val="000000" w:themeColor="text1"/>
          <w:sz w:val="24"/>
          <w14:textFill>
            <w14:solidFill>
              <w14:schemeClr w14:val="tx1"/>
            </w14:solidFill>
          </w14:textFill>
        </w:rPr>
        <w:t>的锚栓与地面固定。</w:t>
      </w:r>
    </w:p>
    <w:p w14:paraId="04052985">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中压（1</w:t>
      </w:r>
      <w:r>
        <w:rPr>
          <w:color w:val="000000" w:themeColor="text1"/>
          <w:sz w:val="24"/>
          <w14:textFill>
            <w14:solidFill>
              <w14:schemeClr w14:val="tx1"/>
            </w14:solidFill>
          </w14:textFill>
        </w:rPr>
        <w:t>0KV</w:t>
      </w:r>
      <w:r>
        <w:rPr>
          <w:rFonts w:hint="eastAsia"/>
          <w:color w:val="000000" w:themeColor="text1"/>
          <w:sz w:val="24"/>
          <w14:textFill>
            <w14:solidFill>
              <w14:schemeClr w14:val="tx1"/>
            </w14:solidFill>
          </w14:textFill>
        </w:rPr>
        <w:t>和3</w:t>
      </w:r>
      <w:r>
        <w:rPr>
          <w:color w:val="000000" w:themeColor="text1"/>
          <w:sz w:val="24"/>
          <w14:textFill>
            <w14:solidFill>
              <w14:schemeClr w14:val="tx1"/>
            </w14:solidFill>
          </w14:textFill>
        </w:rPr>
        <w:t>5KV</w:t>
      </w:r>
      <w:r>
        <w:rPr>
          <w:rFonts w:hint="eastAsia"/>
          <w:color w:val="000000" w:themeColor="text1"/>
          <w:sz w:val="24"/>
          <w14:textFill>
            <w14:solidFill>
              <w14:schemeClr w14:val="tx1"/>
            </w14:solidFill>
          </w14:textFill>
        </w:rPr>
        <w:t>）配电柜、低压配电柜、直流操作电源机柜等变配电电源设备，同列相邻安装时，设备侧壁间至少有二点用M</w:t>
      </w:r>
      <w:r>
        <w:rPr>
          <w:color w:val="000000" w:themeColor="text1"/>
          <w:sz w:val="24"/>
          <w14:textFill>
            <w14:solidFill>
              <w14:schemeClr w14:val="tx1"/>
            </w14:solidFill>
          </w14:textFill>
        </w:rPr>
        <w:t>8</w:t>
      </w:r>
      <w:r>
        <w:rPr>
          <w:rFonts w:hint="eastAsia"/>
          <w:color w:val="000000" w:themeColor="text1"/>
          <w:sz w:val="24"/>
          <w14:textFill>
            <w14:solidFill>
              <w14:schemeClr w14:val="tx1"/>
            </w14:solidFill>
          </w14:textFill>
        </w:rPr>
        <w:t>螺栓紧固，设备底脚应与地面预埋铁件焊接。</w:t>
      </w:r>
    </w:p>
    <w:p w14:paraId="551691A8">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蓄电池抗震设防时，应采用钢抗震架（柜）安装蓄电池组，钢抗震架（柜）底部应与地面锚固，锚固用锚栓规格数量应按照</w:t>
      </w:r>
      <w:r>
        <w:rPr>
          <w:b/>
          <w:color w:val="000000" w:themeColor="text1"/>
          <w:sz w:val="24"/>
          <w14:textFill>
            <w14:solidFill>
              <w14:schemeClr w14:val="tx1"/>
            </w14:solidFill>
          </w14:textFill>
        </w:rPr>
        <w:t>GB/T 51369-2019《</w:t>
      </w:r>
      <w:r>
        <w:rPr>
          <w:rFonts w:hint="eastAsia"/>
          <w:b/>
          <w:color w:val="000000" w:themeColor="text1"/>
          <w:sz w:val="24"/>
          <w14:textFill>
            <w14:solidFill>
              <w14:schemeClr w14:val="tx1"/>
            </w14:solidFill>
          </w14:textFill>
        </w:rPr>
        <w:t>通信设备安装工程抗震设计标准</w:t>
      </w:r>
      <w:r>
        <w:rPr>
          <w:b/>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标准第4</w:t>
      </w:r>
      <w:r>
        <w:rPr>
          <w:color w:val="000000" w:themeColor="text1"/>
          <w:sz w:val="24"/>
          <w14:textFill>
            <w14:solidFill>
              <w14:schemeClr w14:val="tx1"/>
            </w14:solidFill>
          </w14:textFill>
        </w:rPr>
        <w:t>.4.2</w:t>
      </w:r>
      <w:r>
        <w:rPr>
          <w:rFonts w:hint="eastAsia"/>
          <w:color w:val="000000" w:themeColor="text1"/>
          <w:sz w:val="24"/>
          <w14:textFill>
            <w14:solidFill>
              <w14:schemeClr w14:val="tx1"/>
            </w14:solidFill>
          </w14:textFill>
        </w:rPr>
        <w:t>条规定，也可按表6</w:t>
      </w:r>
      <w:r>
        <w:rPr>
          <w:color w:val="000000" w:themeColor="text1"/>
          <w:sz w:val="24"/>
          <w14:textFill>
            <w14:solidFill>
              <w14:schemeClr w14:val="tx1"/>
            </w14:solidFill>
          </w14:textFill>
        </w:rPr>
        <w:t>.1.1</w:t>
      </w:r>
      <w:r>
        <w:rPr>
          <w:rFonts w:hint="eastAsia"/>
          <w:color w:val="000000" w:themeColor="text1"/>
          <w:sz w:val="24"/>
          <w14:textFill>
            <w14:solidFill>
              <w14:schemeClr w14:val="tx1"/>
            </w14:solidFill>
          </w14:textFill>
        </w:rPr>
        <w:t>的规定确定。同时蓄电池组与电源设备之间应采用软电缆连接，并预留满足工程要求的变形余量。</w:t>
      </w:r>
    </w:p>
    <w:p w14:paraId="5DDEB8AA">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（4）导线计划表中线料长度为设计预估长度，施工时应根据站点情况，裁剪一根布放一根，避免浪费。</w:t>
      </w:r>
    </w:p>
    <w:p w14:paraId="445F3B68">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（5）关于基站蓄电池组的安装</w:t>
      </w:r>
    </w:p>
    <w:p w14:paraId="1476E2F8">
      <w:pPr>
        <w:pStyle w:val="53"/>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对于利用商品房（居民住宅、商用办公楼等）作机房的通信基站，当基站不在一层时，其地面承载能力一般较差，一般为200Kg/平方米。考虑到蓄电池重量较大，蓄电池组的排列应慎重进行，建议在安装时按单层双列方式进行。为确保机房承载安全，请建设单位将设备平面布置图委托有相应资质的建筑设计单位对承重进行核算，若达不到要求，必须采取相应加固措施。在基站面积较小，电池组按二层及以上方式安装时，尤其要注意。</w:t>
      </w:r>
    </w:p>
    <w:p w14:paraId="2FEE03EF">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（7）本期工程涉及到的设备，其详细规格、功耗、加电等技术指标及参数详见厂家随设备赠送的说明书。</w:t>
      </w:r>
    </w:p>
    <w:p w14:paraId="5919B85F">
      <w:pPr>
        <w:pStyle w:val="54"/>
        <w:rPr>
          <w:rFonts w:cs="Times New Roman"/>
          <w:b/>
          <w:color w:val="000000" w:themeColor="text1"/>
          <w:szCs w:val="24"/>
          <w14:textFill>
            <w14:solidFill>
              <w14:schemeClr w14:val="tx1"/>
            </w14:solidFill>
          </w14:textFill>
        </w:rPr>
      </w:pPr>
      <w:bookmarkStart w:id="452" w:name="_Toc522135713"/>
    </w:p>
    <w:p w14:paraId="4AC2F877"/>
    <w:p w14:paraId="34C2D2E9"/>
    <w:p w14:paraId="3121FAC7">
      <w:pPr>
        <w:tabs>
          <w:tab w:val="left" w:pos="5220"/>
        </w:tabs>
        <w:rPr>
          <w:rFonts w:eastAsia="黑体"/>
          <w:b/>
          <w:color w:val="000000" w:themeColor="text1"/>
          <w:sz w:val="24"/>
          <w14:textFill>
            <w14:solidFill>
              <w14:schemeClr w14:val="tx1"/>
            </w14:solidFill>
          </w14:textFill>
        </w:rPr>
      </w:pPr>
      <w:r>
        <w:rPr>
          <w:rFonts w:eastAsia="黑体"/>
          <w:b/>
          <w:color w:val="000000" w:themeColor="text1"/>
          <w:sz w:val="24"/>
          <w14:textFill>
            <w14:solidFill>
              <w14:schemeClr w14:val="tx1"/>
            </w14:solidFill>
          </w14:textFill>
        </w:rPr>
        <w:tab/>
      </w:r>
    </w:p>
    <w:p w14:paraId="0BA9204A">
      <w:pPr>
        <w:tabs>
          <w:tab w:val="left" w:pos="5220"/>
        </w:tabs>
        <w:sectPr>
          <w:pgSz w:w="11907" w:h="16840"/>
          <w:pgMar w:top="1588" w:right="1701" w:bottom="1361" w:left="1701" w:header="1021" w:footer="1134" w:gutter="0"/>
          <w:cols w:space="425" w:num="1"/>
          <w:docGrid w:linePitch="380" w:charSpace="0"/>
        </w:sectPr>
      </w:pPr>
      <w:r>
        <w:tab/>
      </w:r>
    </w:p>
    <w:p w14:paraId="7E70AEFC">
      <w:pPr>
        <w:pStyle w:val="54"/>
        <w:rPr>
          <w:rFonts w:cs="Times New Roman"/>
          <w:color w:val="000000" w:themeColor="text1"/>
          <w:sz w:val="28"/>
          <w:szCs w:val="28"/>
          <w14:textFill>
            <w14:solidFill>
              <w14:schemeClr w14:val="tx1"/>
            </w14:solidFill>
          </w14:textFill>
        </w:rPr>
      </w:pPr>
      <w:bookmarkStart w:id="453" w:name="_Toc132902894"/>
      <w:bookmarkStart w:id="454" w:name="_Toc22324066"/>
      <w:bookmarkStart w:id="455" w:name="_Toc19087227"/>
      <w:r>
        <w:rPr>
          <w:rFonts w:hint="eastAsia" w:cs="Times New Roman"/>
          <w:color w:val="000000" w:themeColor="text1"/>
          <w:sz w:val="28"/>
          <w:szCs w:val="28"/>
          <w14:textFill>
            <w14:solidFill>
              <w14:schemeClr w14:val="tx1"/>
            </w14:solidFill>
          </w14:textFill>
        </w:rPr>
        <w:t>二</w:t>
      </w:r>
      <w:r>
        <w:rPr>
          <w:rFonts w:cs="Times New Roman"/>
          <w:color w:val="000000" w:themeColor="text1"/>
          <w:sz w:val="28"/>
          <w:szCs w:val="28"/>
          <w14:textFill>
            <w14:solidFill>
              <w14:schemeClr w14:val="tx1"/>
            </w14:solidFill>
          </w14:textFill>
        </w:rPr>
        <w:t>、预算</w:t>
      </w:r>
      <w:bookmarkEnd w:id="452"/>
      <w:bookmarkEnd w:id="453"/>
      <w:bookmarkEnd w:id="454"/>
      <w:bookmarkEnd w:id="455"/>
    </w:p>
    <w:p w14:paraId="43F5FED8">
      <w:pPr>
        <w:pStyle w:val="45"/>
        <w:numPr>
          <w:ilvl w:val="0"/>
          <w:numId w:val="45"/>
        </w:numPr>
        <w:rPr>
          <w:rFonts w:cs="Times New Roman"/>
          <w:color w:val="000000" w:themeColor="text1"/>
          <w:sz w:val="28"/>
          <w:szCs w:val="28"/>
          <w14:textFill>
            <w14:solidFill>
              <w14:schemeClr w14:val="tx1"/>
            </w14:solidFill>
          </w14:textFill>
        </w:rPr>
      </w:pPr>
      <w:bookmarkStart w:id="456" w:name="_Toc54086676"/>
      <w:bookmarkStart w:id="457" w:name="_Toc19087228"/>
      <w:bookmarkStart w:id="458" w:name="_Toc114021055"/>
      <w:bookmarkStart w:id="459" w:name="_Toc114042466"/>
      <w:bookmarkStart w:id="460" w:name="_Toc217653052"/>
      <w:bookmarkStart w:id="461" w:name="_Toc22324067"/>
      <w:bookmarkStart w:id="462" w:name="_Toc132902895"/>
      <w:bookmarkStart w:id="463" w:name="_Toc509872929"/>
      <w:bookmarkStart w:id="464" w:name="_Toc276991192"/>
      <w:bookmarkStart w:id="465" w:name="_Toc211759802"/>
      <w:bookmarkStart w:id="466" w:name="_Toc417651999"/>
      <w:bookmarkStart w:id="467" w:name="_Toc9938256"/>
      <w:bookmarkStart w:id="468" w:name="_Toc54086199"/>
      <w:bookmarkStart w:id="469" w:name="_Toc113332076"/>
      <w:bookmarkStart w:id="470" w:name="_Toc472914764"/>
      <w:bookmarkStart w:id="471" w:name="_Toc54086727"/>
      <w:bookmarkStart w:id="472" w:name="_Toc522135714"/>
      <w:bookmarkStart w:id="473" w:name="_Toc54083600"/>
      <w:bookmarkStart w:id="474" w:name="_Toc46544767"/>
      <w:r>
        <w:rPr>
          <w:rFonts w:cs="Times New Roman"/>
          <w:color w:val="000000" w:themeColor="text1"/>
          <w:sz w:val="28"/>
          <w:szCs w:val="28"/>
          <w14:textFill>
            <w14:solidFill>
              <w14:schemeClr w14:val="tx1"/>
            </w14:solidFill>
          </w14:textFill>
        </w:rPr>
        <w:t>编制依据</w:t>
      </w:r>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p>
    <w:p w14:paraId="4F3E83B4">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（1）</w:t>
      </w:r>
      <w:r>
        <w:rPr>
          <w:rFonts w:hint="eastAsia"/>
          <w:color w:val="000000" w:themeColor="text1"/>
          <w:sz w:val="24"/>
          <w14:textFill>
            <w14:solidFill>
              <w14:schemeClr w14:val="tx1"/>
            </w14:solidFill>
          </w14:textFill>
        </w:rPr>
        <w:t>财政部_安全监管总局关于印发</w:t>
      </w:r>
      <w:r>
        <w:rPr>
          <w:rFonts w:hint="eastAsia"/>
          <w:b/>
          <w:color w:val="000000" w:themeColor="text1"/>
          <w:sz w:val="24"/>
          <w14:textFill>
            <w14:solidFill>
              <w14:schemeClr w14:val="tx1"/>
            </w14:solidFill>
          </w14:textFill>
        </w:rPr>
        <w:t>《企业安全生产费用提取和使用管理办法》</w:t>
      </w:r>
      <w:r>
        <w:rPr>
          <w:rFonts w:hint="eastAsia"/>
          <w:color w:val="000000" w:themeColor="text1"/>
          <w:sz w:val="24"/>
          <w14:textFill>
            <w14:solidFill>
              <w14:schemeClr w14:val="tx1"/>
            </w14:solidFill>
          </w14:textFill>
        </w:rPr>
        <w:t>的通知(财资[20</w:t>
      </w:r>
      <w:r>
        <w:rPr>
          <w:color w:val="000000" w:themeColor="text1"/>
          <w:sz w:val="24"/>
          <w14:textFill>
            <w14:solidFill>
              <w14:schemeClr w14:val="tx1"/>
            </w14:solidFill>
          </w14:textFill>
        </w:rPr>
        <w:t>22</w:t>
      </w:r>
      <w:r>
        <w:rPr>
          <w:rFonts w:hint="eastAsia"/>
          <w:color w:val="000000" w:themeColor="text1"/>
          <w:sz w:val="24"/>
          <w14:textFill>
            <w14:solidFill>
              <w14:schemeClr w14:val="tx1"/>
            </w14:solidFill>
          </w14:textFill>
        </w:rPr>
        <w:t>]1</w:t>
      </w:r>
      <w:r>
        <w:rPr>
          <w:color w:val="000000" w:themeColor="text1"/>
          <w:sz w:val="24"/>
          <w14:textFill>
            <w14:solidFill>
              <w14:schemeClr w14:val="tx1"/>
            </w14:solidFill>
          </w14:textFill>
        </w:rPr>
        <w:t>3</w:t>
      </w:r>
      <w:r>
        <w:rPr>
          <w:rFonts w:hint="eastAsia"/>
          <w:color w:val="000000" w:themeColor="text1"/>
          <w:sz w:val="24"/>
          <w14:textFill>
            <w14:solidFill>
              <w14:schemeClr w14:val="tx1"/>
            </w14:solidFill>
          </w14:textFill>
        </w:rPr>
        <w:t>6 号)</w:t>
      </w:r>
      <w:r>
        <w:rPr>
          <w:color w:val="000000" w:themeColor="text1"/>
          <w:sz w:val="24"/>
          <w14:textFill>
            <w14:solidFill>
              <w14:schemeClr w14:val="tx1"/>
            </w14:solidFill>
          </w14:textFill>
        </w:rPr>
        <w:t>；</w:t>
      </w:r>
    </w:p>
    <w:p w14:paraId="2C4F6510">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（2）</w:t>
      </w:r>
      <w:r>
        <w:rPr>
          <w:rFonts w:hint="eastAsia"/>
          <w:b/>
          <w:color w:val="000000" w:themeColor="text1"/>
          <w:sz w:val="24"/>
          <w14:textFill>
            <w14:solidFill>
              <w14:schemeClr w14:val="tx1"/>
            </w14:solidFill>
          </w14:textFill>
        </w:rPr>
        <w:t>《中国铁塔股份有限公司工程物资与服务编码》</w:t>
      </w:r>
      <w:r>
        <w:rPr>
          <w:color w:val="000000" w:themeColor="text1"/>
          <w:sz w:val="24"/>
          <w14:textFill>
            <w14:solidFill>
              <w14:schemeClr w14:val="tx1"/>
            </w14:solidFill>
          </w14:textFill>
        </w:rPr>
        <w:t>；</w:t>
      </w:r>
    </w:p>
    <w:p w14:paraId="7CE4D407">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（3）建设单位提供的相关资料；</w:t>
      </w:r>
    </w:p>
    <w:p w14:paraId="71A6F9BD">
      <w:pPr>
        <w:spacing w:line="360" w:lineRule="auto"/>
        <w:ind w:firstLine="480"/>
        <w:rPr>
          <w:color w:val="000000" w:themeColor="text1"/>
          <w:sz w:val="24"/>
          <w14:textFill>
            <w14:solidFill>
              <w14:schemeClr w14:val="tx1"/>
            </w14:solidFill>
          </w14:textFill>
        </w:rPr>
      </w:pPr>
      <w:r>
        <w:rPr>
          <w:color w:val="000000" w:themeColor="text1"/>
          <w:sz w:val="24"/>
          <w14:textFill>
            <w14:solidFill>
              <w14:schemeClr w14:val="tx1"/>
            </w14:solidFill>
          </w14:textFill>
        </w:rPr>
        <w:t>（4）</w:t>
      </w:r>
      <w:r>
        <w:rPr>
          <w:rFonts w:hint="eastAsia"/>
          <w:color w:val="000000" w:themeColor="text1"/>
          <w:sz w:val="24"/>
          <w14:textFill>
            <w14:solidFill>
              <w14:schemeClr w14:val="tx1"/>
            </w14:solidFill>
          </w14:textFill>
        </w:rPr>
        <w:t>中通服咨询设计研究院有限公司</w:t>
      </w:r>
      <w:r>
        <w:rPr>
          <w:color w:val="000000" w:themeColor="text1"/>
          <w:sz w:val="24"/>
          <w14:textFill>
            <w14:solidFill>
              <w14:schemeClr w14:val="tx1"/>
            </w14:solidFill>
          </w14:textFill>
        </w:rPr>
        <w:t>人员现场勘察资料</w:t>
      </w:r>
      <w:r>
        <w:rPr>
          <w:rFonts w:hint="eastAsia"/>
          <w:color w:val="000000" w:themeColor="text1"/>
          <w:sz w:val="24"/>
          <w14:textFill>
            <w14:solidFill>
              <w14:schemeClr w14:val="tx1"/>
            </w14:solidFill>
          </w14:textFill>
        </w:rPr>
        <w:t>。</w:t>
      </w:r>
    </w:p>
    <w:p w14:paraId="2DC7C8C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（5）中国铁塔【2</w:t>
      </w:r>
      <w:r>
        <w:rPr>
          <w:color w:val="000000" w:themeColor="text1"/>
          <w:sz w:val="24"/>
          <w14:textFill>
            <w14:solidFill>
              <w14:schemeClr w14:val="tx1"/>
            </w14:solidFill>
          </w14:textFill>
        </w:rPr>
        <w:t>023</w:t>
      </w:r>
      <w:r>
        <w:rPr>
          <w:rFonts w:hint="eastAsia"/>
          <w:color w:val="000000" w:themeColor="text1"/>
          <w:sz w:val="24"/>
          <w14:textFill>
            <w14:solidFill>
              <w14:schemeClr w14:val="tx1"/>
            </w14:solidFill>
          </w14:textFill>
        </w:rPr>
        <w:t>】7</w:t>
      </w:r>
      <w:r>
        <w:rPr>
          <w:color w:val="000000" w:themeColor="text1"/>
          <w:sz w:val="24"/>
          <w14:textFill>
            <w14:solidFill>
              <w14:schemeClr w14:val="tx1"/>
            </w14:solidFill>
          </w14:textFill>
        </w:rPr>
        <w:t>6</w:t>
      </w:r>
      <w:r>
        <w:rPr>
          <w:rFonts w:hint="eastAsia"/>
          <w:color w:val="000000" w:themeColor="text1"/>
          <w:sz w:val="24"/>
          <w14:textFill>
            <w14:solidFill>
              <w14:schemeClr w14:val="tx1"/>
            </w14:solidFill>
          </w14:textFill>
        </w:rPr>
        <w:t>号文件《关于工程项目施工服务执行新的安全生产费率的通知》；</w:t>
      </w:r>
    </w:p>
    <w:p w14:paraId="646DB97A">
      <w:pPr>
        <w:pStyle w:val="45"/>
        <w:numPr>
          <w:ilvl w:val="0"/>
          <w:numId w:val="45"/>
        </w:numPr>
        <w:rPr>
          <w:rFonts w:cs="Times New Roman"/>
          <w:color w:val="000000" w:themeColor="text1"/>
          <w:sz w:val="28"/>
          <w:szCs w:val="28"/>
          <w14:textFill>
            <w14:solidFill>
              <w14:schemeClr w14:val="tx1"/>
            </w14:solidFill>
          </w14:textFill>
        </w:rPr>
      </w:pPr>
      <w:bookmarkStart w:id="475" w:name="_Toc132902896"/>
      <w:bookmarkStart w:id="476" w:name="_Toc19087229"/>
      <w:bookmarkStart w:id="477" w:name="_Toc509872930"/>
      <w:bookmarkStart w:id="478" w:name="_Toc522135715"/>
      <w:bookmarkStart w:id="479" w:name="_Toc22324068"/>
      <w:r>
        <w:rPr>
          <w:rFonts w:cs="Times New Roman"/>
          <w:color w:val="000000" w:themeColor="text1"/>
          <w:sz w:val="28"/>
          <w:szCs w:val="28"/>
          <w14:textFill>
            <w14:solidFill>
              <w14:schemeClr w14:val="tx1"/>
            </w14:solidFill>
          </w14:textFill>
        </w:rPr>
        <w:t>编制说明</w:t>
      </w:r>
      <w:bookmarkEnd w:id="475"/>
      <w:bookmarkEnd w:id="476"/>
      <w:bookmarkEnd w:id="477"/>
      <w:bookmarkEnd w:id="478"/>
      <w:bookmarkEnd w:id="479"/>
    </w:p>
    <w:p w14:paraId="607178F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项目概预算投资信息，采取线上从模块化产品库中选定相关模块的类别及数量，系统后台分配各模块单价及工程中标折扣，通过对站点所需不同类别模块的数量、单价、折扣加权求和的方式统计汇总。项目概预算投资信息</w:t>
      </w:r>
      <w:r>
        <w:rPr>
          <w:color w:val="000000" w:themeColor="text1"/>
          <w:sz w:val="24"/>
          <w14:textFill>
            <w14:solidFill>
              <w14:schemeClr w14:val="tx1"/>
            </w14:solidFill>
          </w14:textFill>
        </w:rPr>
        <w:t>包括</w:t>
      </w:r>
      <w:r>
        <w:rPr>
          <w:rFonts w:hint="eastAsia"/>
          <w:color w:val="000000" w:themeColor="text1"/>
          <w:sz w:val="24"/>
          <w14:textFill>
            <w14:solidFill>
              <w14:schemeClr w14:val="tx1"/>
            </w14:solidFill>
          </w14:textFill>
        </w:rPr>
        <w:t>一个表一</w:t>
      </w:r>
      <w:r>
        <w:rPr>
          <w:color w:val="000000" w:themeColor="text1"/>
          <w:sz w:val="24"/>
          <w14:textFill>
            <w14:solidFill>
              <w14:schemeClr w14:val="tx1"/>
            </w14:solidFill>
          </w14:textFill>
        </w:rPr>
        <w:t>汇总表和</w:t>
      </w:r>
      <w:r>
        <w:rPr>
          <w:rFonts w:hint="eastAsia"/>
          <w:color w:val="000000" w:themeColor="text1"/>
          <w:sz w:val="24"/>
          <w14:textFill>
            <w14:solidFill>
              <w14:schemeClr w14:val="tx1"/>
            </w14:solidFill>
          </w14:textFill>
        </w:rPr>
        <w:t>三个子表，子表分别为：表五其他费用表子表、甲供设备材料清单子表、服务模块清单子表。表一</w:t>
      </w:r>
      <w:r>
        <w:rPr>
          <w:color w:val="000000" w:themeColor="text1"/>
          <w:sz w:val="24"/>
          <w14:textFill>
            <w14:solidFill>
              <w14:schemeClr w14:val="tx1"/>
            </w14:solidFill>
          </w14:textFill>
        </w:rPr>
        <w:t>汇总表用作单个工程建设项目各子</w:t>
      </w:r>
      <w:r>
        <w:rPr>
          <w:rFonts w:hint="eastAsia"/>
          <w:color w:val="000000" w:themeColor="text1"/>
          <w:sz w:val="24"/>
          <w14:textFill>
            <w14:solidFill>
              <w14:schemeClr w14:val="tx1"/>
            </w14:solidFill>
          </w14:textFill>
        </w:rPr>
        <w:t>表费用</w:t>
      </w:r>
      <w:r>
        <w:rPr>
          <w:color w:val="000000" w:themeColor="text1"/>
          <w:sz w:val="24"/>
          <w14:textFill>
            <w14:solidFill>
              <w14:schemeClr w14:val="tx1"/>
            </w14:solidFill>
          </w14:textFill>
        </w:rPr>
        <w:t>的汇总，包括“</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其他投资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表五其他费用表</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包含可行性研究费、勘察设计费、监理费等费用，汇总于表一汇总表中的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设备及建筑安装投资</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后，体现在总投资中。甲供设备材料清单子表统计相应甲供材料的模块类别和数量、单价，获取各专业甲供材料投资。服务模块清单子表统计相应乙供服务模块类别和数量、单价，获取各专业乙供服务模块投资。模块类别的选择依据云南省省公司模块化培训内容要求确定。统计所用的各类子费用为不含税投资价格。</w:t>
      </w:r>
    </w:p>
    <w:p w14:paraId="7C39F73D">
      <w:pPr>
        <w:pStyle w:val="41"/>
        <w:rPr>
          <w:rFonts w:hint="eastAsia" w:ascii="黑体" w:hAnsi="黑体" w:eastAsia="黑体" w:cs="Times New Roman"/>
          <w:color w:val="000000" w:themeColor="text1"/>
          <w:sz w:val="28"/>
          <w:szCs w:val="28"/>
          <w14:textFill>
            <w14:solidFill>
              <w14:schemeClr w14:val="tx1"/>
            </w14:solidFill>
          </w14:textFill>
        </w:rPr>
      </w:pPr>
      <w:bookmarkStart w:id="480" w:name="_Toc522135716"/>
      <w:bookmarkStart w:id="481" w:name="_Toc19087230"/>
      <w:bookmarkStart w:id="482" w:name="_Toc132902897"/>
      <w:bookmarkStart w:id="483" w:name="_Toc22324069"/>
      <w:bookmarkStart w:id="484" w:name="_Toc446944573"/>
      <w:bookmarkStart w:id="485" w:name="_Toc509872931"/>
      <w:r>
        <w:rPr>
          <w:rFonts w:hint="eastAsia" w:ascii="黑体" w:hAnsi="黑体" w:eastAsia="黑体" w:cs="Times New Roman"/>
          <w:color w:val="000000" w:themeColor="text1"/>
          <w:sz w:val="28"/>
          <w:szCs w:val="28"/>
          <w14:textFill>
            <w14:solidFill>
              <w14:schemeClr w14:val="tx1"/>
            </w14:solidFill>
          </w14:textFill>
        </w:rPr>
        <w:t>2.1表一</w:t>
      </w:r>
      <w:r>
        <w:rPr>
          <w:rFonts w:ascii="黑体" w:hAnsi="黑体" w:eastAsia="黑体" w:cs="Times New Roman"/>
          <w:color w:val="000000" w:themeColor="text1"/>
          <w:sz w:val="28"/>
          <w:szCs w:val="28"/>
          <w14:textFill>
            <w14:solidFill>
              <w14:schemeClr w14:val="tx1"/>
            </w14:solidFill>
          </w14:textFill>
        </w:rPr>
        <w:t>汇总表</w:t>
      </w:r>
      <w:bookmarkEnd w:id="480"/>
      <w:bookmarkEnd w:id="481"/>
      <w:bookmarkEnd w:id="482"/>
      <w:bookmarkEnd w:id="483"/>
      <w:bookmarkEnd w:id="484"/>
      <w:bookmarkEnd w:id="485"/>
    </w:p>
    <w:p w14:paraId="56CECDC1">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设备及建筑安装投资包含的费用类别有：铁塔专业、铁塔基础土建专业、动力配套专业、机房（柜）土建专业、室内分布系统专业、传输专业；其他投资包含的费用类别有：租赁基站机房装修、外电引入、选址费</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汇总得到不含增值税总金额和含增值税总金额</w:t>
      </w:r>
      <w:r>
        <w:rPr>
          <w:color w:val="000000" w:themeColor="text1"/>
          <w:sz w:val="24"/>
          <w14:textFill>
            <w14:solidFill>
              <w14:schemeClr w14:val="tx1"/>
            </w14:solidFill>
          </w14:textFill>
        </w:rPr>
        <w:t>。</w:t>
      </w:r>
      <w:r>
        <w:rPr>
          <w:rFonts w:hint="eastAsia"/>
          <w:color w:val="000000" w:themeColor="text1"/>
          <w:sz w:val="24"/>
          <w14:textFill>
            <w14:solidFill>
              <w14:schemeClr w14:val="tx1"/>
            </w14:solidFill>
          </w14:textFill>
        </w:rPr>
        <w:t>其中各项费用的单价由云南省公司系统录入数据及招投标中标单价执行。</w:t>
      </w:r>
    </w:p>
    <w:p w14:paraId="56B842D9">
      <w:pPr>
        <w:pStyle w:val="41"/>
        <w:rPr>
          <w:rFonts w:hint="eastAsia" w:ascii="黑体" w:hAnsi="黑体" w:eastAsia="黑体" w:cs="Times New Roman"/>
          <w:color w:val="000000" w:themeColor="text1"/>
          <w:sz w:val="28"/>
          <w:szCs w:val="28"/>
          <w14:textFill>
            <w14:solidFill>
              <w14:schemeClr w14:val="tx1"/>
            </w14:solidFill>
          </w14:textFill>
        </w:rPr>
      </w:pPr>
      <w:bookmarkStart w:id="486" w:name="_Toc522135717"/>
      <w:bookmarkStart w:id="487" w:name="_Toc22324070"/>
      <w:bookmarkStart w:id="488" w:name="_Toc19087231"/>
      <w:bookmarkStart w:id="489" w:name="_Toc446944574"/>
      <w:bookmarkStart w:id="490" w:name="_Toc509872932"/>
      <w:bookmarkStart w:id="491" w:name="_Toc132902898"/>
      <w:r>
        <w:rPr>
          <w:rFonts w:hint="eastAsia" w:ascii="黑体" w:hAnsi="黑体" w:eastAsia="黑体" w:cs="Times New Roman"/>
          <w:color w:val="000000" w:themeColor="text1"/>
          <w:sz w:val="28"/>
          <w:szCs w:val="28"/>
          <w14:textFill>
            <w14:solidFill>
              <w14:schemeClr w14:val="tx1"/>
            </w14:solidFill>
          </w14:textFill>
        </w:rPr>
        <w:t>2.2表五其他费用</w:t>
      </w:r>
      <w:r>
        <w:rPr>
          <w:rFonts w:ascii="黑体" w:hAnsi="黑体" w:eastAsia="黑体" w:cs="Times New Roman"/>
          <w:color w:val="000000" w:themeColor="text1"/>
          <w:sz w:val="28"/>
          <w:szCs w:val="28"/>
          <w14:textFill>
            <w14:solidFill>
              <w14:schemeClr w14:val="tx1"/>
            </w14:solidFill>
          </w14:textFill>
        </w:rPr>
        <w:t>子表</w:t>
      </w:r>
      <w:bookmarkEnd w:id="486"/>
      <w:bookmarkEnd w:id="487"/>
      <w:bookmarkEnd w:id="488"/>
      <w:bookmarkEnd w:id="489"/>
      <w:bookmarkEnd w:id="490"/>
      <w:bookmarkEnd w:id="491"/>
    </w:p>
    <w:p w14:paraId="75E96196">
      <w:pPr>
        <w:rPr>
          <w:color w:val="000000" w:themeColor="text1"/>
          <w14:textFill>
            <w14:solidFill>
              <w14:schemeClr w14:val="tx1"/>
            </w14:solidFill>
          </w14:textFill>
        </w:rPr>
      </w:pPr>
    </w:p>
    <w:p w14:paraId="1551A0C5">
      <w:pPr>
        <w:rPr>
          <w:color w:val="000000" w:themeColor="text1"/>
          <w14:textFill>
            <w14:solidFill>
              <w14:schemeClr w14:val="tx1"/>
            </w14:solidFill>
          </w14:textFill>
        </w:rPr>
      </w:pPr>
    </w:p>
    <w:p w14:paraId="779160FB">
      <w:pPr>
        <w:rPr>
          <w:color w:val="000000" w:themeColor="text1"/>
          <w14:textFill>
            <w14:solidFill>
              <w14:schemeClr w14:val="tx1"/>
            </w14:solidFill>
          </w14:textFill>
        </w:rPr>
      </w:pPr>
    </w:p>
    <w:p w14:paraId="1F427EF6">
      <w:pPr>
        <w:rPr>
          <w:color w:val="000000" w:themeColor="text1"/>
          <w:sz w:val="24"/>
          <w14:textFill>
            <w14:solidFill>
              <w14:schemeClr w14:val="tx1"/>
            </w14:solidFill>
          </w14:textFill>
        </w:rPr>
      </w:pPr>
      <w:r>
        <w:rPr>
          <w:color w:val="000000" w:themeColor="text1"/>
          <w:sz w:val="24"/>
          <w14:textFill>
            <w14:solidFill>
              <w14:schemeClr w14:val="tx1"/>
            </w14:solidFill>
          </w14:textFill>
        </w:rPr>
        <w:t xml:space="preserve">表2.2                     </w:t>
      </w:r>
      <w:r>
        <w:rPr>
          <w:rFonts w:hint="eastAsia"/>
          <w:color w:val="000000" w:themeColor="text1"/>
          <w:sz w:val="24"/>
          <w14:textFill>
            <w14:solidFill>
              <w14:schemeClr w14:val="tx1"/>
            </w14:solidFill>
          </w14:textFill>
        </w:rPr>
        <w:t>表五其他费用子表</w:t>
      </w:r>
      <w:r>
        <w:rPr>
          <w:color w:val="000000" w:themeColor="text1"/>
          <w:sz w:val="24"/>
          <w14:textFill>
            <w14:solidFill>
              <w14:schemeClr w14:val="tx1"/>
            </w14:solidFill>
          </w14:textFill>
        </w:rPr>
        <w:t>取费如下表</w:t>
      </w:r>
    </w:p>
    <w:tbl>
      <w:tblPr>
        <w:tblStyle w:val="31"/>
        <w:tblW w:w="8343" w:type="dxa"/>
        <w:tblInd w:w="93" w:type="dxa"/>
        <w:tblLayout w:type="fixed"/>
        <w:tblCellMar>
          <w:top w:w="0" w:type="dxa"/>
          <w:left w:w="108" w:type="dxa"/>
          <w:bottom w:w="0" w:type="dxa"/>
          <w:right w:w="108" w:type="dxa"/>
        </w:tblCellMar>
      </w:tblPr>
      <w:tblGrid>
        <w:gridCol w:w="738"/>
        <w:gridCol w:w="1829"/>
        <w:gridCol w:w="4819"/>
        <w:gridCol w:w="957"/>
      </w:tblGrid>
      <w:tr w14:paraId="6EAF1A8F">
        <w:tblPrEx>
          <w:tblCellMar>
            <w:top w:w="0" w:type="dxa"/>
            <w:left w:w="108" w:type="dxa"/>
            <w:bottom w:w="0" w:type="dxa"/>
            <w:right w:w="108" w:type="dxa"/>
          </w:tblCellMar>
        </w:tblPrEx>
        <w:trPr>
          <w:trHeight w:val="470" w:hRule="atLeast"/>
          <w:tblHeader/>
        </w:trPr>
        <w:tc>
          <w:tcPr>
            <w:tcW w:w="738" w:type="dxa"/>
            <w:tcBorders>
              <w:top w:val="single" w:color="808080" w:sz="8" w:space="0"/>
              <w:left w:val="single" w:color="808080" w:sz="8" w:space="0"/>
              <w:bottom w:val="single" w:color="808080" w:sz="8" w:space="0"/>
              <w:right w:val="single" w:color="808080" w:sz="8" w:space="0"/>
            </w:tcBorders>
            <w:shd w:val="clear" w:color="000000" w:fill="FFFFFF"/>
            <w:vAlign w:val="center"/>
          </w:tcPr>
          <w:p w14:paraId="550D6DEB">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序号</w:t>
            </w:r>
          </w:p>
        </w:tc>
        <w:tc>
          <w:tcPr>
            <w:tcW w:w="1829" w:type="dxa"/>
            <w:tcBorders>
              <w:top w:val="single" w:color="808080" w:sz="8" w:space="0"/>
              <w:left w:val="nil"/>
              <w:bottom w:val="single" w:color="808080" w:sz="8" w:space="0"/>
              <w:right w:val="single" w:color="808080" w:sz="8" w:space="0"/>
            </w:tcBorders>
            <w:shd w:val="clear" w:color="000000" w:fill="FFFFFF"/>
            <w:vAlign w:val="center"/>
          </w:tcPr>
          <w:p w14:paraId="7F3EC64E">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费用名称</w:t>
            </w:r>
          </w:p>
        </w:tc>
        <w:tc>
          <w:tcPr>
            <w:tcW w:w="4819" w:type="dxa"/>
            <w:tcBorders>
              <w:top w:val="single" w:color="808080" w:sz="8" w:space="0"/>
              <w:left w:val="nil"/>
              <w:bottom w:val="single" w:color="808080" w:sz="8" w:space="0"/>
              <w:right w:val="single" w:color="808080" w:sz="8" w:space="0"/>
            </w:tcBorders>
            <w:shd w:val="clear" w:color="000000" w:fill="FFFFFF"/>
            <w:vAlign w:val="center"/>
          </w:tcPr>
          <w:p w14:paraId="264A9ACB">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计费依据</w:t>
            </w:r>
          </w:p>
        </w:tc>
        <w:tc>
          <w:tcPr>
            <w:tcW w:w="957" w:type="dxa"/>
            <w:tcBorders>
              <w:top w:val="single" w:color="808080" w:sz="8" w:space="0"/>
              <w:left w:val="nil"/>
              <w:bottom w:val="single" w:color="808080" w:sz="8" w:space="0"/>
              <w:right w:val="single" w:color="808080" w:sz="8" w:space="0"/>
            </w:tcBorders>
            <w:shd w:val="clear" w:color="000000" w:fill="FFFFFF"/>
            <w:vAlign w:val="center"/>
          </w:tcPr>
          <w:p w14:paraId="17212C59">
            <w:pPr>
              <w:widowControl/>
              <w:jc w:val="left"/>
              <w:rPr>
                <w:rFonts w:hint="eastAsia" w:ascii="宋体" w:hAnsi="宋体" w:cs="宋体"/>
                <w:bCs/>
                <w:color w:val="000000" w:themeColor="text1"/>
                <w:kern w:val="0"/>
                <w:sz w:val="24"/>
                <w14:textFill>
                  <w14:solidFill>
                    <w14:schemeClr w14:val="tx1"/>
                  </w14:solidFill>
                </w14:textFill>
              </w:rPr>
            </w:pPr>
            <w:r>
              <w:rPr>
                <w:rFonts w:hint="eastAsia" w:ascii="宋体" w:hAnsi="宋体" w:cs="宋体"/>
                <w:bCs/>
                <w:color w:val="000000" w:themeColor="text1"/>
                <w:kern w:val="0"/>
                <w:sz w:val="24"/>
                <w14:textFill>
                  <w14:solidFill>
                    <w14:schemeClr w14:val="tx1"/>
                  </w14:solidFill>
                </w14:textFill>
              </w:rPr>
              <w:t>备注</w:t>
            </w:r>
          </w:p>
        </w:tc>
      </w:tr>
      <w:tr w14:paraId="394D0EEE">
        <w:tblPrEx>
          <w:tblCellMar>
            <w:top w:w="0" w:type="dxa"/>
            <w:left w:w="108" w:type="dxa"/>
            <w:bottom w:w="0" w:type="dxa"/>
            <w:right w:w="108" w:type="dxa"/>
          </w:tblCellMar>
        </w:tblPrEx>
        <w:trPr>
          <w:trHeight w:val="66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4E9AE40C">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w:t>
            </w:r>
          </w:p>
        </w:tc>
        <w:tc>
          <w:tcPr>
            <w:tcW w:w="1829" w:type="dxa"/>
            <w:tcBorders>
              <w:top w:val="nil"/>
              <w:left w:val="nil"/>
              <w:bottom w:val="single" w:color="000000" w:sz="8" w:space="0"/>
              <w:right w:val="single" w:color="000000" w:sz="8" w:space="0"/>
            </w:tcBorders>
            <w:shd w:val="clear" w:color="auto" w:fill="auto"/>
            <w:vAlign w:val="center"/>
          </w:tcPr>
          <w:p w14:paraId="272B8331">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可行性研究费</w:t>
            </w:r>
          </w:p>
        </w:tc>
        <w:tc>
          <w:tcPr>
            <w:tcW w:w="4819" w:type="dxa"/>
            <w:tcBorders>
              <w:top w:val="nil"/>
              <w:left w:val="nil"/>
              <w:bottom w:val="single" w:color="000000" w:sz="8" w:space="0"/>
              <w:right w:val="single" w:color="000000" w:sz="8" w:space="0"/>
            </w:tcBorders>
            <w:shd w:val="clear" w:color="auto" w:fill="auto"/>
            <w:vAlign w:val="center"/>
          </w:tcPr>
          <w:p w14:paraId="4B54B8AE">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根据集团及省公司当前取费规定记取，本次宏站不计取</w:t>
            </w:r>
          </w:p>
        </w:tc>
        <w:tc>
          <w:tcPr>
            <w:tcW w:w="957" w:type="dxa"/>
            <w:tcBorders>
              <w:top w:val="nil"/>
              <w:left w:val="nil"/>
              <w:bottom w:val="single" w:color="000000" w:sz="8" w:space="0"/>
              <w:right w:val="single" w:color="000000" w:sz="8" w:space="0"/>
            </w:tcBorders>
            <w:shd w:val="clear" w:color="auto" w:fill="auto"/>
            <w:vAlign w:val="center"/>
          </w:tcPr>
          <w:p w14:paraId="0C3DC8CD">
            <w:pPr>
              <w:widowControl/>
              <w:jc w:val="left"/>
              <w:rPr>
                <w:rFonts w:hint="eastAsia" w:ascii="宋体" w:hAnsi="宋体" w:cs="宋体"/>
                <w:color w:val="000000" w:themeColor="text1"/>
                <w:kern w:val="0"/>
                <w:sz w:val="24"/>
                <w14:textFill>
                  <w14:solidFill>
                    <w14:schemeClr w14:val="tx1"/>
                  </w14:solidFill>
                </w14:textFill>
              </w:rPr>
            </w:pPr>
          </w:p>
        </w:tc>
      </w:tr>
      <w:tr w14:paraId="53C73E1C">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5C428B9D">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w:t>
            </w:r>
          </w:p>
        </w:tc>
        <w:tc>
          <w:tcPr>
            <w:tcW w:w="1829" w:type="dxa"/>
            <w:tcBorders>
              <w:top w:val="nil"/>
              <w:left w:val="nil"/>
              <w:bottom w:val="single" w:color="000000" w:sz="8" w:space="0"/>
              <w:right w:val="single" w:color="000000" w:sz="8" w:space="0"/>
            </w:tcBorders>
            <w:shd w:val="clear" w:color="auto" w:fill="auto"/>
            <w:vAlign w:val="center"/>
          </w:tcPr>
          <w:p w14:paraId="7FF2E6FD">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勘察设计费小计</w:t>
            </w:r>
          </w:p>
        </w:tc>
        <w:tc>
          <w:tcPr>
            <w:tcW w:w="4819" w:type="dxa"/>
            <w:tcBorders>
              <w:top w:val="nil"/>
              <w:left w:val="nil"/>
              <w:bottom w:val="single" w:color="000000" w:sz="8" w:space="0"/>
              <w:right w:val="single" w:color="000000" w:sz="8" w:space="0"/>
            </w:tcBorders>
            <w:shd w:val="clear" w:color="auto" w:fill="auto"/>
            <w:vAlign w:val="center"/>
          </w:tcPr>
          <w:p w14:paraId="249479C3">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14:paraId="6F0FFF6F">
            <w:pPr>
              <w:widowControl/>
              <w:jc w:val="left"/>
              <w:rPr>
                <w:rFonts w:hint="eastAsia" w:ascii="宋体" w:hAnsi="宋体" w:cs="宋体"/>
                <w:color w:val="000000" w:themeColor="text1"/>
                <w:kern w:val="0"/>
                <w:sz w:val="24"/>
                <w14:textFill>
                  <w14:solidFill>
                    <w14:schemeClr w14:val="tx1"/>
                  </w14:solidFill>
                </w14:textFill>
              </w:rPr>
            </w:pPr>
          </w:p>
        </w:tc>
      </w:tr>
      <w:tr w14:paraId="4D1C9740">
        <w:tblPrEx>
          <w:tblCellMar>
            <w:top w:w="0" w:type="dxa"/>
            <w:left w:w="108" w:type="dxa"/>
            <w:bottom w:w="0" w:type="dxa"/>
            <w:right w:w="108" w:type="dxa"/>
          </w:tblCellMar>
        </w:tblPrEx>
        <w:trPr>
          <w:trHeight w:val="561"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1DA68A8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2.1</w:t>
            </w:r>
          </w:p>
        </w:tc>
        <w:tc>
          <w:tcPr>
            <w:tcW w:w="1829" w:type="dxa"/>
            <w:tcBorders>
              <w:top w:val="nil"/>
              <w:left w:val="nil"/>
              <w:bottom w:val="single" w:color="000000" w:sz="8" w:space="0"/>
              <w:right w:val="single" w:color="000000" w:sz="8" w:space="0"/>
            </w:tcBorders>
            <w:shd w:val="clear" w:color="auto" w:fill="auto"/>
            <w:vAlign w:val="center"/>
          </w:tcPr>
          <w:p w14:paraId="191CDBB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勘察费</w:t>
            </w:r>
          </w:p>
        </w:tc>
        <w:tc>
          <w:tcPr>
            <w:tcW w:w="4819" w:type="dxa"/>
            <w:tcBorders>
              <w:top w:val="nil"/>
              <w:left w:val="nil"/>
              <w:bottom w:val="single" w:color="000000" w:sz="8" w:space="0"/>
              <w:right w:val="single" w:color="000000" w:sz="8" w:space="0"/>
            </w:tcBorders>
            <w:shd w:val="clear" w:color="auto" w:fill="auto"/>
            <w:vAlign w:val="center"/>
          </w:tcPr>
          <w:p w14:paraId="03250B2B">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14:paraId="3F2A1962">
            <w:pPr>
              <w:widowControl/>
              <w:jc w:val="left"/>
              <w:rPr>
                <w:rFonts w:hint="eastAsia" w:ascii="宋体" w:hAnsi="宋体" w:cs="宋体"/>
                <w:color w:val="000000" w:themeColor="text1"/>
                <w:kern w:val="0"/>
                <w:sz w:val="24"/>
                <w14:textFill>
                  <w14:solidFill>
                    <w14:schemeClr w14:val="tx1"/>
                  </w14:solidFill>
                </w14:textFill>
              </w:rPr>
            </w:pPr>
          </w:p>
        </w:tc>
      </w:tr>
      <w:tr w14:paraId="738CCEE1">
        <w:tblPrEx>
          <w:tblCellMar>
            <w:top w:w="0" w:type="dxa"/>
            <w:left w:w="108" w:type="dxa"/>
            <w:bottom w:w="0" w:type="dxa"/>
            <w:right w:w="108" w:type="dxa"/>
          </w:tblCellMar>
        </w:tblPrEx>
        <w:trPr>
          <w:trHeight w:val="59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5CE34A24">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2.2</w:t>
            </w:r>
          </w:p>
        </w:tc>
        <w:tc>
          <w:tcPr>
            <w:tcW w:w="1829" w:type="dxa"/>
            <w:tcBorders>
              <w:top w:val="nil"/>
              <w:left w:val="nil"/>
              <w:bottom w:val="single" w:color="000000" w:sz="8" w:space="0"/>
              <w:right w:val="single" w:color="000000" w:sz="8" w:space="0"/>
            </w:tcBorders>
            <w:shd w:val="clear" w:color="auto" w:fill="auto"/>
            <w:vAlign w:val="center"/>
          </w:tcPr>
          <w:p w14:paraId="16A0236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设计费</w:t>
            </w:r>
          </w:p>
        </w:tc>
        <w:tc>
          <w:tcPr>
            <w:tcW w:w="4819" w:type="dxa"/>
            <w:tcBorders>
              <w:top w:val="nil"/>
              <w:left w:val="nil"/>
              <w:bottom w:val="single" w:color="000000" w:sz="8" w:space="0"/>
              <w:right w:val="single" w:color="000000" w:sz="8" w:space="0"/>
            </w:tcBorders>
            <w:shd w:val="clear" w:color="auto" w:fill="auto"/>
            <w:vAlign w:val="center"/>
          </w:tcPr>
          <w:p w14:paraId="187A84C7">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14:paraId="2F448AC7">
            <w:pPr>
              <w:widowControl/>
              <w:jc w:val="left"/>
              <w:rPr>
                <w:rFonts w:hint="eastAsia" w:ascii="宋体" w:hAnsi="宋体" w:cs="宋体"/>
                <w:color w:val="000000" w:themeColor="text1"/>
                <w:kern w:val="0"/>
                <w:sz w:val="24"/>
                <w14:textFill>
                  <w14:solidFill>
                    <w14:schemeClr w14:val="tx1"/>
                  </w14:solidFill>
                </w14:textFill>
              </w:rPr>
            </w:pPr>
          </w:p>
        </w:tc>
      </w:tr>
      <w:tr w14:paraId="3D78C970">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7BE97EBA">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3</w:t>
            </w:r>
          </w:p>
        </w:tc>
        <w:tc>
          <w:tcPr>
            <w:tcW w:w="1829" w:type="dxa"/>
            <w:tcBorders>
              <w:top w:val="nil"/>
              <w:left w:val="nil"/>
              <w:bottom w:val="single" w:color="000000" w:sz="8" w:space="0"/>
              <w:right w:val="single" w:color="000000" w:sz="8" w:space="0"/>
            </w:tcBorders>
            <w:shd w:val="clear" w:color="auto" w:fill="auto"/>
            <w:vAlign w:val="center"/>
          </w:tcPr>
          <w:p w14:paraId="47AFA27A">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地勘费</w:t>
            </w:r>
          </w:p>
        </w:tc>
        <w:tc>
          <w:tcPr>
            <w:tcW w:w="4819" w:type="dxa"/>
            <w:tcBorders>
              <w:top w:val="nil"/>
              <w:left w:val="nil"/>
              <w:bottom w:val="single" w:color="000000" w:sz="8" w:space="0"/>
              <w:right w:val="single" w:color="000000" w:sz="8" w:space="0"/>
            </w:tcBorders>
            <w:shd w:val="clear" w:color="auto" w:fill="auto"/>
            <w:vAlign w:val="center"/>
          </w:tcPr>
          <w:p w14:paraId="37F8F45E">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新建落地铁塔站记取</w:t>
            </w:r>
          </w:p>
        </w:tc>
        <w:tc>
          <w:tcPr>
            <w:tcW w:w="957" w:type="dxa"/>
            <w:tcBorders>
              <w:top w:val="nil"/>
              <w:left w:val="nil"/>
              <w:bottom w:val="single" w:color="000000" w:sz="8" w:space="0"/>
              <w:right w:val="single" w:color="000000" w:sz="8" w:space="0"/>
            </w:tcBorders>
            <w:shd w:val="clear" w:color="auto" w:fill="auto"/>
            <w:vAlign w:val="center"/>
          </w:tcPr>
          <w:p w14:paraId="64C39004">
            <w:pPr>
              <w:widowControl/>
              <w:jc w:val="left"/>
              <w:rPr>
                <w:rFonts w:hint="eastAsia" w:ascii="宋体" w:hAnsi="宋体" w:cs="宋体"/>
                <w:color w:val="000000" w:themeColor="text1"/>
                <w:kern w:val="0"/>
                <w:sz w:val="24"/>
                <w14:textFill>
                  <w14:solidFill>
                    <w14:schemeClr w14:val="tx1"/>
                  </w14:solidFill>
                </w14:textFill>
              </w:rPr>
            </w:pPr>
          </w:p>
        </w:tc>
      </w:tr>
      <w:tr w14:paraId="6E4F43D7">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5DD49B50">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w:t>
            </w:r>
          </w:p>
        </w:tc>
        <w:tc>
          <w:tcPr>
            <w:tcW w:w="1829" w:type="dxa"/>
            <w:tcBorders>
              <w:top w:val="nil"/>
              <w:left w:val="nil"/>
              <w:bottom w:val="single" w:color="000000" w:sz="8" w:space="0"/>
              <w:right w:val="single" w:color="000000" w:sz="8" w:space="0"/>
            </w:tcBorders>
            <w:shd w:val="clear" w:color="auto" w:fill="auto"/>
            <w:vAlign w:val="center"/>
          </w:tcPr>
          <w:p w14:paraId="40572CCC">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检测费</w:t>
            </w:r>
          </w:p>
        </w:tc>
        <w:tc>
          <w:tcPr>
            <w:tcW w:w="4819" w:type="dxa"/>
            <w:tcBorders>
              <w:top w:val="nil"/>
              <w:left w:val="nil"/>
              <w:bottom w:val="single" w:color="000000" w:sz="8" w:space="0"/>
              <w:right w:val="single" w:color="000000" w:sz="8" w:space="0"/>
            </w:tcBorders>
            <w:shd w:val="clear" w:color="auto" w:fill="auto"/>
            <w:vAlign w:val="center"/>
          </w:tcPr>
          <w:p w14:paraId="6B5E54B1">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14:paraId="1CE3E830">
            <w:pPr>
              <w:widowControl/>
              <w:jc w:val="left"/>
              <w:rPr>
                <w:rFonts w:hint="eastAsia" w:ascii="宋体" w:hAnsi="宋体" w:cs="宋体"/>
                <w:color w:val="000000" w:themeColor="text1"/>
                <w:kern w:val="0"/>
                <w:sz w:val="24"/>
                <w14:textFill>
                  <w14:solidFill>
                    <w14:schemeClr w14:val="tx1"/>
                  </w14:solidFill>
                </w14:textFill>
              </w:rPr>
            </w:pPr>
          </w:p>
        </w:tc>
      </w:tr>
      <w:tr w14:paraId="0B32C4E7">
        <w:tblPrEx>
          <w:tblCellMar>
            <w:top w:w="0" w:type="dxa"/>
            <w:left w:w="108" w:type="dxa"/>
            <w:bottom w:w="0" w:type="dxa"/>
            <w:right w:w="108" w:type="dxa"/>
          </w:tblCellMar>
        </w:tblPrEx>
        <w:trPr>
          <w:trHeight w:val="40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71EA771A">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4.1</w:t>
            </w:r>
          </w:p>
        </w:tc>
        <w:tc>
          <w:tcPr>
            <w:tcW w:w="1829" w:type="dxa"/>
            <w:tcBorders>
              <w:top w:val="nil"/>
              <w:left w:val="nil"/>
              <w:bottom w:val="single" w:color="000000" w:sz="8" w:space="0"/>
              <w:right w:val="single" w:color="000000" w:sz="8" w:space="0"/>
            </w:tcBorders>
            <w:shd w:val="clear" w:color="auto" w:fill="auto"/>
            <w:vAlign w:val="center"/>
          </w:tcPr>
          <w:p w14:paraId="4AE8252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铁塔检测费</w:t>
            </w:r>
          </w:p>
        </w:tc>
        <w:tc>
          <w:tcPr>
            <w:tcW w:w="4819" w:type="dxa"/>
            <w:tcBorders>
              <w:top w:val="nil"/>
              <w:left w:val="nil"/>
              <w:bottom w:val="single" w:color="000000" w:sz="8" w:space="0"/>
              <w:right w:val="single" w:color="000000" w:sz="8" w:space="0"/>
            </w:tcBorders>
            <w:shd w:val="clear" w:color="auto" w:fill="auto"/>
            <w:vAlign w:val="center"/>
          </w:tcPr>
          <w:p w14:paraId="46E5CA4B">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14:paraId="788E6E84">
            <w:pPr>
              <w:widowControl/>
              <w:jc w:val="left"/>
              <w:rPr>
                <w:rFonts w:hint="eastAsia" w:ascii="宋体" w:hAnsi="宋体" w:cs="宋体"/>
                <w:color w:val="000000" w:themeColor="text1"/>
                <w:kern w:val="0"/>
                <w:sz w:val="24"/>
                <w14:textFill>
                  <w14:solidFill>
                    <w14:schemeClr w14:val="tx1"/>
                  </w14:solidFill>
                </w14:textFill>
              </w:rPr>
            </w:pPr>
          </w:p>
        </w:tc>
      </w:tr>
      <w:tr w14:paraId="60BFBCFC">
        <w:tblPrEx>
          <w:tblCellMar>
            <w:top w:w="0" w:type="dxa"/>
            <w:left w:w="108" w:type="dxa"/>
            <w:bottom w:w="0" w:type="dxa"/>
            <w:right w:w="108" w:type="dxa"/>
          </w:tblCellMar>
        </w:tblPrEx>
        <w:trPr>
          <w:trHeight w:val="38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35B88AA4">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4.2</w:t>
            </w:r>
          </w:p>
        </w:tc>
        <w:tc>
          <w:tcPr>
            <w:tcW w:w="1829" w:type="dxa"/>
            <w:tcBorders>
              <w:top w:val="nil"/>
              <w:left w:val="nil"/>
              <w:bottom w:val="single" w:color="000000" w:sz="8" w:space="0"/>
              <w:right w:val="single" w:color="000000" w:sz="8" w:space="0"/>
            </w:tcBorders>
            <w:shd w:val="clear" w:color="auto" w:fill="auto"/>
            <w:vAlign w:val="center"/>
          </w:tcPr>
          <w:p w14:paraId="03AB7C50">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房屋检测费</w:t>
            </w:r>
          </w:p>
        </w:tc>
        <w:tc>
          <w:tcPr>
            <w:tcW w:w="4819" w:type="dxa"/>
            <w:tcBorders>
              <w:top w:val="nil"/>
              <w:left w:val="nil"/>
              <w:bottom w:val="single" w:color="000000" w:sz="8" w:space="0"/>
              <w:right w:val="single" w:color="000000" w:sz="8" w:space="0"/>
            </w:tcBorders>
            <w:shd w:val="clear" w:color="auto" w:fill="auto"/>
            <w:vAlign w:val="center"/>
          </w:tcPr>
          <w:p w14:paraId="64CCCE8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14:paraId="201BACC5">
            <w:pPr>
              <w:widowControl/>
              <w:jc w:val="left"/>
              <w:rPr>
                <w:rFonts w:hint="eastAsia" w:ascii="宋体" w:hAnsi="宋体" w:cs="宋体"/>
                <w:color w:val="000000" w:themeColor="text1"/>
                <w:kern w:val="0"/>
                <w:sz w:val="24"/>
                <w14:textFill>
                  <w14:solidFill>
                    <w14:schemeClr w14:val="tx1"/>
                  </w14:solidFill>
                </w14:textFill>
              </w:rPr>
            </w:pPr>
          </w:p>
        </w:tc>
      </w:tr>
      <w:tr w14:paraId="0A9C5846">
        <w:tblPrEx>
          <w:tblCellMar>
            <w:top w:w="0" w:type="dxa"/>
            <w:left w:w="108" w:type="dxa"/>
            <w:bottom w:w="0" w:type="dxa"/>
            <w:right w:w="108" w:type="dxa"/>
          </w:tblCellMar>
        </w:tblPrEx>
        <w:trPr>
          <w:trHeight w:val="365"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36C1EAF6">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4.3</w:t>
            </w:r>
          </w:p>
        </w:tc>
        <w:tc>
          <w:tcPr>
            <w:tcW w:w="1829" w:type="dxa"/>
            <w:tcBorders>
              <w:top w:val="nil"/>
              <w:left w:val="nil"/>
              <w:bottom w:val="single" w:color="000000" w:sz="8" w:space="0"/>
              <w:right w:val="single" w:color="000000" w:sz="8" w:space="0"/>
            </w:tcBorders>
            <w:shd w:val="clear" w:color="auto" w:fill="auto"/>
            <w:vAlign w:val="center"/>
          </w:tcPr>
          <w:p w14:paraId="485FA9EC">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基础检测费</w:t>
            </w:r>
          </w:p>
        </w:tc>
        <w:tc>
          <w:tcPr>
            <w:tcW w:w="4819" w:type="dxa"/>
            <w:tcBorders>
              <w:top w:val="nil"/>
              <w:left w:val="nil"/>
              <w:bottom w:val="single" w:color="000000" w:sz="8" w:space="0"/>
              <w:right w:val="single" w:color="000000" w:sz="8" w:space="0"/>
            </w:tcBorders>
            <w:shd w:val="clear" w:color="auto" w:fill="auto"/>
            <w:vAlign w:val="center"/>
          </w:tcPr>
          <w:p w14:paraId="19069250">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部分存量改造站点据实记取</w:t>
            </w:r>
          </w:p>
        </w:tc>
        <w:tc>
          <w:tcPr>
            <w:tcW w:w="957" w:type="dxa"/>
            <w:tcBorders>
              <w:top w:val="nil"/>
              <w:left w:val="nil"/>
              <w:bottom w:val="single" w:color="000000" w:sz="8" w:space="0"/>
              <w:right w:val="single" w:color="000000" w:sz="8" w:space="0"/>
            </w:tcBorders>
            <w:shd w:val="clear" w:color="auto" w:fill="auto"/>
            <w:vAlign w:val="center"/>
          </w:tcPr>
          <w:p w14:paraId="2C27B6CB">
            <w:pPr>
              <w:widowControl/>
              <w:jc w:val="left"/>
              <w:rPr>
                <w:rFonts w:hint="eastAsia" w:ascii="宋体" w:hAnsi="宋体" w:cs="宋体"/>
                <w:color w:val="000000" w:themeColor="text1"/>
                <w:kern w:val="0"/>
                <w:sz w:val="24"/>
                <w14:textFill>
                  <w14:solidFill>
                    <w14:schemeClr w14:val="tx1"/>
                  </w14:solidFill>
                </w14:textFill>
              </w:rPr>
            </w:pPr>
          </w:p>
        </w:tc>
      </w:tr>
      <w:tr w14:paraId="1AE8D800">
        <w:tblPrEx>
          <w:tblCellMar>
            <w:top w:w="0" w:type="dxa"/>
            <w:left w:w="108" w:type="dxa"/>
            <w:bottom w:w="0" w:type="dxa"/>
            <w:right w:w="108" w:type="dxa"/>
          </w:tblCellMar>
        </w:tblPrEx>
        <w:trPr>
          <w:trHeight w:val="940"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2AF336B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5</w:t>
            </w:r>
          </w:p>
        </w:tc>
        <w:tc>
          <w:tcPr>
            <w:tcW w:w="1829" w:type="dxa"/>
            <w:tcBorders>
              <w:top w:val="nil"/>
              <w:left w:val="nil"/>
              <w:bottom w:val="single" w:color="000000" w:sz="8" w:space="0"/>
              <w:right w:val="single" w:color="000000" w:sz="8" w:space="0"/>
            </w:tcBorders>
            <w:shd w:val="clear" w:color="auto" w:fill="auto"/>
            <w:vAlign w:val="center"/>
          </w:tcPr>
          <w:p w14:paraId="4F860628">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建设工程监理费</w:t>
            </w:r>
          </w:p>
        </w:tc>
        <w:tc>
          <w:tcPr>
            <w:tcW w:w="4819" w:type="dxa"/>
            <w:tcBorders>
              <w:top w:val="nil"/>
              <w:left w:val="nil"/>
              <w:bottom w:val="single" w:color="000000" w:sz="8" w:space="0"/>
              <w:right w:val="single" w:color="000000" w:sz="8" w:space="0"/>
            </w:tcBorders>
            <w:shd w:val="clear" w:color="auto" w:fill="auto"/>
            <w:vAlign w:val="center"/>
          </w:tcPr>
          <w:p w14:paraId="63A70EE9">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单独下单采购，站点预算中不计取</w:t>
            </w:r>
          </w:p>
        </w:tc>
        <w:tc>
          <w:tcPr>
            <w:tcW w:w="957" w:type="dxa"/>
            <w:tcBorders>
              <w:top w:val="nil"/>
              <w:left w:val="nil"/>
              <w:bottom w:val="single" w:color="000000" w:sz="8" w:space="0"/>
              <w:right w:val="single" w:color="000000" w:sz="8" w:space="0"/>
            </w:tcBorders>
            <w:shd w:val="clear" w:color="auto" w:fill="auto"/>
            <w:vAlign w:val="center"/>
          </w:tcPr>
          <w:p w14:paraId="1AF3ED71">
            <w:pPr>
              <w:widowControl/>
              <w:jc w:val="left"/>
              <w:rPr>
                <w:rFonts w:hint="eastAsia" w:ascii="宋体" w:hAnsi="宋体" w:cs="宋体"/>
                <w:color w:val="000000" w:themeColor="text1"/>
                <w:kern w:val="0"/>
                <w:sz w:val="24"/>
                <w14:textFill>
                  <w14:solidFill>
                    <w14:schemeClr w14:val="tx1"/>
                  </w14:solidFill>
                </w14:textFill>
              </w:rPr>
            </w:pPr>
          </w:p>
        </w:tc>
      </w:tr>
      <w:tr w14:paraId="535C6F53">
        <w:tblPrEx>
          <w:tblCellMar>
            <w:top w:w="0" w:type="dxa"/>
            <w:left w:w="108" w:type="dxa"/>
            <w:bottom w:w="0" w:type="dxa"/>
            <w:right w:w="108" w:type="dxa"/>
          </w:tblCellMar>
        </w:tblPrEx>
        <w:trPr>
          <w:trHeight w:val="544"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71B34A91">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6</w:t>
            </w:r>
          </w:p>
        </w:tc>
        <w:tc>
          <w:tcPr>
            <w:tcW w:w="1829" w:type="dxa"/>
            <w:tcBorders>
              <w:top w:val="nil"/>
              <w:left w:val="nil"/>
              <w:bottom w:val="single" w:color="000000" w:sz="8" w:space="0"/>
              <w:right w:val="single" w:color="000000" w:sz="8" w:space="0"/>
            </w:tcBorders>
            <w:shd w:val="clear" w:color="auto" w:fill="auto"/>
            <w:vAlign w:val="center"/>
          </w:tcPr>
          <w:p w14:paraId="0640A353">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安全生产费</w:t>
            </w:r>
          </w:p>
        </w:tc>
        <w:tc>
          <w:tcPr>
            <w:tcW w:w="4819" w:type="dxa"/>
            <w:tcBorders>
              <w:top w:val="nil"/>
              <w:left w:val="nil"/>
              <w:bottom w:val="single" w:color="000000" w:sz="8" w:space="0"/>
              <w:right w:val="single" w:color="000000" w:sz="8" w:space="0"/>
            </w:tcBorders>
            <w:shd w:val="clear" w:color="auto" w:fill="auto"/>
            <w:vAlign w:val="center"/>
          </w:tcPr>
          <w:p w14:paraId="78C66A5C">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折扣前服务模块价格*费率（铁塔、塔基、机房土建3%；电源、配套专业2%）</w:t>
            </w:r>
          </w:p>
        </w:tc>
        <w:tc>
          <w:tcPr>
            <w:tcW w:w="957" w:type="dxa"/>
            <w:tcBorders>
              <w:top w:val="nil"/>
              <w:left w:val="nil"/>
              <w:bottom w:val="single" w:color="000000" w:sz="8" w:space="0"/>
              <w:right w:val="single" w:color="000000" w:sz="8" w:space="0"/>
            </w:tcBorders>
            <w:shd w:val="clear" w:color="auto" w:fill="auto"/>
            <w:vAlign w:val="center"/>
          </w:tcPr>
          <w:p w14:paraId="6EEB4900">
            <w:pPr>
              <w:widowControl/>
              <w:jc w:val="left"/>
              <w:rPr>
                <w:rFonts w:hint="eastAsia" w:ascii="宋体" w:hAnsi="宋体" w:cs="宋体"/>
                <w:color w:val="000000" w:themeColor="text1"/>
                <w:kern w:val="0"/>
                <w:sz w:val="24"/>
                <w:highlight w:val="red"/>
                <w14:textFill>
                  <w14:solidFill>
                    <w14:schemeClr w14:val="tx1"/>
                  </w14:solidFill>
                </w14:textFill>
              </w:rPr>
            </w:pPr>
          </w:p>
        </w:tc>
      </w:tr>
      <w:tr w14:paraId="2B29FCD6">
        <w:tblPrEx>
          <w:tblCellMar>
            <w:top w:w="0" w:type="dxa"/>
            <w:left w:w="108" w:type="dxa"/>
            <w:bottom w:w="0" w:type="dxa"/>
            <w:right w:w="108" w:type="dxa"/>
          </w:tblCellMar>
        </w:tblPrEx>
        <w:trPr>
          <w:trHeight w:val="399"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1C279367">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7</w:t>
            </w:r>
          </w:p>
        </w:tc>
        <w:tc>
          <w:tcPr>
            <w:tcW w:w="1829" w:type="dxa"/>
            <w:tcBorders>
              <w:top w:val="nil"/>
              <w:left w:val="nil"/>
              <w:bottom w:val="single" w:color="000000" w:sz="8" w:space="0"/>
              <w:right w:val="single" w:color="000000" w:sz="8" w:space="0"/>
            </w:tcBorders>
            <w:shd w:val="clear" w:color="auto" w:fill="auto"/>
            <w:vAlign w:val="center"/>
          </w:tcPr>
          <w:p w14:paraId="354E9E80">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建设用地及综合赔补费</w:t>
            </w:r>
          </w:p>
        </w:tc>
        <w:tc>
          <w:tcPr>
            <w:tcW w:w="4819" w:type="dxa"/>
            <w:tcBorders>
              <w:top w:val="nil"/>
              <w:left w:val="nil"/>
              <w:bottom w:val="single" w:color="000000" w:sz="8" w:space="0"/>
              <w:right w:val="single" w:color="000000" w:sz="8" w:space="0"/>
            </w:tcBorders>
            <w:shd w:val="clear" w:color="auto" w:fill="auto"/>
            <w:vAlign w:val="center"/>
          </w:tcPr>
          <w:p w14:paraId="2423644D">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w:t>
            </w:r>
          </w:p>
        </w:tc>
        <w:tc>
          <w:tcPr>
            <w:tcW w:w="957" w:type="dxa"/>
            <w:tcBorders>
              <w:top w:val="nil"/>
              <w:left w:val="nil"/>
              <w:bottom w:val="single" w:color="000000" w:sz="8" w:space="0"/>
              <w:right w:val="single" w:color="000000" w:sz="8" w:space="0"/>
            </w:tcBorders>
            <w:shd w:val="clear" w:color="auto" w:fill="auto"/>
            <w:vAlign w:val="center"/>
          </w:tcPr>
          <w:p w14:paraId="7CCBA29B">
            <w:pPr>
              <w:widowControl/>
              <w:jc w:val="left"/>
              <w:rPr>
                <w:rFonts w:hint="eastAsia" w:ascii="宋体" w:hAnsi="宋体" w:cs="宋体"/>
                <w:color w:val="000000" w:themeColor="text1"/>
                <w:kern w:val="0"/>
                <w:sz w:val="24"/>
                <w14:textFill>
                  <w14:solidFill>
                    <w14:schemeClr w14:val="tx1"/>
                  </w14:solidFill>
                </w14:textFill>
              </w:rPr>
            </w:pPr>
          </w:p>
        </w:tc>
      </w:tr>
      <w:tr w14:paraId="16D16738">
        <w:tblPrEx>
          <w:tblCellMar>
            <w:top w:w="0" w:type="dxa"/>
            <w:left w:w="108" w:type="dxa"/>
            <w:bottom w:w="0" w:type="dxa"/>
            <w:right w:w="108" w:type="dxa"/>
          </w:tblCellMar>
        </w:tblPrEx>
        <w:trPr>
          <w:trHeight w:val="40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04D5603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8</w:t>
            </w:r>
          </w:p>
        </w:tc>
        <w:tc>
          <w:tcPr>
            <w:tcW w:w="1829" w:type="dxa"/>
            <w:tcBorders>
              <w:top w:val="nil"/>
              <w:left w:val="nil"/>
              <w:bottom w:val="single" w:color="000000" w:sz="8" w:space="0"/>
              <w:right w:val="single" w:color="000000" w:sz="8" w:space="0"/>
            </w:tcBorders>
            <w:shd w:val="clear" w:color="auto" w:fill="auto"/>
            <w:vAlign w:val="center"/>
          </w:tcPr>
          <w:p w14:paraId="08D88927">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工程招标代理费</w:t>
            </w:r>
          </w:p>
        </w:tc>
        <w:tc>
          <w:tcPr>
            <w:tcW w:w="4819" w:type="dxa"/>
            <w:tcBorders>
              <w:top w:val="nil"/>
              <w:left w:val="nil"/>
              <w:bottom w:val="single" w:color="000000" w:sz="8" w:space="0"/>
              <w:right w:val="single" w:color="000000" w:sz="8" w:space="0"/>
            </w:tcBorders>
            <w:shd w:val="clear" w:color="auto" w:fill="auto"/>
            <w:vAlign w:val="center"/>
          </w:tcPr>
          <w:p w14:paraId="761263F9">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据实记取，本期工程不计取</w:t>
            </w:r>
          </w:p>
        </w:tc>
        <w:tc>
          <w:tcPr>
            <w:tcW w:w="957" w:type="dxa"/>
            <w:tcBorders>
              <w:top w:val="nil"/>
              <w:left w:val="nil"/>
              <w:bottom w:val="single" w:color="000000" w:sz="8" w:space="0"/>
              <w:right w:val="single" w:color="000000" w:sz="8" w:space="0"/>
            </w:tcBorders>
            <w:shd w:val="clear" w:color="auto" w:fill="auto"/>
            <w:vAlign w:val="center"/>
          </w:tcPr>
          <w:p w14:paraId="3A923A3F">
            <w:pPr>
              <w:widowControl/>
              <w:jc w:val="left"/>
              <w:rPr>
                <w:rFonts w:hint="eastAsia" w:ascii="宋体" w:hAnsi="宋体" w:cs="宋体"/>
                <w:color w:val="000000" w:themeColor="text1"/>
                <w:kern w:val="0"/>
                <w:sz w:val="24"/>
                <w14:textFill>
                  <w14:solidFill>
                    <w14:schemeClr w14:val="tx1"/>
                  </w14:solidFill>
                </w14:textFill>
              </w:rPr>
            </w:pPr>
          </w:p>
        </w:tc>
      </w:tr>
      <w:tr w14:paraId="03E945DE">
        <w:tblPrEx>
          <w:tblCellMar>
            <w:top w:w="0" w:type="dxa"/>
            <w:left w:w="108" w:type="dxa"/>
            <w:bottom w:w="0" w:type="dxa"/>
            <w:right w:w="108" w:type="dxa"/>
          </w:tblCellMar>
        </w:tblPrEx>
        <w:trPr>
          <w:trHeight w:val="387"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7A718B2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9</w:t>
            </w:r>
          </w:p>
        </w:tc>
        <w:tc>
          <w:tcPr>
            <w:tcW w:w="1829" w:type="dxa"/>
            <w:tcBorders>
              <w:top w:val="nil"/>
              <w:left w:val="nil"/>
              <w:bottom w:val="single" w:color="000000" w:sz="8" w:space="0"/>
              <w:right w:val="single" w:color="000000" w:sz="8" w:space="0"/>
            </w:tcBorders>
            <w:shd w:val="clear" w:color="auto" w:fill="auto"/>
            <w:vAlign w:val="center"/>
          </w:tcPr>
          <w:p w14:paraId="70F3959A">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中介机构审计费</w:t>
            </w:r>
          </w:p>
        </w:tc>
        <w:tc>
          <w:tcPr>
            <w:tcW w:w="4819" w:type="dxa"/>
            <w:tcBorders>
              <w:top w:val="nil"/>
              <w:left w:val="nil"/>
              <w:bottom w:val="single" w:color="000000" w:sz="8" w:space="0"/>
              <w:right w:val="single" w:color="000000" w:sz="8" w:space="0"/>
            </w:tcBorders>
            <w:shd w:val="clear" w:color="auto" w:fill="auto"/>
            <w:vAlign w:val="center"/>
          </w:tcPr>
          <w:p w14:paraId="4BBF37B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铁塔系统线上审计，以集团为准</w:t>
            </w:r>
          </w:p>
        </w:tc>
        <w:tc>
          <w:tcPr>
            <w:tcW w:w="957" w:type="dxa"/>
            <w:tcBorders>
              <w:top w:val="nil"/>
              <w:left w:val="nil"/>
              <w:bottom w:val="single" w:color="000000" w:sz="8" w:space="0"/>
              <w:right w:val="single" w:color="000000" w:sz="8" w:space="0"/>
            </w:tcBorders>
            <w:shd w:val="clear" w:color="auto" w:fill="auto"/>
            <w:vAlign w:val="center"/>
          </w:tcPr>
          <w:p w14:paraId="01C88029">
            <w:pPr>
              <w:widowControl/>
              <w:jc w:val="left"/>
              <w:rPr>
                <w:rFonts w:hint="eastAsia" w:ascii="宋体" w:hAnsi="宋体" w:cs="宋体"/>
                <w:color w:val="000000" w:themeColor="text1"/>
                <w:kern w:val="0"/>
                <w:sz w:val="24"/>
                <w14:textFill>
                  <w14:solidFill>
                    <w14:schemeClr w14:val="tx1"/>
                  </w14:solidFill>
                </w14:textFill>
              </w:rPr>
            </w:pPr>
          </w:p>
        </w:tc>
      </w:tr>
      <w:tr w14:paraId="60136C7C">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272A062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10</w:t>
            </w:r>
          </w:p>
        </w:tc>
        <w:tc>
          <w:tcPr>
            <w:tcW w:w="1829" w:type="dxa"/>
            <w:tcBorders>
              <w:top w:val="nil"/>
              <w:left w:val="nil"/>
              <w:bottom w:val="single" w:color="000000" w:sz="8" w:space="0"/>
              <w:right w:val="single" w:color="000000" w:sz="8" w:space="0"/>
            </w:tcBorders>
            <w:shd w:val="clear" w:color="auto" w:fill="auto"/>
            <w:vAlign w:val="center"/>
          </w:tcPr>
          <w:p w14:paraId="1239FE77">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室分建设期租金</w:t>
            </w:r>
          </w:p>
        </w:tc>
        <w:tc>
          <w:tcPr>
            <w:tcW w:w="4819" w:type="dxa"/>
            <w:tcBorders>
              <w:top w:val="nil"/>
              <w:left w:val="nil"/>
              <w:bottom w:val="single" w:color="000000" w:sz="8" w:space="0"/>
              <w:right w:val="single" w:color="000000" w:sz="8" w:space="0"/>
            </w:tcBorders>
            <w:shd w:val="clear" w:color="auto" w:fill="auto"/>
            <w:vAlign w:val="center"/>
          </w:tcPr>
          <w:p w14:paraId="55E3E7B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据合同据实记取</w:t>
            </w:r>
          </w:p>
        </w:tc>
        <w:tc>
          <w:tcPr>
            <w:tcW w:w="957" w:type="dxa"/>
            <w:tcBorders>
              <w:top w:val="nil"/>
              <w:left w:val="nil"/>
              <w:bottom w:val="single" w:color="000000" w:sz="8" w:space="0"/>
              <w:right w:val="single" w:color="000000" w:sz="8" w:space="0"/>
            </w:tcBorders>
            <w:shd w:val="clear" w:color="auto" w:fill="auto"/>
            <w:vAlign w:val="center"/>
          </w:tcPr>
          <w:p w14:paraId="233C6C4C">
            <w:pPr>
              <w:widowControl/>
              <w:jc w:val="left"/>
              <w:rPr>
                <w:rFonts w:hint="eastAsia" w:ascii="宋体" w:hAnsi="宋体" w:cs="宋体"/>
                <w:color w:val="000000" w:themeColor="text1"/>
                <w:kern w:val="0"/>
                <w:sz w:val="24"/>
                <w14:textFill>
                  <w14:solidFill>
                    <w14:schemeClr w14:val="tx1"/>
                  </w14:solidFill>
                </w14:textFill>
              </w:rPr>
            </w:pPr>
          </w:p>
        </w:tc>
      </w:tr>
      <w:tr w14:paraId="6EA58186">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6435B8D2">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11</w:t>
            </w:r>
          </w:p>
        </w:tc>
        <w:tc>
          <w:tcPr>
            <w:tcW w:w="1829" w:type="dxa"/>
            <w:tcBorders>
              <w:top w:val="nil"/>
              <w:left w:val="nil"/>
              <w:bottom w:val="single" w:color="000000" w:sz="8" w:space="0"/>
              <w:right w:val="single" w:color="000000" w:sz="8" w:space="0"/>
            </w:tcBorders>
            <w:shd w:val="clear" w:color="auto" w:fill="auto"/>
            <w:vAlign w:val="center"/>
          </w:tcPr>
          <w:p w14:paraId="7C004014">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建设期利息</w:t>
            </w:r>
          </w:p>
        </w:tc>
        <w:tc>
          <w:tcPr>
            <w:tcW w:w="4819" w:type="dxa"/>
            <w:tcBorders>
              <w:top w:val="nil"/>
              <w:left w:val="nil"/>
              <w:bottom w:val="single" w:color="000000" w:sz="8" w:space="0"/>
              <w:right w:val="single" w:color="000000" w:sz="8" w:space="0"/>
            </w:tcBorders>
            <w:shd w:val="clear" w:color="auto" w:fill="auto"/>
            <w:vAlign w:val="center"/>
          </w:tcPr>
          <w:p w14:paraId="30A73FC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14:paraId="1B462FD3">
            <w:pPr>
              <w:widowControl/>
              <w:jc w:val="left"/>
              <w:rPr>
                <w:rFonts w:hint="eastAsia" w:ascii="宋体" w:hAnsi="宋体" w:cs="宋体"/>
                <w:color w:val="000000" w:themeColor="text1"/>
                <w:kern w:val="0"/>
                <w:sz w:val="24"/>
                <w14:textFill>
                  <w14:solidFill>
                    <w14:schemeClr w14:val="tx1"/>
                  </w14:solidFill>
                </w14:textFill>
              </w:rPr>
            </w:pPr>
          </w:p>
        </w:tc>
      </w:tr>
      <w:tr w14:paraId="12DE2E61">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5E66E3A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12</w:t>
            </w:r>
          </w:p>
        </w:tc>
        <w:tc>
          <w:tcPr>
            <w:tcW w:w="1829" w:type="dxa"/>
            <w:tcBorders>
              <w:top w:val="nil"/>
              <w:left w:val="nil"/>
              <w:bottom w:val="single" w:color="000000" w:sz="8" w:space="0"/>
              <w:right w:val="single" w:color="000000" w:sz="8" w:space="0"/>
            </w:tcBorders>
            <w:shd w:val="clear" w:color="auto" w:fill="auto"/>
            <w:vAlign w:val="center"/>
          </w:tcPr>
          <w:p w14:paraId="2C38156C">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土地出让金</w:t>
            </w:r>
          </w:p>
        </w:tc>
        <w:tc>
          <w:tcPr>
            <w:tcW w:w="4819" w:type="dxa"/>
            <w:tcBorders>
              <w:top w:val="nil"/>
              <w:left w:val="nil"/>
              <w:bottom w:val="single" w:color="000000" w:sz="8" w:space="0"/>
              <w:right w:val="single" w:color="000000" w:sz="8" w:space="0"/>
            </w:tcBorders>
            <w:shd w:val="clear" w:color="auto" w:fill="auto"/>
            <w:vAlign w:val="center"/>
          </w:tcPr>
          <w:p w14:paraId="7E9A99F6">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14:paraId="0C116862">
            <w:pPr>
              <w:widowControl/>
              <w:jc w:val="left"/>
              <w:rPr>
                <w:rFonts w:hint="eastAsia" w:ascii="宋体" w:hAnsi="宋体" w:cs="宋体"/>
                <w:color w:val="000000" w:themeColor="text1"/>
                <w:kern w:val="0"/>
                <w:sz w:val="24"/>
                <w14:textFill>
                  <w14:solidFill>
                    <w14:schemeClr w14:val="tx1"/>
                  </w14:solidFill>
                </w14:textFill>
              </w:rPr>
            </w:pPr>
          </w:p>
        </w:tc>
      </w:tr>
      <w:tr w14:paraId="381E704C">
        <w:tblPrEx>
          <w:tblCellMar>
            <w:top w:w="0" w:type="dxa"/>
            <w:left w:w="108" w:type="dxa"/>
            <w:bottom w:w="0" w:type="dxa"/>
            <w:right w:w="108" w:type="dxa"/>
          </w:tblCellMar>
        </w:tblPrEx>
        <w:trPr>
          <w:trHeight w:val="288" w:hRule="atLeast"/>
        </w:trPr>
        <w:tc>
          <w:tcPr>
            <w:tcW w:w="738" w:type="dxa"/>
            <w:tcBorders>
              <w:top w:val="nil"/>
              <w:left w:val="single" w:color="000000" w:sz="8" w:space="0"/>
              <w:bottom w:val="single" w:color="000000" w:sz="8" w:space="0"/>
              <w:right w:val="single" w:color="000000" w:sz="8" w:space="0"/>
            </w:tcBorders>
            <w:shd w:val="clear" w:color="auto" w:fill="auto"/>
            <w:vAlign w:val="center"/>
          </w:tcPr>
          <w:p w14:paraId="70A5EA3F">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13</w:t>
            </w:r>
          </w:p>
        </w:tc>
        <w:tc>
          <w:tcPr>
            <w:tcW w:w="1829" w:type="dxa"/>
            <w:tcBorders>
              <w:top w:val="nil"/>
              <w:left w:val="nil"/>
              <w:bottom w:val="single" w:color="000000" w:sz="8" w:space="0"/>
              <w:right w:val="single" w:color="000000" w:sz="8" w:space="0"/>
            </w:tcBorders>
            <w:shd w:val="clear" w:color="auto" w:fill="auto"/>
            <w:vAlign w:val="center"/>
          </w:tcPr>
          <w:p w14:paraId="281856C5">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金额合计</w:t>
            </w:r>
          </w:p>
        </w:tc>
        <w:tc>
          <w:tcPr>
            <w:tcW w:w="4819" w:type="dxa"/>
            <w:tcBorders>
              <w:top w:val="nil"/>
              <w:left w:val="nil"/>
              <w:bottom w:val="single" w:color="000000" w:sz="8" w:space="0"/>
              <w:right w:val="single" w:color="000000" w:sz="8" w:space="0"/>
            </w:tcBorders>
            <w:shd w:val="clear" w:color="auto" w:fill="auto"/>
            <w:vAlign w:val="center"/>
          </w:tcPr>
          <w:p w14:paraId="48C57BFD">
            <w:pPr>
              <w:widowControl/>
              <w:jc w:val="left"/>
              <w:rPr>
                <w:rFonts w:hint="eastAsia" w:ascii="宋体" w:hAnsi="宋体" w:cs="宋体"/>
                <w:color w:val="000000" w:themeColor="text1"/>
                <w:kern w:val="0"/>
                <w:sz w:val="24"/>
                <w14:textFill>
                  <w14:solidFill>
                    <w14:schemeClr w14:val="tx1"/>
                  </w14:solidFill>
                </w14:textFill>
              </w:rPr>
            </w:pPr>
            <w:r>
              <w:rPr>
                <w:rFonts w:hint="eastAsia" w:ascii="宋体" w:hAnsi="宋体" w:cs="宋体"/>
                <w:color w:val="000000" w:themeColor="text1"/>
                <w:kern w:val="0"/>
                <w:sz w:val="24"/>
                <w14:textFill>
                  <w14:solidFill>
                    <w14:schemeClr w14:val="tx1"/>
                  </w14:solidFill>
                </w14:textFill>
              </w:rPr>
              <w:t>　</w:t>
            </w:r>
          </w:p>
        </w:tc>
        <w:tc>
          <w:tcPr>
            <w:tcW w:w="957" w:type="dxa"/>
            <w:tcBorders>
              <w:top w:val="nil"/>
              <w:left w:val="nil"/>
              <w:bottom w:val="single" w:color="000000" w:sz="8" w:space="0"/>
              <w:right w:val="single" w:color="000000" w:sz="8" w:space="0"/>
            </w:tcBorders>
            <w:shd w:val="clear" w:color="auto" w:fill="auto"/>
            <w:vAlign w:val="center"/>
          </w:tcPr>
          <w:p w14:paraId="5B326A22">
            <w:pPr>
              <w:widowControl/>
              <w:jc w:val="left"/>
              <w:rPr>
                <w:rFonts w:hint="eastAsia" w:ascii="宋体" w:hAnsi="宋体" w:cs="宋体"/>
                <w:color w:val="000000" w:themeColor="text1"/>
                <w:kern w:val="0"/>
                <w:sz w:val="24"/>
                <w14:textFill>
                  <w14:solidFill>
                    <w14:schemeClr w14:val="tx1"/>
                  </w14:solidFill>
                </w14:textFill>
              </w:rPr>
            </w:pPr>
          </w:p>
        </w:tc>
      </w:tr>
    </w:tbl>
    <w:p w14:paraId="02C6D434">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表五其他费用表为统计汇总类子表，数据来源于服务模块清单子表。</w:t>
      </w:r>
    </w:p>
    <w:p w14:paraId="20C77209">
      <w:pPr>
        <w:pStyle w:val="41"/>
        <w:rPr>
          <w:rFonts w:hint="eastAsia" w:ascii="黑体" w:hAnsi="黑体" w:eastAsia="黑体" w:cs="Times New Roman"/>
          <w:color w:val="000000" w:themeColor="text1"/>
          <w:sz w:val="28"/>
          <w:szCs w:val="28"/>
          <w14:textFill>
            <w14:solidFill>
              <w14:schemeClr w14:val="tx1"/>
            </w14:solidFill>
          </w14:textFill>
        </w:rPr>
      </w:pPr>
      <w:bookmarkStart w:id="492" w:name="_Toc446944575"/>
      <w:bookmarkStart w:id="493" w:name="_Toc509872933"/>
      <w:bookmarkStart w:id="494" w:name="_Toc22324071"/>
      <w:bookmarkStart w:id="495" w:name="_Toc19087232"/>
      <w:bookmarkStart w:id="496" w:name="_Toc522135718"/>
      <w:bookmarkStart w:id="497" w:name="_Toc132902899"/>
      <w:r>
        <w:rPr>
          <w:rFonts w:hint="eastAsia" w:ascii="黑体" w:hAnsi="黑体" w:eastAsia="黑体" w:cs="Times New Roman"/>
          <w:color w:val="000000" w:themeColor="text1"/>
          <w:sz w:val="28"/>
          <w:szCs w:val="28"/>
          <w14:textFill>
            <w14:solidFill>
              <w14:schemeClr w14:val="tx1"/>
            </w14:solidFill>
          </w14:textFill>
        </w:rPr>
        <w:t>2.3甲供设备材料清单子表</w:t>
      </w:r>
      <w:bookmarkEnd w:id="492"/>
      <w:bookmarkEnd w:id="493"/>
      <w:bookmarkEnd w:id="494"/>
      <w:bookmarkEnd w:id="495"/>
      <w:bookmarkEnd w:id="496"/>
      <w:bookmarkEnd w:id="497"/>
    </w:p>
    <w:p w14:paraId="1E6E7E05">
      <w:pPr>
        <w:spacing w:line="360" w:lineRule="auto"/>
        <w:ind w:firstLine="480"/>
        <w:rPr>
          <w:color w:val="000000" w:themeColor="text1"/>
          <w:sz w:val="24"/>
          <w14:textFill>
            <w14:solidFill>
              <w14:schemeClr w14:val="tx1"/>
            </w14:solidFill>
          </w14:textFill>
        </w:rPr>
      </w:pPr>
      <w:bookmarkStart w:id="498" w:name="_Toc244325497"/>
      <w:r>
        <w:rPr>
          <w:rFonts w:hint="eastAsia"/>
          <w:color w:val="000000" w:themeColor="text1"/>
          <w:sz w:val="24"/>
          <w14:textFill>
            <w14:solidFill>
              <w14:schemeClr w14:val="tx1"/>
            </w14:solidFill>
          </w14:textFill>
        </w:rPr>
        <w:t>甲供设备材料清单子表中包含子专业有：机房（柜）土建、铁塔、外电引入、动力配套</w:t>
      </w:r>
      <w:r>
        <w:rPr>
          <w:color w:val="000000" w:themeColor="text1"/>
          <w:sz w:val="24"/>
          <w14:textFill>
            <w14:solidFill>
              <w14:schemeClr w14:val="tx1"/>
            </w14:solidFill>
          </w14:textFill>
        </w:rPr>
        <w:t>。</w:t>
      </w:r>
    </w:p>
    <w:p w14:paraId="0FE53985">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子专业包含项目在机房土建专业下的甲供物资，主要包含以下类别：室内外走线架、室外一体化开关电源柜、彩钢板房、一体化机房等、智能通风设备、空调、动力及环境监控单元、配套机架/机柜等。</w:t>
      </w:r>
    </w:p>
    <w:p w14:paraId="67DC6387">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铁塔子专业包含项目在铁塔专业下的甲供塔桅物资等。</w:t>
      </w:r>
    </w:p>
    <w:p w14:paraId="0CE32570">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外电引入子专业包含项目在外市电模块下涉及到的所有的甲供电力电缆（仅仅指机房内配套使用量，外市电引入为服务模块包工包料）。</w:t>
      </w:r>
    </w:p>
    <w:p w14:paraId="011FE2AD">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动力配套子专业包含项目在动力配套专业下的甲供物资，主要包含以下类别：组合式开关电源、蓄电池、交流配电箱等。</w:t>
      </w:r>
    </w:p>
    <w:bookmarkEnd w:id="498"/>
    <w:p w14:paraId="3F47C809">
      <w:pPr>
        <w:pStyle w:val="41"/>
        <w:rPr>
          <w:rFonts w:hint="eastAsia" w:ascii="黑体" w:hAnsi="黑体" w:eastAsia="黑体" w:cs="Times New Roman"/>
          <w:color w:val="000000" w:themeColor="text1"/>
          <w:sz w:val="28"/>
          <w:szCs w:val="28"/>
          <w14:textFill>
            <w14:solidFill>
              <w14:schemeClr w14:val="tx1"/>
            </w14:solidFill>
          </w14:textFill>
        </w:rPr>
      </w:pPr>
      <w:bookmarkStart w:id="499" w:name="_Toc132902900"/>
      <w:bookmarkStart w:id="500" w:name="_Toc522135719"/>
      <w:bookmarkStart w:id="501" w:name="_Toc19087233"/>
      <w:bookmarkStart w:id="502" w:name="_Toc446944576"/>
      <w:bookmarkStart w:id="503" w:name="_Toc22324072"/>
      <w:bookmarkStart w:id="504" w:name="_Toc509872934"/>
      <w:r>
        <w:rPr>
          <w:rFonts w:hint="eastAsia" w:ascii="黑体" w:hAnsi="黑体" w:eastAsia="黑体" w:cs="Times New Roman"/>
          <w:color w:val="000000" w:themeColor="text1"/>
          <w:sz w:val="28"/>
          <w:szCs w:val="28"/>
          <w14:textFill>
            <w14:solidFill>
              <w14:schemeClr w14:val="tx1"/>
            </w14:solidFill>
          </w14:textFill>
        </w:rPr>
        <w:t>2.4服务模块清单子表</w:t>
      </w:r>
      <w:bookmarkEnd w:id="499"/>
      <w:bookmarkEnd w:id="500"/>
      <w:bookmarkEnd w:id="501"/>
      <w:bookmarkEnd w:id="502"/>
      <w:bookmarkEnd w:id="503"/>
      <w:bookmarkEnd w:id="504"/>
    </w:p>
    <w:p w14:paraId="3FD1DC29">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服务模块清单子表中包含子专业有：塔基施工、机房（柜）土建施工、动力配套施工、设计、监理、其他。</w:t>
      </w:r>
    </w:p>
    <w:p w14:paraId="70F7DC7F">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塔基施工子专业是项目在甲供塔桅建设方式确定条件下的基础施工费，由设计方量及单价加权计算得到。</w:t>
      </w:r>
    </w:p>
    <w:p w14:paraId="6FD2D88A">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机房（柜）土建施工子专业是项目在机房（柜）土建专业产生的施工费，分为土建（砖混）机房（含装修）、地网、手孔等费用。</w:t>
      </w:r>
    </w:p>
    <w:p w14:paraId="06CA0F4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动力配套施工子专业是项目在动力配套专业产生的设备安装等费用，分为有机房站和无机房站的动力配套模块。</w:t>
      </w:r>
    </w:p>
    <w:p w14:paraId="10B82AD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其他子专业是项目在其他专业产生的费用，主要有选址费、建设用地及综合赔补费、外市电引入等费用。</w:t>
      </w:r>
    </w:p>
    <w:p w14:paraId="044F9DF3">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设计子专业是项目在设计专业产生的勘察设计费用，站点预算不记取，根据云南省公司当前的指导要求单独下单采购。</w:t>
      </w:r>
    </w:p>
    <w:p w14:paraId="7D6B16B7">
      <w:pPr>
        <w:spacing w:line="360" w:lineRule="auto"/>
        <w:ind w:firstLine="480"/>
        <w:rPr>
          <w:color w:val="000000" w:themeColor="text1"/>
          <w:sz w:val="24"/>
          <w14:textFill>
            <w14:solidFill>
              <w14:schemeClr w14:val="tx1"/>
            </w14:solidFill>
          </w14:textFill>
        </w:rPr>
      </w:pPr>
      <w:r>
        <w:rPr>
          <w:rFonts w:hint="eastAsia"/>
          <w:color w:val="000000" w:themeColor="text1"/>
          <w:sz w:val="24"/>
          <w14:textFill>
            <w14:solidFill>
              <w14:schemeClr w14:val="tx1"/>
            </w14:solidFill>
          </w14:textFill>
        </w:rPr>
        <w:t>监理子专业是项目在监理专业产生的监理费用，站点预算不记取，根据云南省公司当前的指导要求单独下单采购。</w:t>
      </w:r>
    </w:p>
    <w:p w14:paraId="10536777">
      <w:pPr>
        <w:pStyle w:val="45"/>
        <w:numPr>
          <w:ilvl w:val="0"/>
          <w:numId w:val="45"/>
        </w:numPr>
        <w:rPr>
          <w:rFonts w:cs="Times New Roman"/>
          <w:color w:val="000000" w:themeColor="text1"/>
          <w:sz w:val="28"/>
          <w:szCs w:val="28"/>
          <w14:textFill>
            <w14:solidFill>
              <w14:schemeClr w14:val="tx1"/>
            </w14:solidFill>
          </w14:textFill>
        </w:rPr>
      </w:pPr>
      <w:bookmarkStart w:id="505" w:name="_Toc509872935"/>
      <w:bookmarkStart w:id="506" w:name="_Toc522135720"/>
      <w:bookmarkStart w:id="507" w:name="_Toc132902901"/>
      <w:bookmarkStart w:id="508" w:name="_Toc19087234"/>
      <w:bookmarkStart w:id="509" w:name="_Toc22324073"/>
      <w:r>
        <w:rPr>
          <w:rFonts w:cs="Times New Roman"/>
          <w:color w:val="000000" w:themeColor="text1"/>
          <w:sz w:val="28"/>
          <w:szCs w:val="28"/>
          <w14:textFill>
            <w14:solidFill>
              <w14:schemeClr w14:val="tx1"/>
            </w14:solidFill>
          </w14:textFill>
        </w:rPr>
        <w:t>投资预算</w:t>
      </w:r>
      <w:bookmarkEnd w:id="505"/>
      <w:bookmarkEnd w:id="506"/>
      <w:bookmarkEnd w:id="507"/>
      <w:bookmarkEnd w:id="508"/>
      <w:bookmarkEnd w:id="509"/>
    </w:p>
    <w:p w14:paraId="6AB4F2CE">
      <w:pPr>
        <w:spacing w:line="360" w:lineRule="auto"/>
        <w:ind w:firstLine="480"/>
        <w:rPr>
          <w:color w:val="000000" w:themeColor="text1"/>
          <w:sz w:val="24"/>
          <w14:textFill>
            <w14:solidFill>
              <w14:schemeClr w14:val="tx1"/>
            </w14:solidFill>
          </w14:textFill>
        </w:rPr>
      </w:pPr>
      <w:r>
        <w:rPr>
          <w:color w:val="000000" w:themeColor="text1"/>
          <w:sz w:val="24"/>
          <w:highlight w:val="yellow"/>
          <w14:textFill>
            <w14:solidFill>
              <w14:schemeClr w14:val="tx1"/>
            </w14:solidFill>
          </w14:textFill>
        </w:rPr>
        <w:t>本项目含税总投资</w:t>
      </w:r>
      <w:r>
        <w:rPr>
          <w:rFonts w:hint="eastAsia" w:ascii="宋体" w:hAnsi="宋体" w:cs="宋体"/>
          <w:color w:val="000000" w:themeColor="text1"/>
          <w:sz w:val="24"/>
          <w:highlight w:val="yellow"/>
          <w14:textFill>
            <w14:solidFill>
              <w14:schemeClr w14:val="tx1"/>
            </w14:solidFill>
          </w14:textFill>
        </w:rPr>
        <w:t>523.64万</w:t>
      </w:r>
      <w:r>
        <w:rPr>
          <w:color w:val="000000" w:themeColor="text1"/>
          <w:sz w:val="24"/>
          <w:highlight w:val="yellow"/>
          <w14:textFill>
            <w14:solidFill>
              <w14:schemeClr w14:val="tx1"/>
            </w14:solidFill>
          </w14:textFill>
        </w:rPr>
        <w:t>元。</w:t>
      </w:r>
    </w:p>
    <w:p w14:paraId="3AD3B9FA">
      <w:pPr>
        <w:spacing w:line="360" w:lineRule="auto"/>
        <w:ind w:firstLine="480"/>
        <w:rPr>
          <w:color w:val="000000" w:themeColor="text1"/>
          <w:szCs w:val="21"/>
          <w14:textFill>
            <w14:solidFill>
              <w14:schemeClr w14:val="tx1"/>
            </w14:solidFill>
          </w14:textFill>
        </w:rPr>
      </w:pPr>
      <w:r>
        <w:rPr>
          <w:rFonts w:hint="eastAsia"/>
          <w:color w:val="000000" w:themeColor="text1"/>
          <w:sz w:val="24"/>
          <w14:textFill>
            <w14:solidFill>
              <w14:schemeClr w14:val="tx1"/>
            </w14:solidFill>
          </w14:textFill>
        </w:rPr>
        <w:t>甲方不要求提供相关预算表格，仅系统内进行物资和服务选取即可。</w:t>
      </w:r>
    </w:p>
    <w:p w14:paraId="6792904C">
      <w:pPr>
        <w:ind w:firstLine="480"/>
        <w:rPr>
          <w:color w:val="000000" w:themeColor="text1"/>
          <w:szCs w:val="18"/>
          <w14:textFill>
            <w14:solidFill>
              <w14:schemeClr w14:val="tx1"/>
            </w14:solidFill>
          </w14:textFill>
        </w:rPr>
      </w:pPr>
    </w:p>
    <w:p w14:paraId="7CB6A3B3">
      <w:pPr>
        <w:ind w:firstLine="480"/>
        <w:rPr>
          <w:color w:val="000000" w:themeColor="text1"/>
          <w:szCs w:val="18"/>
          <w14:textFill>
            <w14:solidFill>
              <w14:schemeClr w14:val="tx1"/>
            </w14:solidFill>
          </w14:textFill>
        </w:rPr>
      </w:pPr>
    </w:p>
    <w:p w14:paraId="05B3000B">
      <w:pPr>
        <w:rPr>
          <w:color w:val="000000" w:themeColor="text1"/>
          <w:szCs w:val="18"/>
          <w14:textFill>
            <w14:solidFill>
              <w14:schemeClr w14:val="tx1"/>
            </w14:solidFill>
          </w14:textFill>
        </w:rPr>
      </w:pPr>
    </w:p>
    <w:p w14:paraId="2142834A">
      <w:pPr>
        <w:pStyle w:val="54"/>
        <w:rPr>
          <w:rFonts w:cs="Times New Roman"/>
          <w:color w:val="000000" w:themeColor="text1"/>
          <w14:textFill>
            <w14:solidFill>
              <w14:schemeClr w14:val="tx1"/>
            </w14:solidFill>
          </w14:textFill>
        </w:rPr>
        <w:sectPr>
          <w:pgSz w:w="11907" w:h="16840"/>
          <w:pgMar w:top="1588" w:right="1701" w:bottom="1361" w:left="1701" w:header="1021" w:footer="1134" w:gutter="0"/>
          <w:cols w:space="425" w:num="1"/>
          <w:docGrid w:linePitch="380" w:charSpace="0"/>
        </w:sectPr>
      </w:pPr>
      <w:bookmarkStart w:id="510" w:name="_Toc472914762"/>
      <w:bookmarkEnd w:id="510"/>
    </w:p>
    <w:p w14:paraId="3194C2F1">
      <w:pPr>
        <w:pStyle w:val="54"/>
        <w:rPr>
          <w:rFonts w:cs="Times New Roman"/>
          <w:color w:val="000000" w:themeColor="text1"/>
          <w:sz w:val="28"/>
          <w:szCs w:val="28"/>
          <w14:textFill>
            <w14:solidFill>
              <w14:schemeClr w14:val="tx1"/>
            </w14:solidFill>
          </w14:textFill>
        </w:rPr>
      </w:pPr>
      <w:bookmarkStart w:id="511" w:name="_Toc22324074"/>
      <w:bookmarkStart w:id="512" w:name="_Toc132902902"/>
      <w:bookmarkStart w:id="513" w:name="_Toc19087235"/>
      <w:r>
        <w:rPr>
          <w:rFonts w:hint="eastAsia" w:cs="Times New Roman"/>
          <w:color w:val="000000" w:themeColor="text1"/>
          <w:sz w:val="28"/>
          <w:szCs w:val="28"/>
          <w14:textFill>
            <w14:solidFill>
              <w14:schemeClr w14:val="tx1"/>
            </w14:solidFill>
          </w14:textFill>
        </w:rPr>
        <w:t>三、</w:t>
      </w:r>
      <w:r>
        <w:rPr>
          <w:rFonts w:cs="Times New Roman"/>
          <w:color w:val="000000" w:themeColor="text1"/>
          <w:sz w:val="28"/>
          <w:szCs w:val="28"/>
          <w14:textFill>
            <w14:solidFill>
              <w14:schemeClr w14:val="tx1"/>
            </w14:solidFill>
          </w14:textFill>
        </w:rPr>
        <w:t>附表</w:t>
      </w:r>
      <w:bookmarkEnd w:id="511"/>
      <w:bookmarkEnd w:id="512"/>
      <w:bookmarkEnd w:id="513"/>
      <w:bookmarkStart w:id="514" w:name="_Toc19087240"/>
    </w:p>
    <w:p w14:paraId="33075511">
      <w:pPr>
        <w:rPr>
          <w:color w:val="000000" w:themeColor="text1"/>
          <w14:textFill>
            <w14:solidFill>
              <w14:schemeClr w14:val="tx1"/>
            </w14:solidFill>
          </w14:textFill>
        </w:rPr>
      </w:pPr>
    </w:p>
    <w:p w14:paraId="3B574BE3">
      <w:pPr>
        <w:rPr>
          <w:color w:val="000000" w:themeColor="text1"/>
          <w14:textFill>
            <w14:solidFill>
              <w14:schemeClr w14:val="tx1"/>
            </w14:solidFill>
          </w14:textFill>
        </w:rPr>
      </w:pPr>
    </w:p>
    <w:p w14:paraId="1F070DB9">
      <w:pPr>
        <w:rPr>
          <w:color w:val="000000" w:themeColor="text1"/>
          <w14:textFill>
            <w14:solidFill>
              <w14:schemeClr w14:val="tx1"/>
            </w14:solidFill>
          </w14:textFill>
        </w:rPr>
      </w:pPr>
    </w:p>
    <w:p w14:paraId="6CA625E8">
      <w:pPr>
        <w:rPr>
          <w:color w:val="000000" w:themeColor="text1"/>
          <w14:textFill>
            <w14:solidFill>
              <w14:schemeClr w14:val="tx1"/>
            </w14:solidFill>
          </w14:textFill>
        </w:rPr>
      </w:pPr>
    </w:p>
    <w:p w14:paraId="3D091BDC">
      <w:pPr>
        <w:rPr>
          <w:color w:val="000000" w:themeColor="text1"/>
          <w14:textFill>
            <w14:solidFill>
              <w14:schemeClr w14:val="tx1"/>
            </w14:solidFill>
          </w14:textFill>
        </w:rPr>
      </w:pPr>
    </w:p>
    <w:p w14:paraId="217E9406">
      <w:pPr>
        <w:rPr>
          <w:color w:val="000000" w:themeColor="text1"/>
          <w14:textFill>
            <w14:solidFill>
              <w14:schemeClr w14:val="tx1"/>
            </w14:solidFill>
          </w14:textFill>
        </w:rPr>
      </w:pPr>
    </w:p>
    <w:p w14:paraId="10018080">
      <w:pPr>
        <w:rPr>
          <w:color w:val="000000" w:themeColor="text1"/>
          <w14:textFill>
            <w14:solidFill>
              <w14:schemeClr w14:val="tx1"/>
            </w14:solidFill>
          </w14:textFill>
        </w:rPr>
      </w:pPr>
    </w:p>
    <w:p w14:paraId="24AB6B92">
      <w:pPr>
        <w:rPr>
          <w:color w:val="000000" w:themeColor="text1"/>
          <w14:textFill>
            <w14:solidFill>
              <w14:schemeClr w14:val="tx1"/>
            </w14:solidFill>
          </w14:textFill>
        </w:rPr>
      </w:pPr>
    </w:p>
    <w:p w14:paraId="5F4A74F0">
      <w:pPr>
        <w:rPr>
          <w:color w:val="000000" w:themeColor="text1"/>
          <w14:textFill>
            <w14:solidFill>
              <w14:schemeClr w14:val="tx1"/>
            </w14:solidFill>
          </w14:textFill>
        </w:rPr>
      </w:pPr>
    </w:p>
    <w:p w14:paraId="4674FE2B">
      <w:pPr>
        <w:rPr>
          <w:color w:val="000000" w:themeColor="text1"/>
          <w14:textFill>
            <w14:solidFill>
              <w14:schemeClr w14:val="tx1"/>
            </w14:solidFill>
          </w14:textFill>
        </w:rPr>
      </w:pPr>
    </w:p>
    <w:p w14:paraId="11478F71">
      <w:pPr>
        <w:rPr>
          <w:color w:val="000000" w:themeColor="text1"/>
          <w14:textFill>
            <w14:solidFill>
              <w14:schemeClr w14:val="tx1"/>
            </w14:solidFill>
          </w14:textFill>
        </w:rPr>
      </w:pPr>
    </w:p>
    <w:p w14:paraId="01569109">
      <w:pPr>
        <w:rPr>
          <w:color w:val="000000" w:themeColor="text1"/>
          <w14:textFill>
            <w14:solidFill>
              <w14:schemeClr w14:val="tx1"/>
            </w14:solidFill>
          </w14:textFill>
        </w:rPr>
      </w:pPr>
    </w:p>
    <w:p w14:paraId="7106B579">
      <w:pPr>
        <w:rPr>
          <w:color w:val="000000" w:themeColor="text1"/>
          <w14:textFill>
            <w14:solidFill>
              <w14:schemeClr w14:val="tx1"/>
            </w14:solidFill>
          </w14:textFill>
        </w:rPr>
      </w:pPr>
    </w:p>
    <w:p w14:paraId="296CCD6F">
      <w:pPr>
        <w:rPr>
          <w:color w:val="000000" w:themeColor="text1"/>
          <w14:textFill>
            <w14:solidFill>
              <w14:schemeClr w14:val="tx1"/>
            </w14:solidFill>
          </w14:textFill>
        </w:rPr>
      </w:pPr>
    </w:p>
    <w:p w14:paraId="4E11DEAF">
      <w:pPr>
        <w:rPr>
          <w:color w:val="000000" w:themeColor="text1"/>
          <w14:textFill>
            <w14:solidFill>
              <w14:schemeClr w14:val="tx1"/>
            </w14:solidFill>
          </w14:textFill>
        </w:rPr>
      </w:pPr>
    </w:p>
    <w:p w14:paraId="1E98C4BB">
      <w:pPr>
        <w:rPr>
          <w:color w:val="000000" w:themeColor="text1"/>
          <w14:textFill>
            <w14:solidFill>
              <w14:schemeClr w14:val="tx1"/>
            </w14:solidFill>
          </w14:textFill>
        </w:rPr>
      </w:pPr>
    </w:p>
    <w:p w14:paraId="65BFF5A6">
      <w:pPr>
        <w:rPr>
          <w:color w:val="000000" w:themeColor="text1"/>
          <w14:textFill>
            <w14:solidFill>
              <w14:schemeClr w14:val="tx1"/>
            </w14:solidFill>
          </w14:textFill>
        </w:rPr>
      </w:pPr>
    </w:p>
    <w:p w14:paraId="103FD898">
      <w:pPr>
        <w:rPr>
          <w:color w:val="000000" w:themeColor="text1"/>
          <w14:textFill>
            <w14:solidFill>
              <w14:schemeClr w14:val="tx1"/>
            </w14:solidFill>
          </w14:textFill>
        </w:rPr>
      </w:pPr>
    </w:p>
    <w:p w14:paraId="7C64F949">
      <w:pPr>
        <w:rPr>
          <w:color w:val="000000" w:themeColor="text1"/>
          <w14:textFill>
            <w14:solidFill>
              <w14:schemeClr w14:val="tx1"/>
            </w14:solidFill>
          </w14:textFill>
        </w:rPr>
      </w:pPr>
    </w:p>
    <w:p w14:paraId="48BC5CF4">
      <w:pPr>
        <w:rPr>
          <w:color w:val="000000" w:themeColor="text1"/>
          <w14:textFill>
            <w14:solidFill>
              <w14:schemeClr w14:val="tx1"/>
            </w14:solidFill>
          </w14:textFill>
        </w:rPr>
      </w:pPr>
    </w:p>
    <w:p w14:paraId="7D46EB28">
      <w:pPr>
        <w:rPr>
          <w:color w:val="000000" w:themeColor="text1"/>
          <w14:textFill>
            <w14:solidFill>
              <w14:schemeClr w14:val="tx1"/>
            </w14:solidFill>
          </w14:textFill>
        </w:rPr>
      </w:pPr>
    </w:p>
    <w:p w14:paraId="24B85AAA">
      <w:pPr>
        <w:rPr>
          <w:color w:val="000000" w:themeColor="text1"/>
          <w14:textFill>
            <w14:solidFill>
              <w14:schemeClr w14:val="tx1"/>
            </w14:solidFill>
          </w14:textFill>
        </w:rPr>
      </w:pPr>
    </w:p>
    <w:p w14:paraId="4F7AEC6C">
      <w:pPr>
        <w:rPr>
          <w:color w:val="000000" w:themeColor="text1"/>
          <w14:textFill>
            <w14:solidFill>
              <w14:schemeClr w14:val="tx1"/>
            </w14:solidFill>
          </w14:textFill>
        </w:rPr>
      </w:pPr>
    </w:p>
    <w:p w14:paraId="39CCBBB5">
      <w:pPr>
        <w:rPr>
          <w:color w:val="000000" w:themeColor="text1"/>
          <w14:textFill>
            <w14:solidFill>
              <w14:schemeClr w14:val="tx1"/>
            </w14:solidFill>
          </w14:textFill>
        </w:rPr>
      </w:pPr>
    </w:p>
    <w:p w14:paraId="7E49EBBD">
      <w:pPr>
        <w:rPr>
          <w:color w:val="000000" w:themeColor="text1"/>
          <w14:textFill>
            <w14:solidFill>
              <w14:schemeClr w14:val="tx1"/>
            </w14:solidFill>
          </w14:textFill>
        </w:rPr>
      </w:pPr>
    </w:p>
    <w:p w14:paraId="74E59B75">
      <w:pPr>
        <w:rPr>
          <w:color w:val="000000" w:themeColor="text1"/>
          <w14:textFill>
            <w14:solidFill>
              <w14:schemeClr w14:val="tx1"/>
            </w14:solidFill>
          </w14:textFill>
        </w:rPr>
      </w:pPr>
    </w:p>
    <w:p w14:paraId="2789C3A1">
      <w:pPr>
        <w:rPr>
          <w:color w:val="000000" w:themeColor="text1"/>
          <w14:textFill>
            <w14:solidFill>
              <w14:schemeClr w14:val="tx1"/>
            </w14:solidFill>
          </w14:textFill>
        </w:rPr>
      </w:pPr>
    </w:p>
    <w:p w14:paraId="6B22AF28">
      <w:pPr>
        <w:rPr>
          <w:color w:val="000000" w:themeColor="text1"/>
          <w14:textFill>
            <w14:solidFill>
              <w14:schemeClr w14:val="tx1"/>
            </w14:solidFill>
          </w14:textFill>
        </w:rPr>
      </w:pPr>
    </w:p>
    <w:p w14:paraId="2CA69029">
      <w:pPr>
        <w:rPr>
          <w:color w:val="000000" w:themeColor="text1"/>
          <w14:textFill>
            <w14:solidFill>
              <w14:schemeClr w14:val="tx1"/>
            </w14:solidFill>
          </w14:textFill>
        </w:rPr>
      </w:pPr>
    </w:p>
    <w:p w14:paraId="0CF54DD6">
      <w:pPr>
        <w:rPr>
          <w:color w:val="000000" w:themeColor="text1"/>
          <w14:textFill>
            <w14:solidFill>
              <w14:schemeClr w14:val="tx1"/>
            </w14:solidFill>
          </w14:textFill>
        </w:rPr>
      </w:pPr>
    </w:p>
    <w:p w14:paraId="39B7D585">
      <w:pPr>
        <w:rPr>
          <w:color w:val="000000" w:themeColor="text1"/>
          <w14:textFill>
            <w14:solidFill>
              <w14:schemeClr w14:val="tx1"/>
            </w14:solidFill>
          </w14:textFill>
        </w:rPr>
      </w:pPr>
    </w:p>
    <w:p w14:paraId="5C8733CB">
      <w:pPr>
        <w:rPr>
          <w:color w:val="000000" w:themeColor="text1"/>
          <w14:textFill>
            <w14:solidFill>
              <w14:schemeClr w14:val="tx1"/>
            </w14:solidFill>
          </w14:textFill>
        </w:rPr>
      </w:pPr>
    </w:p>
    <w:p w14:paraId="49DAE2D7">
      <w:pPr>
        <w:rPr>
          <w:color w:val="000000" w:themeColor="text1"/>
          <w14:textFill>
            <w14:solidFill>
              <w14:schemeClr w14:val="tx1"/>
            </w14:solidFill>
          </w14:textFill>
        </w:rPr>
      </w:pPr>
    </w:p>
    <w:p w14:paraId="6D3D21C0">
      <w:pPr>
        <w:rPr>
          <w:color w:val="000000" w:themeColor="text1"/>
          <w14:textFill>
            <w14:solidFill>
              <w14:schemeClr w14:val="tx1"/>
            </w14:solidFill>
          </w14:textFill>
        </w:rPr>
      </w:pPr>
    </w:p>
    <w:p w14:paraId="5D44C62C">
      <w:pPr>
        <w:rPr>
          <w:color w:val="000000" w:themeColor="text1"/>
          <w14:textFill>
            <w14:solidFill>
              <w14:schemeClr w14:val="tx1"/>
            </w14:solidFill>
          </w14:textFill>
        </w:rPr>
      </w:pPr>
    </w:p>
    <w:p w14:paraId="327376E7">
      <w:pPr>
        <w:rPr>
          <w:color w:val="000000" w:themeColor="text1"/>
          <w14:textFill>
            <w14:solidFill>
              <w14:schemeClr w14:val="tx1"/>
            </w14:solidFill>
          </w14:textFill>
        </w:rPr>
      </w:pPr>
    </w:p>
    <w:p w14:paraId="12A54B7F">
      <w:pPr>
        <w:rPr>
          <w:color w:val="000000" w:themeColor="text1"/>
          <w14:textFill>
            <w14:solidFill>
              <w14:schemeClr w14:val="tx1"/>
            </w14:solidFill>
          </w14:textFill>
        </w:rPr>
      </w:pPr>
    </w:p>
    <w:p w14:paraId="6A4DF6DD">
      <w:pPr>
        <w:rPr>
          <w:color w:val="000000" w:themeColor="text1"/>
          <w14:textFill>
            <w14:solidFill>
              <w14:schemeClr w14:val="tx1"/>
            </w14:solidFill>
          </w14:textFill>
        </w:rPr>
      </w:pPr>
    </w:p>
    <w:p w14:paraId="4C04712C">
      <w:pPr>
        <w:rPr>
          <w:color w:val="000000" w:themeColor="text1"/>
          <w14:textFill>
            <w14:solidFill>
              <w14:schemeClr w14:val="tx1"/>
            </w14:solidFill>
          </w14:textFill>
        </w:rPr>
      </w:pPr>
    </w:p>
    <w:p w14:paraId="61768C9C">
      <w:pPr>
        <w:rPr>
          <w:color w:val="000000" w:themeColor="text1"/>
          <w14:textFill>
            <w14:solidFill>
              <w14:schemeClr w14:val="tx1"/>
            </w14:solidFill>
          </w14:textFill>
        </w:rPr>
      </w:pPr>
    </w:p>
    <w:p w14:paraId="1BFD1E88">
      <w:pPr>
        <w:rPr>
          <w:color w:val="000000" w:themeColor="text1"/>
          <w14:textFill>
            <w14:solidFill>
              <w14:schemeClr w14:val="tx1"/>
            </w14:solidFill>
          </w14:textFill>
        </w:rPr>
      </w:pPr>
    </w:p>
    <w:p w14:paraId="5889036C">
      <w:pPr>
        <w:rPr>
          <w:color w:val="000000" w:themeColor="text1"/>
          <w14:textFill>
            <w14:solidFill>
              <w14:schemeClr w14:val="tx1"/>
            </w14:solidFill>
          </w14:textFill>
        </w:rPr>
      </w:pPr>
    </w:p>
    <w:p w14:paraId="1B553308">
      <w:pPr>
        <w:rPr>
          <w:color w:val="000000" w:themeColor="text1"/>
          <w14:textFill>
            <w14:solidFill>
              <w14:schemeClr w14:val="tx1"/>
            </w14:solidFill>
          </w14:textFill>
        </w:rPr>
      </w:pPr>
    </w:p>
    <w:p w14:paraId="2E9389DB">
      <w:pPr>
        <w:rPr>
          <w:color w:val="000000" w:themeColor="text1"/>
          <w14:textFill>
            <w14:solidFill>
              <w14:schemeClr w14:val="tx1"/>
            </w14:solidFill>
          </w14:textFill>
        </w:rPr>
      </w:pPr>
    </w:p>
    <w:p w14:paraId="6D1C6921">
      <w:pPr>
        <w:rPr>
          <w:color w:val="000000" w:themeColor="text1"/>
          <w14:textFill>
            <w14:solidFill>
              <w14:schemeClr w14:val="tx1"/>
            </w14:solidFill>
          </w14:textFill>
        </w:rPr>
      </w:pPr>
    </w:p>
    <w:p w14:paraId="75F9F745">
      <w:pPr>
        <w:rPr>
          <w:color w:val="000000" w:themeColor="text1"/>
          <w14:textFill>
            <w14:solidFill>
              <w14:schemeClr w14:val="tx1"/>
            </w14:solidFill>
          </w14:textFill>
        </w:rPr>
      </w:pPr>
    </w:p>
    <w:p w14:paraId="118FFBA5">
      <w:pPr>
        <w:rPr>
          <w:color w:val="000000" w:themeColor="text1"/>
          <w14:textFill>
            <w14:solidFill>
              <w14:schemeClr w14:val="tx1"/>
            </w14:solidFill>
          </w14:textFill>
        </w:rPr>
      </w:pPr>
    </w:p>
    <w:p w14:paraId="5BB599DE">
      <w:pPr>
        <w:rPr>
          <w:color w:val="000000" w:themeColor="text1"/>
          <w14:textFill>
            <w14:solidFill>
              <w14:schemeClr w14:val="tx1"/>
            </w14:solidFill>
          </w14:textFill>
        </w:rPr>
      </w:pPr>
    </w:p>
    <w:p w14:paraId="60DCCAF0">
      <w:pPr>
        <w:rPr>
          <w:color w:val="000000" w:themeColor="text1"/>
          <w14:textFill>
            <w14:solidFill>
              <w14:schemeClr w14:val="tx1"/>
            </w14:solidFill>
          </w14:textFill>
        </w:rPr>
      </w:pPr>
    </w:p>
    <w:p w14:paraId="11624B9B">
      <w:pPr>
        <w:rPr>
          <w:color w:val="000000" w:themeColor="text1"/>
          <w14:textFill>
            <w14:solidFill>
              <w14:schemeClr w14:val="tx1"/>
            </w14:solidFill>
          </w14:textFill>
        </w:rPr>
      </w:pPr>
    </w:p>
    <w:p w14:paraId="02FB3ACD">
      <w:pPr>
        <w:rPr>
          <w:color w:val="000000" w:themeColor="text1"/>
          <w14:textFill>
            <w14:solidFill>
              <w14:schemeClr w14:val="tx1"/>
            </w14:solidFill>
          </w14:textFill>
        </w:rPr>
      </w:pPr>
    </w:p>
    <w:p w14:paraId="7B0B7481">
      <w:pPr>
        <w:rPr>
          <w:color w:val="000000" w:themeColor="text1"/>
          <w14:textFill>
            <w14:solidFill>
              <w14:schemeClr w14:val="tx1"/>
            </w14:solidFill>
          </w14:textFill>
        </w:rPr>
      </w:pPr>
    </w:p>
    <w:p w14:paraId="01817540">
      <w:pPr>
        <w:rPr>
          <w:color w:val="000000" w:themeColor="text1"/>
          <w14:textFill>
            <w14:solidFill>
              <w14:schemeClr w14:val="tx1"/>
            </w14:solidFill>
          </w14:textFill>
        </w:rPr>
      </w:pPr>
    </w:p>
    <w:p w14:paraId="5E7BD085">
      <w:pPr>
        <w:rPr>
          <w:color w:val="000000" w:themeColor="text1"/>
          <w14:textFill>
            <w14:solidFill>
              <w14:schemeClr w14:val="tx1"/>
            </w14:solidFill>
          </w14:textFill>
        </w:rPr>
      </w:pPr>
    </w:p>
    <w:p w14:paraId="4EFB67F7">
      <w:pPr>
        <w:pStyle w:val="54"/>
        <w:rPr>
          <w:rFonts w:cs="Times New Roman"/>
          <w:bCs/>
          <w:color w:val="000000" w:themeColor="text1"/>
          <w:sz w:val="28"/>
          <w:szCs w:val="28"/>
          <w14:textFill>
            <w14:solidFill>
              <w14:schemeClr w14:val="tx1"/>
            </w14:solidFill>
          </w14:textFill>
        </w:rPr>
      </w:pPr>
      <w:bookmarkStart w:id="515" w:name="_Toc22324075"/>
      <w:bookmarkStart w:id="516" w:name="_Toc132902903"/>
      <w:r>
        <w:rPr>
          <w:rFonts w:hint="eastAsia" w:cs="Times New Roman"/>
          <w:bCs/>
          <w:color w:val="000000" w:themeColor="text1"/>
          <w:sz w:val="28"/>
          <w:szCs w:val="28"/>
          <w14:textFill>
            <w14:solidFill>
              <w14:schemeClr w14:val="tx1"/>
            </w14:solidFill>
          </w14:textFill>
        </w:rPr>
        <w:t>四</w:t>
      </w:r>
      <w:r>
        <w:rPr>
          <w:rFonts w:cs="Times New Roman"/>
          <w:bCs/>
          <w:color w:val="000000" w:themeColor="text1"/>
          <w:sz w:val="28"/>
          <w:szCs w:val="28"/>
          <w14:textFill>
            <w14:solidFill>
              <w14:schemeClr w14:val="tx1"/>
            </w14:solidFill>
          </w14:textFill>
        </w:rPr>
        <w:t>、图纸</w:t>
      </w:r>
      <w:bookmarkEnd w:id="514"/>
      <w:bookmarkEnd w:id="515"/>
      <w:bookmarkEnd w:id="516"/>
    </w:p>
    <w:sectPr>
      <w:pgSz w:w="11907" w:h="16840"/>
      <w:pgMar w:top="1588" w:right="1701" w:bottom="1361" w:left="1701" w:header="1021" w:footer="1134" w:gutter="0"/>
      <w:cols w:space="425" w:num="1"/>
      <w:docGrid w:linePitch="38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等线">
    <w:panose1 w:val="02010600030101010101"/>
    <w:charset w:val="86"/>
    <w:family w:val="auto"/>
    <w:pitch w:val="default"/>
    <w:sig w:usb0="A00002BF" w:usb1="38CF7CFA" w:usb2="00000016" w:usb3="00000000" w:csb0="0004000F" w:csb1="00000000"/>
  </w:font>
  <w:font w:name="方正大黑简体">
    <w:altName w:val="黑体"/>
    <w:panose1 w:val="00000000000000000000"/>
    <w:charset w:val="86"/>
    <w:family w:val="auto"/>
    <w:pitch w:val="default"/>
    <w:sig w:usb0="00000000" w:usb1="00000000" w:usb2="00000010" w:usb3="00000000" w:csb0="00040000" w:csb1="00000000"/>
  </w:font>
  <w:font w:name="方正粗宋简体">
    <w:altName w:val="宋体"/>
    <w:panose1 w:val="00000000000000000000"/>
    <w:charset w:val="86"/>
    <w:family w:val="script"/>
    <w:pitch w:val="default"/>
    <w:sig w:usb0="00000000" w:usb1="00000000" w:usb2="00000010" w:usb3="00000000" w:csb0="00040000" w:csb1="00000000"/>
  </w:font>
  <w:font w:name="方正中等线简体">
    <w:altName w:val="宋体"/>
    <w:panose1 w:val="00000000000000000000"/>
    <w:charset w:val="86"/>
    <w:family w:val="auto"/>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67993282"/>
    </w:sdtPr>
    <w:sdtContent>
      <w:p w14:paraId="7E726609">
        <w:pPr>
          <w:pStyle w:val="21"/>
          <w:pBdr>
            <w:top w:val="single" w:color="auto" w:sz="4" w:space="1"/>
          </w:pBdr>
        </w:pPr>
        <w:r>
          <mc:AlternateContent>
            <mc:Choice Requires="wps">
              <w:drawing>
                <wp:anchor distT="0" distB="0" distL="114300" distR="114300" simplePos="0" relativeHeight="251662336" behindDoc="0" locked="0" layoutInCell="1" allowOverlap="1">
                  <wp:simplePos x="0" y="0"/>
                  <wp:positionH relativeFrom="margin">
                    <wp:align>right</wp:align>
                  </wp:positionH>
                  <wp:positionV relativeFrom="paragraph">
                    <wp:posOffset>0</wp:posOffset>
                  </wp:positionV>
                  <wp:extent cx="419735" cy="153035"/>
                  <wp:effectExtent l="0" t="0" r="0" b="0"/>
                  <wp:wrapNone/>
                  <wp:docPr id="1926152233" name="文本框 2"/>
                  <wp:cNvGraphicFramePr/>
                  <a:graphic xmlns:a="http://schemas.openxmlformats.org/drawingml/2006/main">
                    <a:graphicData uri="http://schemas.microsoft.com/office/word/2010/wordprocessingShape">
                      <wps:wsp>
                        <wps:cNvSpPr txBox="1"/>
                        <wps:spPr>
                          <a:xfrm>
                            <a:off x="0" y="0"/>
                            <a:ext cx="419735" cy="153035"/>
                          </a:xfrm>
                          <a:prstGeom prst="rect">
                            <a:avLst/>
                          </a:prstGeom>
                          <a:noFill/>
                          <a:ln w="9525">
                            <a:noFill/>
                          </a:ln>
                        </wps:spPr>
                        <wps:txbx>
                          <w:txbxContent>
                            <w:p w14:paraId="365E9A80">
                              <w:pPr>
                                <w:ind w:firstLine="480"/>
                              </w:pPr>
                            </w:p>
                          </w:txbxContent>
                        </wps:txbx>
                        <wps:bodyPr wrap="none" lIns="0" tIns="0" rIns="0" bIns="0">
                          <a:spAutoFit/>
                        </wps:bodyPr>
                      </wps:wsp>
                    </a:graphicData>
                  </a:graphic>
                </wp:anchor>
              </w:drawing>
            </mc:Choice>
            <mc:Fallback>
              <w:pict>
                <v:shape id="文本框 2" o:spid="_x0000_s1026" o:spt="202" type="#_x0000_t202" style="position:absolute;left:0pt;margin-top:0pt;height:12.05pt;width:33.05pt;mso-position-horizontal:right;mso-position-horizontal-relative:margin;mso-wrap-style:none;z-index:251662336;mso-width-relative:page;mso-height-relative:page;" filled="f" stroked="f" coordsize="21600,21600" o:gfxdata="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Euo6YNEAAAADAQAADwAAAAAAAAABACAAAAAiAAAA&#10;ZHJzL2Rvd25yZXYueG1sUEsBAhQAFAAAAAgAh07iQH8B9HXVAQAAnQMAAA4AAAAAAAAAAQAgAAAA&#10;IAEAAGRycy9lMm9Eb2MueG1sUEsFBgAAAAAGAAYAWQEAAGcFAAAAAA==&#10;">
                  <v:fill on="f" focussize="0,0"/>
                  <v:stroke on="f"/>
                  <v:imagedata o:title=""/>
                  <o:lock v:ext="edit" aspectratio="f"/>
                  <v:textbox inset="0mm,0mm,0mm,0mm" style="mso-fit-shape-to-text:t;">
                    <w:txbxContent>
                      <w:p w14:paraId="365E9A80">
                        <w:pPr>
                          <w:ind w:firstLine="480"/>
                        </w:pPr>
                      </w:p>
                    </w:txbxContent>
                  </v:textbox>
                </v:shape>
              </w:pict>
            </mc:Fallback>
          </mc:AlternateContent>
        </w:r>
        <w:r>
          <w:rPr>
            <w:rFonts w:hAnsi="宋体"/>
            <w:sz w:val="21"/>
            <w:szCs w:val="21"/>
          </w:rPr>
          <w:t>中通服咨询设计研究院有限公司</w:t>
        </w:r>
      </w:p>
    </w:sdtContent>
  </w:sdt>
  <w:p w14:paraId="05C15438">
    <w:pPr>
      <w:pStyle w:val="21"/>
      <w:pBdr>
        <w:top w:val="single" w:color="auto" w:sz="4" w:space="1"/>
      </w:pBdr>
      <w:rPr>
        <w:sz w:val="21"/>
        <w:szCs w:val="21"/>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141DDF">
    <w:pPr>
      <w:pStyle w:val="21"/>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69BE223">
    <w:pPr>
      <w:pStyle w:val="21"/>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95770255"/>
    </w:sdtPr>
    <w:sdtContent>
      <w:p w14:paraId="7CE37B11">
        <w:pPr>
          <w:pStyle w:val="21"/>
          <w:pBdr>
            <w:top w:val="single" w:color="auto" w:sz="4" w:space="1"/>
          </w:pBdr>
          <w:rPr>
            <w:sz w:val="21"/>
            <w:szCs w:val="21"/>
          </w:rPr>
        </w:pPr>
        <w:r>
          <mc:AlternateContent>
            <mc:Choice Requires="wps">
              <w:drawing>
                <wp:anchor distT="0" distB="0" distL="114300" distR="114300" simplePos="0" relativeHeight="251661312" behindDoc="0" locked="0" layoutInCell="1" allowOverlap="1">
                  <wp:simplePos x="0" y="0"/>
                  <wp:positionH relativeFrom="margin">
                    <wp:posOffset>4895215</wp:posOffset>
                  </wp:positionH>
                  <wp:positionV relativeFrom="paragraph">
                    <wp:posOffset>-2540</wp:posOffset>
                  </wp:positionV>
                  <wp:extent cx="508000" cy="153035"/>
                  <wp:effectExtent l="0" t="0" r="0" b="0"/>
                  <wp:wrapNone/>
                  <wp:docPr id="1252131514" name="文本框 1"/>
                  <wp:cNvGraphicFramePr/>
                  <a:graphic xmlns:a="http://schemas.openxmlformats.org/drawingml/2006/main">
                    <a:graphicData uri="http://schemas.microsoft.com/office/word/2010/wordprocessingShape">
                      <wps:wsp>
                        <wps:cNvSpPr txBox="1"/>
                        <wps:spPr>
                          <a:xfrm>
                            <a:off x="0" y="0"/>
                            <a:ext cx="508000" cy="153035"/>
                          </a:xfrm>
                          <a:prstGeom prst="rect">
                            <a:avLst/>
                          </a:prstGeom>
                          <a:noFill/>
                          <a:ln w="9525">
                            <a:noFill/>
                          </a:ln>
                        </wps:spPr>
                        <wps:txbx>
                          <w:txbxContent>
                            <w:p w14:paraId="24D18E2F">
                              <w:pPr>
                                <w:ind w:firstLine="480"/>
                              </w:pPr>
                              <w:r>
                                <w:fldChar w:fldCharType="begin"/>
                              </w:r>
                              <w:r>
                                <w:instrText xml:space="preserve">PAGE   \* MERGEFORMAT</w:instrText>
                              </w:r>
                              <w:r>
                                <w:fldChar w:fldCharType="separate"/>
                              </w:r>
                              <w:r>
                                <w:rPr>
                                  <w:lang w:val="zh-CN"/>
                                </w:rPr>
                                <w:t>72</w:t>
                              </w:r>
                              <w:r>
                                <w:fldChar w:fldCharType="end"/>
                              </w:r>
                            </w:p>
                          </w:txbxContent>
                        </wps:txbx>
                        <wps:bodyPr wrap="square" lIns="0" tIns="0" rIns="0" bIns="0">
                          <a:spAutoFit/>
                        </wps:bodyPr>
                      </wps:wsp>
                    </a:graphicData>
                  </a:graphic>
                </wp:anchor>
              </w:drawing>
            </mc:Choice>
            <mc:Fallback>
              <w:pict>
                <v:shape id="文本框 1" o:spid="_x0000_s1026" o:spt="202" type="#_x0000_t202" style="position:absolute;left:0pt;margin-left:385.45pt;margin-top:-0.2pt;height:12.05pt;width:40pt;mso-position-horizontal-relative:margin;z-index:251661312;mso-width-relative:page;mso-height-relative:page;" filled="f" stroked="f" coordsize="21600,21600" o:gfxdata="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qd9jIdUAAAAIAQAADwAAAAAAAAABACAA&#10;AAAiAAAAZHJzL2Rvd25yZXYueG1sUEsBAhQAFAAAAAgAh07iQPwqBWvXAQAAnwMAAA4AAAAAAAAA&#10;AQAgAAAAJAEAAGRycy9lMm9Eb2MueG1sUEsFBgAAAAAGAAYAWQEAAG0FAAAAAA==&#10;">
                  <v:fill on="f" focussize="0,0"/>
                  <v:stroke on="f"/>
                  <v:imagedata o:title=""/>
                  <o:lock v:ext="edit" aspectratio="f"/>
                  <v:textbox inset="0mm,0mm,0mm,0mm" style="mso-fit-shape-to-text:t;">
                    <w:txbxContent>
                      <w:p w14:paraId="24D18E2F">
                        <w:pPr>
                          <w:ind w:firstLine="480"/>
                        </w:pPr>
                        <w:r>
                          <w:fldChar w:fldCharType="begin"/>
                        </w:r>
                        <w:r>
                          <w:instrText xml:space="preserve">PAGE   \* MERGEFORMAT</w:instrText>
                        </w:r>
                        <w:r>
                          <w:fldChar w:fldCharType="separate"/>
                        </w:r>
                        <w:r>
                          <w:rPr>
                            <w:lang w:val="zh-CN"/>
                          </w:rPr>
                          <w:t>72</w:t>
                        </w:r>
                        <w:r>
                          <w:fldChar w:fldCharType="end"/>
                        </w:r>
                      </w:p>
                    </w:txbxContent>
                  </v:textbox>
                </v:shape>
              </w:pict>
            </mc:Fallback>
          </mc:AlternateContent>
        </w:r>
        <w:r>
          <w:rPr>
            <w:rFonts w:hAnsi="宋体"/>
            <w:sz w:val="21"/>
            <w:szCs w:val="21"/>
          </w:rPr>
          <w:t>中通服咨询设计研究院有限公司</w:t>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294578">
    <w:pPr>
      <w:pStyle w:val="22"/>
      <w:ind w:firstLine="360"/>
      <w:jc w:val="right"/>
      <w:rPr>
        <w:sz w:val="21"/>
        <w:szCs w:val="21"/>
      </w:rPr>
    </w:pPr>
    <w:r>
      <w:rPr>
        <w:rFonts w:hint="eastAsia"/>
        <w:sz w:val="21"/>
        <w:szCs w:val="21"/>
        <w:highlight w:val="yellow"/>
      </w:rPr>
      <w:t>XX铁塔2024年X季度</w:t>
    </w:r>
    <w:r>
      <w:rPr>
        <w:rFonts w:hint="eastAsia"/>
        <w:sz w:val="21"/>
        <w:szCs w:val="21"/>
      </w:rPr>
      <w:t>一阶段设计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1E12D98">
    <w:pPr>
      <w:pStyle w:val="22"/>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FAF91B7">
    <w:pPr>
      <w:pStyle w:val="22"/>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646679"/>
    <w:multiLevelType w:val="multilevel"/>
    <w:tmpl w:val="02646679"/>
    <w:lvl w:ilvl="0" w:tentative="0">
      <w:start w:val="1"/>
      <w:numFmt w:val="decimal"/>
      <w:lvlText w:val="（%1）"/>
      <w:lvlJc w:val="left"/>
      <w:pPr>
        <w:ind w:left="-1690" w:hanging="720"/>
      </w:pPr>
      <w:rPr>
        <w:rFonts w:hint="default"/>
      </w:rPr>
    </w:lvl>
    <w:lvl w:ilvl="1" w:tentative="0">
      <w:start w:val="1"/>
      <w:numFmt w:val="lowerLetter"/>
      <w:lvlText w:val="%2)"/>
      <w:lvlJc w:val="left"/>
      <w:pPr>
        <w:ind w:left="-1570" w:hanging="420"/>
      </w:pPr>
    </w:lvl>
    <w:lvl w:ilvl="2" w:tentative="0">
      <w:start w:val="1"/>
      <w:numFmt w:val="lowerRoman"/>
      <w:lvlText w:val="%3."/>
      <w:lvlJc w:val="right"/>
      <w:pPr>
        <w:ind w:left="-1150" w:hanging="420"/>
      </w:pPr>
    </w:lvl>
    <w:lvl w:ilvl="3" w:tentative="0">
      <w:start w:val="1"/>
      <w:numFmt w:val="decimal"/>
      <w:lvlText w:val="%4."/>
      <w:lvlJc w:val="left"/>
      <w:pPr>
        <w:ind w:left="-730" w:hanging="420"/>
      </w:pPr>
    </w:lvl>
    <w:lvl w:ilvl="4" w:tentative="0">
      <w:start w:val="1"/>
      <w:numFmt w:val="lowerLetter"/>
      <w:lvlText w:val="%5)"/>
      <w:lvlJc w:val="left"/>
      <w:pPr>
        <w:ind w:left="-310" w:hanging="420"/>
      </w:pPr>
    </w:lvl>
    <w:lvl w:ilvl="5" w:tentative="0">
      <w:start w:val="1"/>
      <w:numFmt w:val="lowerRoman"/>
      <w:lvlText w:val="%6."/>
      <w:lvlJc w:val="right"/>
      <w:pPr>
        <w:ind w:left="110" w:hanging="420"/>
      </w:pPr>
    </w:lvl>
    <w:lvl w:ilvl="6" w:tentative="0">
      <w:start w:val="1"/>
      <w:numFmt w:val="decimal"/>
      <w:lvlText w:val="%7."/>
      <w:lvlJc w:val="left"/>
      <w:pPr>
        <w:ind w:left="530" w:hanging="420"/>
      </w:pPr>
    </w:lvl>
    <w:lvl w:ilvl="7" w:tentative="0">
      <w:start w:val="1"/>
      <w:numFmt w:val="lowerLetter"/>
      <w:lvlText w:val="%8)"/>
      <w:lvlJc w:val="left"/>
      <w:pPr>
        <w:ind w:left="950" w:hanging="420"/>
      </w:pPr>
    </w:lvl>
    <w:lvl w:ilvl="8" w:tentative="0">
      <w:start w:val="1"/>
      <w:numFmt w:val="lowerRoman"/>
      <w:lvlText w:val="%9."/>
      <w:lvlJc w:val="right"/>
      <w:pPr>
        <w:ind w:left="1370" w:hanging="420"/>
      </w:pPr>
    </w:lvl>
  </w:abstractNum>
  <w:abstractNum w:abstractNumId="1">
    <w:nsid w:val="04D878C4"/>
    <w:multiLevelType w:val="multilevel"/>
    <w:tmpl w:val="04D878C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5DC6ECE"/>
    <w:multiLevelType w:val="multilevel"/>
    <w:tmpl w:val="05DC6ECE"/>
    <w:lvl w:ilvl="0" w:tentative="0">
      <w:start w:val="1"/>
      <w:numFmt w:val="lowerLetter"/>
      <w:lvlText w:val="%1)"/>
      <w:lvlJc w:val="left"/>
      <w:pPr>
        <w:ind w:left="840" w:hanging="420"/>
      </w:p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0BAA1E03"/>
    <w:multiLevelType w:val="multilevel"/>
    <w:tmpl w:val="0BAA1E0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
    <w:nsid w:val="0F462A93"/>
    <w:multiLevelType w:val="multilevel"/>
    <w:tmpl w:val="0F462A93"/>
    <w:lvl w:ilvl="0" w:tentative="0">
      <w:start w:val="1"/>
      <w:numFmt w:val="decimal"/>
      <w:lvlText w:val="%1)"/>
      <w:lvlJc w:val="left"/>
      <w:pPr>
        <w:ind w:left="900" w:hanging="420"/>
      </w:pPr>
    </w:lvl>
    <w:lvl w:ilvl="1" w:tentative="0">
      <w:start w:val="1"/>
      <w:numFmt w:val="decimal"/>
      <w:lvlText w:val="（%2）"/>
      <w:lvlJc w:val="left"/>
      <w:pPr>
        <w:ind w:left="1620" w:hanging="720"/>
      </w:pPr>
      <w:rPr>
        <w:rFonts w:hint="default"/>
      </w:r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0FC94D2E"/>
    <w:multiLevelType w:val="multilevel"/>
    <w:tmpl w:val="0FC94D2E"/>
    <w:lvl w:ilvl="0" w:tentative="0">
      <w:start w:val="1"/>
      <w:numFmt w:val="decimal"/>
      <w:lvlText w:val="1.1.2.%1"/>
      <w:lvlJc w:val="left"/>
      <w:pPr>
        <w:ind w:left="420" w:hanging="420"/>
      </w:pPr>
      <w:rPr>
        <w:rFonts w:hint="eastAsia" w:eastAsia="宋体"/>
        <w:color w:val="auto"/>
        <w:sz w:val="24"/>
        <w:szCs w:val="2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7.1.2.%4"/>
      <w:lvlJc w:val="left"/>
      <w:pPr>
        <w:ind w:left="1680" w:hanging="420"/>
      </w:pPr>
      <w:rPr>
        <w:rFonts w:hint="eastAsia" w:eastAsia="宋体"/>
        <w:color w:val="auto"/>
        <w:sz w:val="24"/>
        <w:szCs w:val="24"/>
      </w:r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0F530B1"/>
    <w:multiLevelType w:val="multilevel"/>
    <w:tmpl w:val="10F530B1"/>
    <w:lvl w:ilvl="0" w:tentative="0">
      <w:start w:val="1"/>
      <w:numFmt w:val="bullet"/>
      <w:lvlText w:val=""/>
      <w:lvlJc w:val="left"/>
      <w:pPr>
        <w:ind w:left="1320" w:hanging="420"/>
      </w:pPr>
    </w:lvl>
    <w:lvl w:ilvl="1" w:tentative="0">
      <w:start w:val="1"/>
      <w:numFmt w:val="bullet"/>
      <w:lvlText w:val=""/>
      <w:lvlJc w:val="left"/>
      <w:pPr>
        <w:ind w:left="1740" w:hanging="420"/>
      </w:pPr>
    </w:lvl>
    <w:lvl w:ilvl="2" w:tentative="0">
      <w:start w:val="1"/>
      <w:numFmt w:val="bullet"/>
      <w:lvlText w:val=""/>
      <w:lvlJc w:val="left"/>
      <w:pPr>
        <w:ind w:left="2160" w:hanging="420"/>
      </w:pPr>
    </w:lvl>
    <w:lvl w:ilvl="3" w:tentative="0">
      <w:start w:val="1"/>
      <w:numFmt w:val="bullet"/>
      <w:lvlText w:val=""/>
      <w:lvlJc w:val="left"/>
      <w:pPr>
        <w:ind w:left="2580" w:hanging="420"/>
      </w:pPr>
    </w:lvl>
    <w:lvl w:ilvl="4" w:tentative="0">
      <w:start w:val="1"/>
      <w:numFmt w:val="bullet"/>
      <w:lvlText w:val=""/>
      <w:lvlJc w:val="left"/>
      <w:pPr>
        <w:ind w:left="3000" w:hanging="420"/>
      </w:pPr>
    </w:lvl>
    <w:lvl w:ilvl="5" w:tentative="0">
      <w:start w:val="1"/>
      <w:numFmt w:val="bullet"/>
      <w:lvlText w:val=""/>
      <w:lvlJc w:val="left"/>
      <w:pPr>
        <w:ind w:left="3420" w:hanging="420"/>
      </w:pPr>
    </w:lvl>
    <w:lvl w:ilvl="6" w:tentative="0">
      <w:start w:val="1"/>
      <w:numFmt w:val="bullet"/>
      <w:lvlText w:val=""/>
      <w:lvlJc w:val="left"/>
      <w:pPr>
        <w:ind w:left="3840" w:hanging="420"/>
      </w:pPr>
    </w:lvl>
    <w:lvl w:ilvl="7" w:tentative="0">
      <w:start w:val="1"/>
      <w:numFmt w:val="bullet"/>
      <w:lvlText w:val=""/>
      <w:lvlJc w:val="left"/>
      <w:pPr>
        <w:ind w:left="4260" w:hanging="420"/>
      </w:pPr>
    </w:lvl>
    <w:lvl w:ilvl="8" w:tentative="0">
      <w:start w:val="1"/>
      <w:numFmt w:val="bullet"/>
      <w:lvlText w:val=""/>
      <w:lvlJc w:val="left"/>
      <w:pPr>
        <w:ind w:left="4680" w:hanging="420"/>
      </w:pPr>
    </w:lvl>
  </w:abstractNum>
  <w:abstractNum w:abstractNumId="7">
    <w:nsid w:val="119E7B74"/>
    <w:multiLevelType w:val="multilevel"/>
    <w:tmpl w:val="119E7B74"/>
    <w:lvl w:ilvl="0" w:tentative="0">
      <w:start w:val="1"/>
      <w:numFmt w:val="decimal"/>
      <w:lvlText w:val="（%1）"/>
      <w:lvlJc w:val="left"/>
      <w:pPr>
        <w:tabs>
          <w:tab w:val="left" w:pos="2262"/>
        </w:tabs>
        <w:ind w:left="2262" w:hanging="1155"/>
      </w:pPr>
      <w:rPr>
        <w:rFonts w:hint="default"/>
      </w:rPr>
    </w:lvl>
    <w:lvl w:ilvl="1" w:tentative="0">
      <w:start w:val="1"/>
      <w:numFmt w:val="decimal"/>
      <w:lvlText w:val="（%2）"/>
      <w:lvlJc w:val="left"/>
      <w:pPr>
        <w:tabs>
          <w:tab w:val="left" w:pos="988"/>
        </w:tabs>
        <w:ind w:left="907" w:hanging="339"/>
      </w:pPr>
      <w:rPr>
        <w:rFonts w:hint="eastAsia"/>
      </w:rPr>
    </w:lvl>
    <w:lvl w:ilvl="2" w:tentative="0">
      <w:start w:val="1"/>
      <w:numFmt w:val="lowerRoman"/>
      <w:lvlText w:val="%3."/>
      <w:lvlJc w:val="right"/>
      <w:pPr>
        <w:tabs>
          <w:tab w:val="left" w:pos="1827"/>
        </w:tabs>
        <w:ind w:left="1827" w:hanging="420"/>
      </w:pPr>
    </w:lvl>
    <w:lvl w:ilvl="3" w:tentative="0">
      <w:start w:val="1"/>
      <w:numFmt w:val="decimal"/>
      <w:lvlText w:val="%4."/>
      <w:lvlJc w:val="left"/>
      <w:pPr>
        <w:tabs>
          <w:tab w:val="left" w:pos="2247"/>
        </w:tabs>
        <w:ind w:left="2247" w:hanging="420"/>
      </w:pPr>
    </w:lvl>
    <w:lvl w:ilvl="4" w:tentative="0">
      <w:start w:val="1"/>
      <w:numFmt w:val="lowerLetter"/>
      <w:lvlText w:val="%5)"/>
      <w:lvlJc w:val="left"/>
      <w:pPr>
        <w:tabs>
          <w:tab w:val="left" w:pos="2667"/>
        </w:tabs>
        <w:ind w:left="2667" w:hanging="420"/>
      </w:pPr>
    </w:lvl>
    <w:lvl w:ilvl="5" w:tentative="0">
      <w:start w:val="1"/>
      <w:numFmt w:val="lowerRoman"/>
      <w:lvlText w:val="%6."/>
      <w:lvlJc w:val="right"/>
      <w:pPr>
        <w:tabs>
          <w:tab w:val="left" w:pos="3087"/>
        </w:tabs>
        <w:ind w:left="3087" w:hanging="420"/>
      </w:pPr>
    </w:lvl>
    <w:lvl w:ilvl="6" w:tentative="0">
      <w:start w:val="1"/>
      <w:numFmt w:val="decimal"/>
      <w:lvlText w:val="%7."/>
      <w:lvlJc w:val="left"/>
      <w:pPr>
        <w:tabs>
          <w:tab w:val="left" w:pos="3507"/>
        </w:tabs>
        <w:ind w:left="3507" w:hanging="420"/>
      </w:pPr>
    </w:lvl>
    <w:lvl w:ilvl="7" w:tentative="0">
      <w:start w:val="1"/>
      <w:numFmt w:val="lowerLetter"/>
      <w:lvlText w:val="%8)"/>
      <w:lvlJc w:val="left"/>
      <w:pPr>
        <w:tabs>
          <w:tab w:val="left" w:pos="3927"/>
        </w:tabs>
        <w:ind w:left="3927" w:hanging="420"/>
      </w:pPr>
    </w:lvl>
    <w:lvl w:ilvl="8" w:tentative="0">
      <w:start w:val="1"/>
      <w:numFmt w:val="lowerRoman"/>
      <w:lvlText w:val="%9."/>
      <w:lvlJc w:val="right"/>
      <w:pPr>
        <w:tabs>
          <w:tab w:val="left" w:pos="4347"/>
        </w:tabs>
        <w:ind w:left="4347" w:hanging="420"/>
      </w:pPr>
    </w:lvl>
  </w:abstractNum>
  <w:abstractNum w:abstractNumId="8">
    <w:nsid w:val="12091513"/>
    <w:multiLevelType w:val="multilevel"/>
    <w:tmpl w:val="12091513"/>
    <w:lvl w:ilvl="0" w:tentative="0">
      <w:start w:val="1"/>
      <w:numFmt w:val="lowerLetter"/>
      <w:lvlText w:val="%1)"/>
      <w:lvlJc w:val="left"/>
      <w:pPr>
        <w:ind w:left="900" w:hanging="420"/>
      </w:pPr>
    </w:lvl>
    <w:lvl w:ilvl="1" w:tentative="0">
      <w:start w:val="1"/>
      <w:numFmt w:val="lowerLetter"/>
      <w:lvlText w:val="%2)"/>
      <w:lvlJc w:val="left"/>
      <w:pPr>
        <w:ind w:left="1340" w:hanging="44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9">
    <w:nsid w:val="17624B4F"/>
    <w:multiLevelType w:val="multilevel"/>
    <w:tmpl w:val="17624B4F"/>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0">
    <w:nsid w:val="1A8A4EEB"/>
    <w:multiLevelType w:val="multilevel"/>
    <w:tmpl w:val="1A8A4EE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11">
    <w:nsid w:val="1DBD08C7"/>
    <w:multiLevelType w:val="multilevel"/>
    <w:tmpl w:val="1DBD08C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2">
    <w:nsid w:val="1F8A1E09"/>
    <w:multiLevelType w:val="multilevel"/>
    <w:tmpl w:val="1F8A1E09"/>
    <w:lvl w:ilvl="0" w:tentative="0">
      <w:start w:val="1"/>
      <w:numFmt w:val="decimal"/>
      <w:lvlText w:val="%1"/>
      <w:lvlJc w:val="left"/>
      <w:pPr>
        <w:ind w:left="425" w:hanging="425"/>
      </w:pPr>
    </w:lvl>
    <w:lvl w:ilvl="1" w:tentative="0">
      <w:start w:val="1"/>
      <w:numFmt w:val="decimal"/>
      <w:lvlText w:val="%1.%2"/>
      <w:lvlJc w:val="left"/>
      <w:pPr>
        <w:ind w:left="567"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3">
    <w:nsid w:val="22501526"/>
    <w:multiLevelType w:val="multilevel"/>
    <w:tmpl w:val="22501526"/>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235E7D23"/>
    <w:multiLevelType w:val="multilevel"/>
    <w:tmpl w:val="235E7D23"/>
    <w:lvl w:ilvl="0" w:tentative="0">
      <w:start w:val="1"/>
      <w:numFmt w:val="bullet"/>
      <w:lvlText w:val=""/>
      <w:lvlJc w:val="left"/>
      <w:pPr>
        <w:tabs>
          <w:tab w:val="left" w:pos="840"/>
        </w:tabs>
        <w:ind w:left="840" w:hanging="420"/>
      </w:pPr>
      <w:rPr>
        <w:rFonts w:hint="default" w:ascii="Wingdings" w:hAnsi="Wingdings"/>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abstractNum w:abstractNumId="15">
    <w:nsid w:val="291418AE"/>
    <w:multiLevelType w:val="multilevel"/>
    <w:tmpl w:val="291418A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6">
    <w:nsid w:val="2B73043F"/>
    <w:multiLevelType w:val="multilevel"/>
    <w:tmpl w:val="2B73043F"/>
    <w:lvl w:ilvl="0" w:tentative="0">
      <w:start w:val="1"/>
      <w:numFmt w:val="decimal"/>
      <w:lvlText w:val="（%1）"/>
      <w:lvlJc w:val="left"/>
      <w:pPr>
        <w:ind w:left="3555" w:hanging="720"/>
      </w:pPr>
      <w:rPr>
        <w:rFonts w:hint="default"/>
        <w:b w:val="0"/>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17">
    <w:nsid w:val="2CD947F0"/>
    <w:multiLevelType w:val="multilevel"/>
    <w:tmpl w:val="2CD947F0"/>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2E077451"/>
    <w:multiLevelType w:val="multilevel"/>
    <w:tmpl w:val="2E077451"/>
    <w:lvl w:ilvl="0" w:tentative="0">
      <w:start w:val="1"/>
      <w:numFmt w:val="decimal"/>
      <w:lvlText w:val="%1 "/>
      <w:lvlJc w:val="left"/>
      <w:pPr>
        <w:ind w:left="840" w:hanging="420"/>
      </w:pPr>
      <w:rPr>
        <w:rFonts w:hint="eastAsia"/>
      </w:rPr>
    </w:lvl>
    <w:lvl w:ilvl="1" w:tentative="0">
      <w:start w:val="1"/>
      <w:numFmt w:val="decimal"/>
      <w:lvlText w:val="%2 "/>
      <w:lvlJc w:val="left"/>
      <w:pPr>
        <w:ind w:left="840" w:hanging="420"/>
      </w:pPr>
      <w:rPr>
        <w:rFonts w:hint="eastAsia"/>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308E64B9"/>
    <w:multiLevelType w:val="multilevel"/>
    <w:tmpl w:val="308E64B9"/>
    <w:lvl w:ilvl="0" w:tentative="0">
      <w:start w:val="1"/>
      <w:numFmt w:val="lowerLetter"/>
      <w:lvlText w:val="%1)"/>
      <w:lvlJc w:val="left"/>
      <w:pPr>
        <w:ind w:left="900" w:hanging="420"/>
      </w:p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20">
    <w:nsid w:val="32551D7D"/>
    <w:multiLevelType w:val="multilevel"/>
    <w:tmpl w:val="32551D7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1">
    <w:nsid w:val="39DA0DCD"/>
    <w:multiLevelType w:val="multilevel"/>
    <w:tmpl w:val="39DA0DCD"/>
    <w:lvl w:ilvl="0" w:tentative="0">
      <w:start w:val="1"/>
      <w:numFmt w:val="decimal"/>
      <w:lvlText w:val="(%1)"/>
      <w:lvlJc w:val="left"/>
      <w:pPr>
        <w:ind w:left="1077" w:hanging="657"/>
      </w:pPr>
      <w:rPr>
        <w:rFonts w:hint="eastAsia"/>
      </w:rPr>
    </w:lvl>
    <w:lvl w:ilvl="1" w:tentative="0">
      <w:start w:val="4"/>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2">
    <w:nsid w:val="3CFA0137"/>
    <w:multiLevelType w:val="multilevel"/>
    <w:tmpl w:val="3CFA01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3">
    <w:nsid w:val="3EBF770C"/>
    <w:multiLevelType w:val="multilevel"/>
    <w:tmpl w:val="3EBF770C"/>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404A29EE"/>
    <w:multiLevelType w:val="multilevel"/>
    <w:tmpl w:val="404A29E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5">
    <w:nsid w:val="477C151A"/>
    <w:multiLevelType w:val="multilevel"/>
    <w:tmpl w:val="477C151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6">
    <w:nsid w:val="4ADB0304"/>
    <w:multiLevelType w:val="multilevel"/>
    <w:tmpl w:val="4ADB0304"/>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27">
    <w:nsid w:val="4C5C36CF"/>
    <w:multiLevelType w:val="multilevel"/>
    <w:tmpl w:val="4C5C36CF"/>
    <w:lvl w:ilvl="0" w:tentative="0">
      <w:start w:val="1"/>
      <w:numFmt w:val="decimal"/>
      <w:lvlText w:val="（%1）"/>
      <w:lvlJc w:val="left"/>
      <w:pPr>
        <w:ind w:left="1876" w:hanging="601"/>
      </w:pPr>
      <w:rPr>
        <w:rFonts w:hint="default" w:ascii="宋体" w:hAnsi="宋体" w:eastAsia="宋体" w:cs="宋体"/>
        <w:spacing w:val="-17"/>
        <w:w w:val="100"/>
        <w:sz w:val="22"/>
        <w:szCs w:val="22"/>
        <w:lang w:val="zh-CN" w:eastAsia="zh-CN" w:bidi="zh-CN"/>
      </w:rPr>
    </w:lvl>
    <w:lvl w:ilvl="1" w:tentative="0">
      <w:start w:val="0"/>
      <w:numFmt w:val="bullet"/>
      <w:lvlText w:val="•"/>
      <w:lvlJc w:val="left"/>
      <w:pPr>
        <w:ind w:left="2848" w:hanging="601"/>
      </w:pPr>
      <w:rPr>
        <w:rFonts w:hint="default"/>
        <w:lang w:val="zh-CN" w:eastAsia="zh-CN" w:bidi="zh-CN"/>
      </w:rPr>
    </w:lvl>
    <w:lvl w:ilvl="2" w:tentative="0">
      <w:start w:val="0"/>
      <w:numFmt w:val="bullet"/>
      <w:lvlText w:val="•"/>
      <w:lvlJc w:val="left"/>
      <w:pPr>
        <w:ind w:left="3818" w:hanging="601"/>
      </w:pPr>
      <w:rPr>
        <w:rFonts w:hint="default"/>
        <w:lang w:val="zh-CN" w:eastAsia="zh-CN" w:bidi="zh-CN"/>
      </w:rPr>
    </w:lvl>
    <w:lvl w:ilvl="3" w:tentative="0">
      <w:start w:val="0"/>
      <w:numFmt w:val="bullet"/>
      <w:lvlText w:val="•"/>
      <w:lvlJc w:val="left"/>
      <w:pPr>
        <w:ind w:left="4788" w:hanging="601"/>
      </w:pPr>
      <w:rPr>
        <w:rFonts w:hint="default"/>
        <w:lang w:val="zh-CN" w:eastAsia="zh-CN" w:bidi="zh-CN"/>
      </w:rPr>
    </w:lvl>
    <w:lvl w:ilvl="4" w:tentative="0">
      <w:start w:val="0"/>
      <w:numFmt w:val="bullet"/>
      <w:lvlText w:val="•"/>
      <w:lvlJc w:val="left"/>
      <w:pPr>
        <w:ind w:left="5758" w:hanging="601"/>
      </w:pPr>
      <w:rPr>
        <w:rFonts w:hint="default"/>
        <w:lang w:val="zh-CN" w:eastAsia="zh-CN" w:bidi="zh-CN"/>
      </w:rPr>
    </w:lvl>
    <w:lvl w:ilvl="5" w:tentative="0">
      <w:start w:val="0"/>
      <w:numFmt w:val="bullet"/>
      <w:lvlText w:val="•"/>
      <w:lvlJc w:val="left"/>
      <w:pPr>
        <w:ind w:left="6728" w:hanging="601"/>
      </w:pPr>
      <w:rPr>
        <w:rFonts w:hint="default"/>
        <w:lang w:val="zh-CN" w:eastAsia="zh-CN" w:bidi="zh-CN"/>
      </w:rPr>
    </w:lvl>
    <w:lvl w:ilvl="6" w:tentative="0">
      <w:start w:val="0"/>
      <w:numFmt w:val="bullet"/>
      <w:lvlText w:val="•"/>
      <w:lvlJc w:val="left"/>
      <w:pPr>
        <w:ind w:left="7698" w:hanging="601"/>
      </w:pPr>
      <w:rPr>
        <w:rFonts w:hint="default"/>
        <w:lang w:val="zh-CN" w:eastAsia="zh-CN" w:bidi="zh-CN"/>
      </w:rPr>
    </w:lvl>
    <w:lvl w:ilvl="7" w:tentative="0">
      <w:start w:val="0"/>
      <w:numFmt w:val="bullet"/>
      <w:lvlText w:val="•"/>
      <w:lvlJc w:val="left"/>
      <w:pPr>
        <w:ind w:left="8668" w:hanging="601"/>
      </w:pPr>
      <w:rPr>
        <w:rFonts w:hint="default"/>
        <w:lang w:val="zh-CN" w:eastAsia="zh-CN" w:bidi="zh-CN"/>
      </w:rPr>
    </w:lvl>
    <w:lvl w:ilvl="8" w:tentative="0">
      <w:start w:val="0"/>
      <w:numFmt w:val="bullet"/>
      <w:lvlText w:val="•"/>
      <w:lvlJc w:val="left"/>
      <w:pPr>
        <w:ind w:left="9638" w:hanging="601"/>
      </w:pPr>
      <w:rPr>
        <w:rFonts w:hint="default"/>
        <w:lang w:val="zh-CN" w:eastAsia="zh-CN" w:bidi="zh-CN"/>
      </w:rPr>
    </w:lvl>
  </w:abstractNum>
  <w:abstractNum w:abstractNumId="28">
    <w:nsid w:val="4D4E600B"/>
    <w:multiLevelType w:val="multilevel"/>
    <w:tmpl w:val="4D4E600B"/>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29">
    <w:nsid w:val="53BE6928"/>
    <w:multiLevelType w:val="multilevel"/>
    <w:tmpl w:val="53BE692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0">
    <w:nsid w:val="5F8113FE"/>
    <w:multiLevelType w:val="multilevel"/>
    <w:tmpl w:val="5F8113FE"/>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1">
    <w:nsid w:val="61665131"/>
    <w:multiLevelType w:val="multilevel"/>
    <w:tmpl w:val="61665131"/>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32">
    <w:nsid w:val="6571721E"/>
    <w:multiLevelType w:val="multilevel"/>
    <w:tmpl w:val="6571721E"/>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3">
    <w:nsid w:val="6578765B"/>
    <w:multiLevelType w:val="multilevel"/>
    <w:tmpl w:val="6578765B"/>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4">
    <w:nsid w:val="65FB2A00"/>
    <w:multiLevelType w:val="multilevel"/>
    <w:tmpl w:val="65FB2A00"/>
    <w:lvl w:ilvl="0" w:tentative="0">
      <w:start w:val="1"/>
      <w:numFmt w:val="decimal"/>
      <w:lvlText w:val="%1"/>
      <w:lvlJc w:val="left"/>
      <w:pPr>
        <w:ind w:left="425" w:hanging="425"/>
      </w:pPr>
      <w:rPr>
        <w:rFonts w:hint="eastAsia"/>
      </w:rPr>
    </w:lvl>
    <w:lvl w:ilvl="1" w:tentative="0">
      <w:start w:val="1"/>
      <w:numFmt w:val="decimal"/>
      <w:suff w:val="space"/>
      <w:lvlText w:val="%1.%2"/>
      <w:lvlJc w:val="left"/>
      <w:pPr>
        <w:ind w:left="510" w:hanging="510"/>
      </w:pPr>
      <w:rPr>
        <w:rFonts w:hint="eastAsia"/>
      </w:rPr>
    </w:lvl>
    <w:lvl w:ilvl="2" w:tentative="0">
      <w:start w:val="1"/>
      <w:numFmt w:val="decimal"/>
      <w:pStyle w:val="40"/>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5">
    <w:nsid w:val="68833EBD"/>
    <w:multiLevelType w:val="multilevel"/>
    <w:tmpl w:val="68833EBD"/>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694435FB"/>
    <w:multiLevelType w:val="multilevel"/>
    <w:tmpl w:val="694435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7">
    <w:nsid w:val="6BCC3DA7"/>
    <w:multiLevelType w:val="multilevel"/>
    <w:tmpl w:val="6BCC3DA7"/>
    <w:lvl w:ilvl="0" w:tentative="0">
      <w:start w:val="1"/>
      <w:numFmt w:val="decimal"/>
      <w:lvlText w:val="（%1）"/>
      <w:lvlJc w:val="left"/>
      <w:pPr>
        <w:ind w:left="840" w:hanging="420"/>
      </w:pPr>
      <w:rPr>
        <w:rFonts w:hint="eastAsia"/>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8">
    <w:nsid w:val="6E5C2145"/>
    <w:multiLevelType w:val="multilevel"/>
    <w:tmpl w:val="6E5C2145"/>
    <w:lvl w:ilvl="0" w:tentative="0">
      <w:start w:val="1"/>
      <w:numFmt w:val="lowerLetter"/>
      <w:lvlText w:val="%1)"/>
      <w:lvlJc w:val="left"/>
      <w:pPr>
        <w:ind w:left="1340" w:hanging="440"/>
      </w:pPr>
    </w:lvl>
    <w:lvl w:ilvl="1" w:tentative="0">
      <w:start w:val="1"/>
      <w:numFmt w:val="lowerLetter"/>
      <w:lvlText w:val="%2)"/>
      <w:lvlJc w:val="left"/>
      <w:pPr>
        <w:ind w:left="1780" w:hanging="440"/>
      </w:pPr>
    </w:lvl>
    <w:lvl w:ilvl="2" w:tentative="0">
      <w:start w:val="1"/>
      <w:numFmt w:val="lowerRoman"/>
      <w:lvlText w:val="%3."/>
      <w:lvlJc w:val="right"/>
      <w:pPr>
        <w:ind w:left="2220" w:hanging="440"/>
      </w:pPr>
    </w:lvl>
    <w:lvl w:ilvl="3" w:tentative="0">
      <w:start w:val="1"/>
      <w:numFmt w:val="decimal"/>
      <w:lvlText w:val="%4."/>
      <w:lvlJc w:val="left"/>
      <w:pPr>
        <w:ind w:left="2660" w:hanging="440"/>
      </w:pPr>
    </w:lvl>
    <w:lvl w:ilvl="4" w:tentative="0">
      <w:start w:val="1"/>
      <w:numFmt w:val="lowerLetter"/>
      <w:lvlText w:val="%5)"/>
      <w:lvlJc w:val="left"/>
      <w:pPr>
        <w:ind w:left="3100" w:hanging="440"/>
      </w:pPr>
    </w:lvl>
    <w:lvl w:ilvl="5" w:tentative="0">
      <w:start w:val="1"/>
      <w:numFmt w:val="lowerRoman"/>
      <w:lvlText w:val="%6."/>
      <w:lvlJc w:val="right"/>
      <w:pPr>
        <w:ind w:left="3540" w:hanging="440"/>
      </w:pPr>
    </w:lvl>
    <w:lvl w:ilvl="6" w:tentative="0">
      <w:start w:val="1"/>
      <w:numFmt w:val="decimal"/>
      <w:lvlText w:val="%7."/>
      <w:lvlJc w:val="left"/>
      <w:pPr>
        <w:ind w:left="3980" w:hanging="440"/>
      </w:pPr>
    </w:lvl>
    <w:lvl w:ilvl="7" w:tentative="0">
      <w:start w:val="1"/>
      <w:numFmt w:val="lowerLetter"/>
      <w:lvlText w:val="%8)"/>
      <w:lvlJc w:val="left"/>
      <w:pPr>
        <w:ind w:left="4420" w:hanging="440"/>
      </w:pPr>
    </w:lvl>
    <w:lvl w:ilvl="8" w:tentative="0">
      <w:start w:val="1"/>
      <w:numFmt w:val="lowerRoman"/>
      <w:lvlText w:val="%9."/>
      <w:lvlJc w:val="right"/>
      <w:pPr>
        <w:ind w:left="4860" w:hanging="440"/>
      </w:pPr>
    </w:lvl>
  </w:abstractNum>
  <w:abstractNum w:abstractNumId="39">
    <w:nsid w:val="73AC5FF8"/>
    <w:multiLevelType w:val="multilevel"/>
    <w:tmpl w:val="73AC5FF8"/>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0">
    <w:nsid w:val="743A3479"/>
    <w:multiLevelType w:val="multilevel"/>
    <w:tmpl w:val="743A3479"/>
    <w:lvl w:ilvl="0" w:tentative="0">
      <w:start w:val="1"/>
      <w:numFmt w:val="lowerLetter"/>
      <w:lvlText w:val="%1)"/>
      <w:lvlJc w:val="left"/>
      <w:pPr>
        <w:ind w:left="900" w:hanging="420"/>
      </w:pPr>
      <w:rPr>
        <w:rFonts w:hint="eastAsia"/>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41">
    <w:nsid w:val="753966CD"/>
    <w:multiLevelType w:val="multilevel"/>
    <w:tmpl w:val="753966CD"/>
    <w:lvl w:ilvl="0" w:tentative="0">
      <w:start w:val="1"/>
      <w:numFmt w:val="lowerLetter"/>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2">
    <w:nsid w:val="7B4016C6"/>
    <w:multiLevelType w:val="multilevel"/>
    <w:tmpl w:val="7B4016C6"/>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3">
    <w:nsid w:val="7BE01672"/>
    <w:multiLevelType w:val="multilevel"/>
    <w:tmpl w:val="7BE01672"/>
    <w:lvl w:ilvl="0" w:tentative="0">
      <w:start w:val="1"/>
      <w:numFmt w:val="lowerLetter"/>
      <w:lvlText w:val="%1)"/>
      <w:lvlJc w:val="left"/>
      <w:pPr>
        <w:ind w:left="720" w:hanging="720"/>
      </w:pPr>
      <w:rPr>
        <w:rFonts w:hint="default"/>
        <w:lang w:val="en-US"/>
      </w:rPr>
    </w:lvl>
    <w:lvl w:ilvl="1" w:tentative="0">
      <w:start w:val="1"/>
      <w:numFmt w:val="lowerLetter"/>
      <w:lvlText w:val="%2)"/>
      <w:lvlJc w:val="left"/>
      <w:pPr>
        <w:ind w:left="840" w:hanging="420"/>
      </w:pPr>
      <w:rPr>
        <w:rFonts w:hint="eastAsia"/>
      </w:rPr>
    </w:lvl>
    <w:lvl w:ilvl="2" w:tentative="0">
      <w:start w:val="1"/>
      <w:numFmt w:val="lowerRoman"/>
      <w:lvlText w:val="%3."/>
      <w:lvlJc w:val="right"/>
      <w:pPr>
        <w:ind w:left="1260" w:hanging="420"/>
      </w:pPr>
      <w:rPr>
        <w:rFonts w:hint="eastAsia"/>
      </w:rPr>
    </w:lvl>
    <w:lvl w:ilvl="3" w:tentative="0">
      <w:start w:val="1"/>
      <w:numFmt w:val="decimal"/>
      <w:lvlText w:val="%4."/>
      <w:lvlJc w:val="left"/>
      <w:pPr>
        <w:ind w:left="1680" w:hanging="420"/>
      </w:pPr>
      <w:rPr>
        <w:rFonts w:hint="eastAsia"/>
      </w:rPr>
    </w:lvl>
    <w:lvl w:ilvl="4" w:tentative="0">
      <w:start w:val="1"/>
      <w:numFmt w:val="lowerLetter"/>
      <w:lvlText w:val="%5)"/>
      <w:lvlJc w:val="left"/>
      <w:pPr>
        <w:ind w:left="2100" w:hanging="420"/>
      </w:pPr>
      <w:rPr>
        <w:rFonts w:hint="eastAsia"/>
      </w:rPr>
    </w:lvl>
    <w:lvl w:ilvl="5" w:tentative="0">
      <w:start w:val="1"/>
      <w:numFmt w:val="lowerRoman"/>
      <w:lvlText w:val="%6."/>
      <w:lvlJc w:val="right"/>
      <w:pPr>
        <w:ind w:left="2520" w:hanging="420"/>
      </w:pPr>
      <w:rPr>
        <w:rFonts w:hint="eastAsia"/>
      </w:rPr>
    </w:lvl>
    <w:lvl w:ilvl="6" w:tentative="0">
      <w:start w:val="1"/>
      <w:numFmt w:val="decimal"/>
      <w:lvlText w:val="%7."/>
      <w:lvlJc w:val="left"/>
      <w:pPr>
        <w:ind w:left="2940" w:hanging="420"/>
      </w:pPr>
      <w:rPr>
        <w:rFonts w:hint="eastAsia"/>
      </w:rPr>
    </w:lvl>
    <w:lvl w:ilvl="7" w:tentative="0">
      <w:start w:val="1"/>
      <w:numFmt w:val="lowerLetter"/>
      <w:lvlText w:val="%8)"/>
      <w:lvlJc w:val="left"/>
      <w:pPr>
        <w:ind w:left="3360" w:hanging="420"/>
      </w:pPr>
      <w:rPr>
        <w:rFonts w:hint="eastAsia"/>
      </w:rPr>
    </w:lvl>
    <w:lvl w:ilvl="8" w:tentative="0">
      <w:start w:val="1"/>
      <w:numFmt w:val="lowerRoman"/>
      <w:lvlText w:val="%9."/>
      <w:lvlJc w:val="right"/>
      <w:pPr>
        <w:ind w:left="3780" w:hanging="420"/>
      </w:pPr>
      <w:rPr>
        <w:rFonts w:hint="eastAsia"/>
      </w:rPr>
    </w:lvl>
  </w:abstractNum>
  <w:abstractNum w:abstractNumId="44">
    <w:nsid w:val="7CF8006D"/>
    <w:multiLevelType w:val="multilevel"/>
    <w:tmpl w:val="7CF8006D"/>
    <w:lvl w:ilvl="0" w:tentative="0">
      <w:start w:val="1"/>
      <w:numFmt w:val="decimal"/>
      <w:lvlText w:val="(%1)"/>
      <w:lvlJc w:val="left"/>
      <w:pPr>
        <w:ind w:left="1077" w:hanging="657"/>
      </w:pPr>
      <w:rPr>
        <w:rFonts w:hint="eastAsia"/>
      </w:rPr>
    </w:lvl>
    <w:lvl w:ilvl="1" w:tentative="0">
      <w:start w:val="1"/>
      <w:numFmt w:val="lowerLetter"/>
      <w:lvlText w:val="%2)"/>
      <w:lvlJc w:val="left"/>
      <w:pPr>
        <w:tabs>
          <w:tab w:val="left" w:pos="840"/>
        </w:tabs>
        <w:ind w:left="840" w:hanging="420"/>
      </w:pPr>
      <w:rPr>
        <w:rFonts w:hint="eastAsia"/>
        <w:b w:val="0"/>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num w:numId="1">
    <w:abstractNumId w:val="34"/>
  </w:num>
  <w:num w:numId="2">
    <w:abstractNumId w:val="18"/>
  </w:num>
  <w:num w:numId="3">
    <w:abstractNumId w:val="7"/>
  </w:num>
  <w:num w:numId="4">
    <w:abstractNumId w:val="1"/>
  </w:num>
  <w:num w:numId="5">
    <w:abstractNumId w:val="0"/>
  </w:num>
  <w:num w:numId="6">
    <w:abstractNumId w:val="35"/>
  </w:num>
  <w:num w:numId="7">
    <w:abstractNumId w:val="27"/>
  </w:num>
  <w:num w:numId="8">
    <w:abstractNumId w:val="5"/>
  </w:num>
  <w:num w:numId="9">
    <w:abstractNumId w:val="17"/>
  </w:num>
  <w:num w:numId="10">
    <w:abstractNumId w:val="16"/>
  </w:num>
  <w:num w:numId="11">
    <w:abstractNumId w:val="9"/>
  </w:num>
  <w:num w:numId="12">
    <w:abstractNumId w:val="31"/>
  </w:num>
  <w:num w:numId="13">
    <w:abstractNumId w:val="15"/>
  </w:num>
  <w:num w:numId="14">
    <w:abstractNumId w:val="20"/>
  </w:num>
  <w:num w:numId="15">
    <w:abstractNumId w:val="30"/>
  </w:num>
  <w:num w:numId="16">
    <w:abstractNumId w:val="29"/>
  </w:num>
  <w:num w:numId="17">
    <w:abstractNumId w:val="14"/>
  </w:num>
  <w:num w:numId="18">
    <w:abstractNumId w:val="22"/>
  </w:num>
  <w:num w:numId="19">
    <w:abstractNumId w:val="26"/>
  </w:num>
  <w:num w:numId="20">
    <w:abstractNumId w:val="28"/>
  </w:num>
  <w:num w:numId="21">
    <w:abstractNumId w:val="3"/>
  </w:num>
  <w:num w:numId="22">
    <w:abstractNumId w:val="39"/>
  </w:num>
  <w:num w:numId="23">
    <w:abstractNumId w:val="25"/>
  </w:num>
  <w:num w:numId="24">
    <w:abstractNumId w:val="41"/>
  </w:num>
  <w:num w:numId="25">
    <w:abstractNumId w:val="19"/>
  </w:num>
  <w:num w:numId="26">
    <w:abstractNumId w:val="43"/>
  </w:num>
  <w:num w:numId="27">
    <w:abstractNumId w:val="10"/>
  </w:num>
  <w:num w:numId="28">
    <w:abstractNumId w:val="44"/>
  </w:num>
  <w:num w:numId="29">
    <w:abstractNumId w:val="21"/>
  </w:num>
  <w:num w:numId="30">
    <w:abstractNumId w:val="42"/>
  </w:num>
  <w:num w:numId="31">
    <w:abstractNumId w:val="24"/>
  </w:num>
  <w:num w:numId="32">
    <w:abstractNumId w:val="11"/>
  </w:num>
  <w:num w:numId="33">
    <w:abstractNumId w:val="2"/>
  </w:num>
  <w:num w:numId="34">
    <w:abstractNumId w:val="23"/>
  </w:num>
  <w:num w:numId="35">
    <w:abstractNumId w:val="36"/>
  </w:num>
  <w:num w:numId="36">
    <w:abstractNumId w:val="32"/>
  </w:num>
  <w:num w:numId="37">
    <w:abstractNumId w:val="4"/>
  </w:num>
  <w:num w:numId="38">
    <w:abstractNumId w:val="40"/>
  </w:num>
  <w:num w:numId="39">
    <w:abstractNumId w:val="13"/>
  </w:num>
  <w:num w:numId="40">
    <w:abstractNumId w:val="37"/>
  </w:num>
  <w:num w:numId="41">
    <w:abstractNumId w:val="33"/>
  </w:num>
  <w:num w:numId="42">
    <w:abstractNumId w:val="8"/>
  </w:num>
  <w:num w:numId="43">
    <w:abstractNumId w:val="6"/>
  </w:num>
  <w:num w:numId="44">
    <w:abstractNumId w:val="38"/>
  </w:num>
  <w:num w:numId="4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ExYzExZDVlZjg4OGRjNmQ2NGE5ODUzZjAzZTQ2NzcifQ=="/>
  </w:docVars>
  <w:rsids>
    <w:rsidRoot w:val="00172A27"/>
    <w:rsid w:val="000052B6"/>
    <w:rsid w:val="000060F0"/>
    <w:rsid w:val="00006A53"/>
    <w:rsid w:val="00006D38"/>
    <w:rsid w:val="0001790D"/>
    <w:rsid w:val="00021C4D"/>
    <w:rsid w:val="0002239B"/>
    <w:rsid w:val="000228A3"/>
    <w:rsid w:val="00023D23"/>
    <w:rsid w:val="00024F58"/>
    <w:rsid w:val="00026389"/>
    <w:rsid w:val="000268E1"/>
    <w:rsid w:val="00036A85"/>
    <w:rsid w:val="00040945"/>
    <w:rsid w:val="0004184E"/>
    <w:rsid w:val="00041B2E"/>
    <w:rsid w:val="000439FB"/>
    <w:rsid w:val="00043FBF"/>
    <w:rsid w:val="00044D84"/>
    <w:rsid w:val="00045CB6"/>
    <w:rsid w:val="00050ACE"/>
    <w:rsid w:val="000530F0"/>
    <w:rsid w:val="000540B0"/>
    <w:rsid w:val="00060619"/>
    <w:rsid w:val="00062CE9"/>
    <w:rsid w:val="00063777"/>
    <w:rsid w:val="0006536B"/>
    <w:rsid w:val="00065A5C"/>
    <w:rsid w:val="00072A7F"/>
    <w:rsid w:val="00073516"/>
    <w:rsid w:val="00074012"/>
    <w:rsid w:val="00075B86"/>
    <w:rsid w:val="0007707B"/>
    <w:rsid w:val="00077962"/>
    <w:rsid w:val="00080F05"/>
    <w:rsid w:val="00081416"/>
    <w:rsid w:val="00081B4C"/>
    <w:rsid w:val="00083792"/>
    <w:rsid w:val="000841E3"/>
    <w:rsid w:val="00091925"/>
    <w:rsid w:val="0009238B"/>
    <w:rsid w:val="00096FB6"/>
    <w:rsid w:val="000972B3"/>
    <w:rsid w:val="000A06BC"/>
    <w:rsid w:val="000A104B"/>
    <w:rsid w:val="000A1981"/>
    <w:rsid w:val="000A233E"/>
    <w:rsid w:val="000A32BF"/>
    <w:rsid w:val="000A34B6"/>
    <w:rsid w:val="000A46CC"/>
    <w:rsid w:val="000A69F9"/>
    <w:rsid w:val="000B0318"/>
    <w:rsid w:val="000B06AE"/>
    <w:rsid w:val="000B308F"/>
    <w:rsid w:val="000B48BC"/>
    <w:rsid w:val="000B4CD6"/>
    <w:rsid w:val="000B4FC2"/>
    <w:rsid w:val="000C09E6"/>
    <w:rsid w:val="000C1776"/>
    <w:rsid w:val="000C3B1A"/>
    <w:rsid w:val="000C49E4"/>
    <w:rsid w:val="000D06FE"/>
    <w:rsid w:val="000D1458"/>
    <w:rsid w:val="000D2697"/>
    <w:rsid w:val="000D4398"/>
    <w:rsid w:val="000D4DF4"/>
    <w:rsid w:val="000D72AF"/>
    <w:rsid w:val="000E1688"/>
    <w:rsid w:val="000F0E75"/>
    <w:rsid w:val="000F3E47"/>
    <w:rsid w:val="00100226"/>
    <w:rsid w:val="001009C9"/>
    <w:rsid w:val="001014C1"/>
    <w:rsid w:val="0010310E"/>
    <w:rsid w:val="0010493C"/>
    <w:rsid w:val="0010552A"/>
    <w:rsid w:val="00106F68"/>
    <w:rsid w:val="0010761C"/>
    <w:rsid w:val="0010791A"/>
    <w:rsid w:val="00110B24"/>
    <w:rsid w:val="0011251E"/>
    <w:rsid w:val="001125BA"/>
    <w:rsid w:val="001125F2"/>
    <w:rsid w:val="001129BB"/>
    <w:rsid w:val="00112CD4"/>
    <w:rsid w:val="00114B80"/>
    <w:rsid w:val="001163C3"/>
    <w:rsid w:val="001179BA"/>
    <w:rsid w:val="00117A02"/>
    <w:rsid w:val="001219DD"/>
    <w:rsid w:val="00122704"/>
    <w:rsid w:val="00124071"/>
    <w:rsid w:val="001248AE"/>
    <w:rsid w:val="00125609"/>
    <w:rsid w:val="00126D34"/>
    <w:rsid w:val="001271D2"/>
    <w:rsid w:val="00130210"/>
    <w:rsid w:val="00131C7F"/>
    <w:rsid w:val="00135C14"/>
    <w:rsid w:val="00136689"/>
    <w:rsid w:val="001416C1"/>
    <w:rsid w:val="00142ABA"/>
    <w:rsid w:val="00145355"/>
    <w:rsid w:val="001454E6"/>
    <w:rsid w:val="00145EAC"/>
    <w:rsid w:val="00151C26"/>
    <w:rsid w:val="00152D64"/>
    <w:rsid w:val="00154C2C"/>
    <w:rsid w:val="00157014"/>
    <w:rsid w:val="0016563E"/>
    <w:rsid w:val="00170575"/>
    <w:rsid w:val="00172A27"/>
    <w:rsid w:val="00172F6E"/>
    <w:rsid w:val="00175DE0"/>
    <w:rsid w:val="00180FBB"/>
    <w:rsid w:val="00184353"/>
    <w:rsid w:val="0018560F"/>
    <w:rsid w:val="00185D14"/>
    <w:rsid w:val="0019388B"/>
    <w:rsid w:val="00194E01"/>
    <w:rsid w:val="001964AA"/>
    <w:rsid w:val="001977E5"/>
    <w:rsid w:val="001A1F30"/>
    <w:rsid w:val="001A24D3"/>
    <w:rsid w:val="001A3FED"/>
    <w:rsid w:val="001A6FD3"/>
    <w:rsid w:val="001A7063"/>
    <w:rsid w:val="001B5CB9"/>
    <w:rsid w:val="001B5CC2"/>
    <w:rsid w:val="001C03D5"/>
    <w:rsid w:val="001C2B7A"/>
    <w:rsid w:val="001C345A"/>
    <w:rsid w:val="001C37E2"/>
    <w:rsid w:val="001C3A42"/>
    <w:rsid w:val="001C4BAB"/>
    <w:rsid w:val="001C63D0"/>
    <w:rsid w:val="001C6F7F"/>
    <w:rsid w:val="001D08E1"/>
    <w:rsid w:val="001D1E15"/>
    <w:rsid w:val="001D2FE0"/>
    <w:rsid w:val="001D70CF"/>
    <w:rsid w:val="001D7133"/>
    <w:rsid w:val="001D7795"/>
    <w:rsid w:val="001E0161"/>
    <w:rsid w:val="001E27A2"/>
    <w:rsid w:val="001F1CCF"/>
    <w:rsid w:val="001F2267"/>
    <w:rsid w:val="001F39AB"/>
    <w:rsid w:val="001F72BC"/>
    <w:rsid w:val="001F7326"/>
    <w:rsid w:val="00200D1D"/>
    <w:rsid w:val="002051AC"/>
    <w:rsid w:val="00205C8F"/>
    <w:rsid w:val="002070B6"/>
    <w:rsid w:val="0020724F"/>
    <w:rsid w:val="002079EE"/>
    <w:rsid w:val="00207D74"/>
    <w:rsid w:val="00210E9F"/>
    <w:rsid w:val="00212896"/>
    <w:rsid w:val="0021364F"/>
    <w:rsid w:val="00214F7A"/>
    <w:rsid w:val="002219CF"/>
    <w:rsid w:val="002219EA"/>
    <w:rsid w:val="00222FF0"/>
    <w:rsid w:val="00224413"/>
    <w:rsid w:val="00224F32"/>
    <w:rsid w:val="0022621B"/>
    <w:rsid w:val="00226F1C"/>
    <w:rsid w:val="00230578"/>
    <w:rsid w:val="002314E0"/>
    <w:rsid w:val="00233799"/>
    <w:rsid w:val="00235996"/>
    <w:rsid w:val="00236C1E"/>
    <w:rsid w:val="002370AA"/>
    <w:rsid w:val="0023771A"/>
    <w:rsid w:val="0023781D"/>
    <w:rsid w:val="0024027B"/>
    <w:rsid w:val="00242D6C"/>
    <w:rsid w:val="00244488"/>
    <w:rsid w:val="0024479D"/>
    <w:rsid w:val="0024538C"/>
    <w:rsid w:val="002477D5"/>
    <w:rsid w:val="0025000B"/>
    <w:rsid w:val="00250DB3"/>
    <w:rsid w:val="00250E63"/>
    <w:rsid w:val="0025110B"/>
    <w:rsid w:val="00253110"/>
    <w:rsid w:val="00257D61"/>
    <w:rsid w:val="002614EE"/>
    <w:rsid w:val="00263EEB"/>
    <w:rsid w:val="00264A28"/>
    <w:rsid w:val="00265AFB"/>
    <w:rsid w:val="0026661A"/>
    <w:rsid w:val="002666D9"/>
    <w:rsid w:val="0026778A"/>
    <w:rsid w:val="00267B8D"/>
    <w:rsid w:val="00267C7C"/>
    <w:rsid w:val="00271B5D"/>
    <w:rsid w:val="00272B49"/>
    <w:rsid w:val="00276461"/>
    <w:rsid w:val="00276F41"/>
    <w:rsid w:val="0027755B"/>
    <w:rsid w:val="00277E95"/>
    <w:rsid w:val="002822DF"/>
    <w:rsid w:val="00284216"/>
    <w:rsid w:val="00286924"/>
    <w:rsid w:val="002869A5"/>
    <w:rsid w:val="0028738C"/>
    <w:rsid w:val="00287D6E"/>
    <w:rsid w:val="00290520"/>
    <w:rsid w:val="00290C24"/>
    <w:rsid w:val="0029144E"/>
    <w:rsid w:val="00292F57"/>
    <w:rsid w:val="00293208"/>
    <w:rsid w:val="00295171"/>
    <w:rsid w:val="00297143"/>
    <w:rsid w:val="002A10BF"/>
    <w:rsid w:val="002A2F25"/>
    <w:rsid w:val="002A42AB"/>
    <w:rsid w:val="002A479A"/>
    <w:rsid w:val="002A62DC"/>
    <w:rsid w:val="002A7D12"/>
    <w:rsid w:val="002B10EF"/>
    <w:rsid w:val="002B21BC"/>
    <w:rsid w:val="002B49BB"/>
    <w:rsid w:val="002B6D39"/>
    <w:rsid w:val="002B7488"/>
    <w:rsid w:val="002B7EBB"/>
    <w:rsid w:val="002C1A8A"/>
    <w:rsid w:val="002C29FC"/>
    <w:rsid w:val="002C444B"/>
    <w:rsid w:val="002C581E"/>
    <w:rsid w:val="002C6ED7"/>
    <w:rsid w:val="002C7893"/>
    <w:rsid w:val="002D54F6"/>
    <w:rsid w:val="002E0852"/>
    <w:rsid w:val="002E14B2"/>
    <w:rsid w:val="002E465D"/>
    <w:rsid w:val="002E4F96"/>
    <w:rsid w:val="002E530E"/>
    <w:rsid w:val="002E55E2"/>
    <w:rsid w:val="002E748D"/>
    <w:rsid w:val="002E7A98"/>
    <w:rsid w:val="002E7E71"/>
    <w:rsid w:val="002F171E"/>
    <w:rsid w:val="002F245A"/>
    <w:rsid w:val="002F264A"/>
    <w:rsid w:val="002F2C83"/>
    <w:rsid w:val="002F3285"/>
    <w:rsid w:val="002F59D5"/>
    <w:rsid w:val="002F7B28"/>
    <w:rsid w:val="002F7C37"/>
    <w:rsid w:val="003014C4"/>
    <w:rsid w:val="00301B70"/>
    <w:rsid w:val="00304E61"/>
    <w:rsid w:val="00306CFC"/>
    <w:rsid w:val="003101D3"/>
    <w:rsid w:val="003104AA"/>
    <w:rsid w:val="003104B3"/>
    <w:rsid w:val="00311D20"/>
    <w:rsid w:val="003167FB"/>
    <w:rsid w:val="00321A5A"/>
    <w:rsid w:val="00322075"/>
    <w:rsid w:val="003255EC"/>
    <w:rsid w:val="0032670F"/>
    <w:rsid w:val="003303DF"/>
    <w:rsid w:val="00331492"/>
    <w:rsid w:val="00332001"/>
    <w:rsid w:val="00332950"/>
    <w:rsid w:val="00335204"/>
    <w:rsid w:val="00335AF1"/>
    <w:rsid w:val="00337AF1"/>
    <w:rsid w:val="003401E1"/>
    <w:rsid w:val="003408B5"/>
    <w:rsid w:val="003409D7"/>
    <w:rsid w:val="0034221F"/>
    <w:rsid w:val="003424F3"/>
    <w:rsid w:val="00344376"/>
    <w:rsid w:val="003452A1"/>
    <w:rsid w:val="00345441"/>
    <w:rsid w:val="00350221"/>
    <w:rsid w:val="00352439"/>
    <w:rsid w:val="003527C2"/>
    <w:rsid w:val="00352D52"/>
    <w:rsid w:val="00352DC4"/>
    <w:rsid w:val="003530DC"/>
    <w:rsid w:val="00356DA8"/>
    <w:rsid w:val="00357EEC"/>
    <w:rsid w:val="00360D8D"/>
    <w:rsid w:val="0036249B"/>
    <w:rsid w:val="00362574"/>
    <w:rsid w:val="00364071"/>
    <w:rsid w:val="003642AC"/>
    <w:rsid w:val="003655EA"/>
    <w:rsid w:val="003661A1"/>
    <w:rsid w:val="00366EE8"/>
    <w:rsid w:val="00367CD8"/>
    <w:rsid w:val="00370CEA"/>
    <w:rsid w:val="003748A0"/>
    <w:rsid w:val="003866EF"/>
    <w:rsid w:val="003878C4"/>
    <w:rsid w:val="00387AEC"/>
    <w:rsid w:val="00387ED7"/>
    <w:rsid w:val="0039270A"/>
    <w:rsid w:val="00393ADE"/>
    <w:rsid w:val="00393E7D"/>
    <w:rsid w:val="00394900"/>
    <w:rsid w:val="00395FDD"/>
    <w:rsid w:val="00397CAA"/>
    <w:rsid w:val="003A0DAA"/>
    <w:rsid w:val="003A3A17"/>
    <w:rsid w:val="003A411D"/>
    <w:rsid w:val="003A4BA3"/>
    <w:rsid w:val="003A690D"/>
    <w:rsid w:val="003B2158"/>
    <w:rsid w:val="003B3B68"/>
    <w:rsid w:val="003B754E"/>
    <w:rsid w:val="003B7C82"/>
    <w:rsid w:val="003C058D"/>
    <w:rsid w:val="003C0AE4"/>
    <w:rsid w:val="003C1C10"/>
    <w:rsid w:val="003C2D15"/>
    <w:rsid w:val="003C2EF5"/>
    <w:rsid w:val="003C50AF"/>
    <w:rsid w:val="003C679F"/>
    <w:rsid w:val="003C6F30"/>
    <w:rsid w:val="003D0539"/>
    <w:rsid w:val="003D1743"/>
    <w:rsid w:val="003D219F"/>
    <w:rsid w:val="003D251B"/>
    <w:rsid w:val="003D255D"/>
    <w:rsid w:val="003D336D"/>
    <w:rsid w:val="003D5370"/>
    <w:rsid w:val="003D53CB"/>
    <w:rsid w:val="003D70D5"/>
    <w:rsid w:val="003E18BB"/>
    <w:rsid w:val="003E5291"/>
    <w:rsid w:val="003E5CFF"/>
    <w:rsid w:val="003E716B"/>
    <w:rsid w:val="003F03C3"/>
    <w:rsid w:val="003F0487"/>
    <w:rsid w:val="003F0AE6"/>
    <w:rsid w:val="003F1698"/>
    <w:rsid w:val="003F2B56"/>
    <w:rsid w:val="003F49C6"/>
    <w:rsid w:val="003F6A29"/>
    <w:rsid w:val="003F6CB4"/>
    <w:rsid w:val="003F7B36"/>
    <w:rsid w:val="004006E6"/>
    <w:rsid w:val="004051DB"/>
    <w:rsid w:val="0040591E"/>
    <w:rsid w:val="00411346"/>
    <w:rsid w:val="00411B36"/>
    <w:rsid w:val="00414740"/>
    <w:rsid w:val="00414925"/>
    <w:rsid w:val="004152DD"/>
    <w:rsid w:val="0041684D"/>
    <w:rsid w:val="00420BC7"/>
    <w:rsid w:val="00421AEF"/>
    <w:rsid w:val="00421DCA"/>
    <w:rsid w:val="00422E81"/>
    <w:rsid w:val="00425A44"/>
    <w:rsid w:val="004261C9"/>
    <w:rsid w:val="00426484"/>
    <w:rsid w:val="00426C4E"/>
    <w:rsid w:val="00431AEB"/>
    <w:rsid w:val="00435FA7"/>
    <w:rsid w:val="00436DA7"/>
    <w:rsid w:val="004432BD"/>
    <w:rsid w:val="00443928"/>
    <w:rsid w:val="00443BCB"/>
    <w:rsid w:val="0044653B"/>
    <w:rsid w:val="00450E36"/>
    <w:rsid w:val="004510A3"/>
    <w:rsid w:val="004533BE"/>
    <w:rsid w:val="00453A7E"/>
    <w:rsid w:val="00455158"/>
    <w:rsid w:val="00455AC2"/>
    <w:rsid w:val="00457805"/>
    <w:rsid w:val="004712C7"/>
    <w:rsid w:val="00471E4F"/>
    <w:rsid w:val="004771E8"/>
    <w:rsid w:val="00477EE0"/>
    <w:rsid w:val="00480B7A"/>
    <w:rsid w:val="00480DCD"/>
    <w:rsid w:val="00482184"/>
    <w:rsid w:val="0048356E"/>
    <w:rsid w:val="00483659"/>
    <w:rsid w:val="00495839"/>
    <w:rsid w:val="00496402"/>
    <w:rsid w:val="004A2C65"/>
    <w:rsid w:val="004A3909"/>
    <w:rsid w:val="004A430C"/>
    <w:rsid w:val="004A56C9"/>
    <w:rsid w:val="004A7296"/>
    <w:rsid w:val="004B1607"/>
    <w:rsid w:val="004B1715"/>
    <w:rsid w:val="004B30D5"/>
    <w:rsid w:val="004B348A"/>
    <w:rsid w:val="004B371F"/>
    <w:rsid w:val="004B477F"/>
    <w:rsid w:val="004C11BE"/>
    <w:rsid w:val="004C1330"/>
    <w:rsid w:val="004C1927"/>
    <w:rsid w:val="004C25B5"/>
    <w:rsid w:val="004D2201"/>
    <w:rsid w:val="004D4CA6"/>
    <w:rsid w:val="004D7A09"/>
    <w:rsid w:val="004E1C86"/>
    <w:rsid w:val="004E2DA9"/>
    <w:rsid w:val="004E34B2"/>
    <w:rsid w:val="004E47D8"/>
    <w:rsid w:val="004E56A4"/>
    <w:rsid w:val="004E5890"/>
    <w:rsid w:val="004E6246"/>
    <w:rsid w:val="004F0E01"/>
    <w:rsid w:val="004F539F"/>
    <w:rsid w:val="00500759"/>
    <w:rsid w:val="00501F0F"/>
    <w:rsid w:val="00503115"/>
    <w:rsid w:val="00503FE2"/>
    <w:rsid w:val="00507AC8"/>
    <w:rsid w:val="00513F7B"/>
    <w:rsid w:val="00514506"/>
    <w:rsid w:val="00514ABC"/>
    <w:rsid w:val="00515BBE"/>
    <w:rsid w:val="00522D5A"/>
    <w:rsid w:val="00524EE5"/>
    <w:rsid w:val="00526243"/>
    <w:rsid w:val="005277C8"/>
    <w:rsid w:val="00530DCB"/>
    <w:rsid w:val="0053121F"/>
    <w:rsid w:val="00531A4D"/>
    <w:rsid w:val="00532663"/>
    <w:rsid w:val="005335A6"/>
    <w:rsid w:val="00533C57"/>
    <w:rsid w:val="00534931"/>
    <w:rsid w:val="00534E91"/>
    <w:rsid w:val="00536782"/>
    <w:rsid w:val="005369C2"/>
    <w:rsid w:val="00536CC9"/>
    <w:rsid w:val="00536E2D"/>
    <w:rsid w:val="00541053"/>
    <w:rsid w:val="0054696F"/>
    <w:rsid w:val="0054738D"/>
    <w:rsid w:val="00551054"/>
    <w:rsid w:val="0055295E"/>
    <w:rsid w:val="005558EC"/>
    <w:rsid w:val="00555E58"/>
    <w:rsid w:val="005611EB"/>
    <w:rsid w:val="005612B8"/>
    <w:rsid w:val="0056221C"/>
    <w:rsid w:val="0056344D"/>
    <w:rsid w:val="0056376D"/>
    <w:rsid w:val="00563E86"/>
    <w:rsid w:val="00564543"/>
    <w:rsid w:val="005647E8"/>
    <w:rsid w:val="00566631"/>
    <w:rsid w:val="00567788"/>
    <w:rsid w:val="005707BF"/>
    <w:rsid w:val="00573F51"/>
    <w:rsid w:val="00576DF7"/>
    <w:rsid w:val="005806C3"/>
    <w:rsid w:val="0058126F"/>
    <w:rsid w:val="005852DA"/>
    <w:rsid w:val="00585BF4"/>
    <w:rsid w:val="00585E55"/>
    <w:rsid w:val="005861DD"/>
    <w:rsid w:val="005866A0"/>
    <w:rsid w:val="005875B8"/>
    <w:rsid w:val="0058796B"/>
    <w:rsid w:val="005909B9"/>
    <w:rsid w:val="0059120D"/>
    <w:rsid w:val="005918FB"/>
    <w:rsid w:val="00591DC7"/>
    <w:rsid w:val="005928FA"/>
    <w:rsid w:val="00593477"/>
    <w:rsid w:val="00595656"/>
    <w:rsid w:val="0059669E"/>
    <w:rsid w:val="005A0844"/>
    <w:rsid w:val="005A47A0"/>
    <w:rsid w:val="005A50F4"/>
    <w:rsid w:val="005A7463"/>
    <w:rsid w:val="005B077D"/>
    <w:rsid w:val="005B07DE"/>
    <w:rsid w:val="005B0E62"/>
    <w:rsid w:val="005B2474"/>
    <w:rsid w:val="005B30C6"/>
    <w:rsid w:val="005B55B7"/>
    <w:rsid w:val="005B69B6"/>
    <w:rsid w:val="005B7B73"/>
    <w:rsid w:val="005C0CA6"/>
    <w:rsid w:val="005C1EB1"/>
    <w:rsid w:val="005C3034"/>
    <w:rsid w:val="005C39A8"/>
    <w:rsid w:val="005C51B9"/>
    <w:rsid w:val="005D047C"/>
    <w:rsid w:val="005D1860"/>
    <w:rsid w:val="005D4009"/>
    <w:rsid w:val="005D4C2F"/>
    <w:rsid w:val="005D5399"/>
    <w:rsid w:val="005E0C65"/>
    <w:rsid w:val="005E3A7E"/>
    <w:rsid w:val="005E4BB0"/>
    <w:rsid w:val="005E6810"/>
    <w:rsid w:val="005E6E71"/>
    <w:rsid w:val="005F04F0"/>
    <w:rsid w:val="005F0626"/>
    <w:rsid w:val="005F1C36"/>
    <w:rsid w:val="005F51A2"/>
    <w:rsid w:val="005F613A"/>
    <w:rsid w:val="005F682D"/>
    <w:rsid w:val="005F79A3"/>
    <w:rsid w:val="00600BBE"/>
    <w:rsid w:val="00604E2A"/>
    <w:rsid w:val="006067E8"/>
    <w:rsid w:val="00606C1D"/>
    <w:rsid w:val="006104E8"/>
    <w:rsid w:val="006114D4"/>
    <w:rsid w:val="006159B8"/>
    <w:rsid w:val="00620888"/>
    <w:rsid w:val="00622C89"/>
    <w:rsid w:val="006255FD"/>
    <w:rsid w:val="00627F52"/>
    <w:rsid w:val="00632DD6"/>
    <w:rsid w:val="00632F99"/>
    <w:rsid w:val="006345C6"/>
    <w:rsid w:val="0063717B"/>
    <w:rsid w:val="00640565"/>
    <w:rsid w:val="00640780"/>
    <w:rsid w:val="00641BBB"/>
    <w:rsid w:val="00642EF2"/>
    <w:rsid w:val="00644744"/>
    <w:rsid w:val="0064634B"/>
    <w:rsid w:val="006474B7"/>
    <w:rsid w:val="006477B7"/>
    <w:rsid w:val="0065063C"/>
    <w:rsid w:val="00650F6B"/>
    <w:rsid w:val="00652059"/>
    <w:rsid w:val="006552DF"/>
    <w:rsid w:val="00662BED"/>
    <w:rsid w:val="0066466D"/>
    <w:rsid w:val="0066512B"/>
    <w:rsid w:val="00665E59"/>
    <w:rsid w:val="00666B5C"/>
    <w:rsid w:val="00672283"/>
    <w:rsid w:val="00674F59"/>
    <w:rsid w:val="00676F4D"/>
    <w:rsid w:val="0068119E"/>
    <w:rsid w:val="006811E1"/>
    <w:rsid w:val="00683477"/>
    <w:rsid w:val="006840B2"/>
    <w:rsid w:val="00685092"/>
    <w:rsid w:val="006853FF"/>
    <w:rsid w:val="00685A0F"/>
    <w:rsid w:val="00687598"/>
    <w:rsid w:val="00687714"/>
    <w:rsid w:val="00690CDB"/>
    <w:rsid w:val="006910D9"/>
    <w:rsid w:val="00691EB1"/>
    <w:rsid w:val="00697D9E"/>
    <w:rsid w:val="006A2A3A"/>
    <w:rsid w:val="006A3431"/>
    <w:rsid w:val="006A5C44"/>
    <w:rsid w:val="006A6D43"/>
    <w:rsid w:val="006A6EF2"/>
    <w:rsid w:val="006A776C"/>
    <w:rsid w:val="006B0281"/>
    <w:rsid w:val="006C141E"/>
    <w:rsid w:val="006C26EE"/>
    <w:rsid w:val="006D206A"/>
    <w:rsid w:val="006D23CF"/>
    <w:rsid w:val="006D27A1"/>
    <w:rsid w:val="006D4BF0"/>
    <w:rsid w:val="006D4F4A"/>
    <w:rsid w:val="006D5159"/>
    <w:rsid w:val="006D7481"/>
    <w:rsid w:val="006D75FD"/>
    <w:rsid w:val="006E0417"/>
    <w:rsid w:val="006E0698"/>
    <w:rsid w:val="006E1AEE"/>
    <w:rsid w:val="006E1BA9"/>
    <w:rsid w:val="006E4247"/>
    <w:rsid w:val="006E7934"/>
    <w:rsid w:val="006F2F15"/>
    <w:rsid w:val="006F4969"/>
    <w:rsid w:val="006F4EBA"/>
    <w:rsid w:val="007013CE"/>
    <w:rsid w:val="0070290D"/>
    <w:rsid w:val="00702982"/>
    <w:rsid w:val="0070335A"/>
    <w:rsid w:val="00706CB9"/>
    <w:rsid w:val="00716821"/>
    <w:rsid w:val="00716DEB"/>
    <w:rsid w:val="00717285"/>
    <w:rsid w:val="00721C54"/>
    <w:rsid w:val="00722BEB"/>
    <w:rsid w:val="00730818"/>
    <w:rsid w:val="0073083A"/>
    <w:rsid w:val="007312ED"/>
    <w:rsid w:val="00731746"/>
    <w:rsid w:val="00731B16"/>
    <w:rsid w:val="00734C6E"/>
    <w:rsid w:val="00740216"/>
    <w:rsid w:val="0074102E"/>
    <w:rsid w:val="007422D7"/>
    <w:rsid w:val="00744097"/>
    <w:rsid w:val="00747FC4"/>
    <w:rsid w:val="00751C71"/>
    <w:rsid w:val="00754D63"/>
    <w:rsid w:val="0075561D"/>
    <w:rsid w:val="00756A92"/>
    <w:rsid w:val="00757060"/>
    <w:rsid w:val="00761FA9"/>
    <w:rsid w:val="0076345D"/>
    <w:rsid w:val="0076400E"/>
    <w:rsid w:val="00764933"/>
    <w:rsid w:val="00770B5C"/>
    <w:rsid w:val="00771E51"/>
    <w:rsid w:val="0077481E"/>
    <w:rsid w:val="00781CAD"/>
    <w:rsid w:val="0079051E"/>
    <w:rsid w:val="00790A1A"/>
    <w:rsid w:val="0079498E"/>
    <w:rsid w:val="00797A4C"/>
    <w:rsid w:val="007A1613"/>
    <w:rsid w:val="007A1FE1"/>
    <w:rsid w:val="007A2C08"/>
    <w:rsid w:val="007A34D5"/>
    <w:rsid w:val="007A51E2"/>
    <w:rsid w:val="007B03F4"/>
    <w:rsid w:val="007B1A1A"/>
    <w:rsid w:val="007B576F"/>
    <w:rsid w:val="007B6961"/>
    <w:rsid w:val="007C16FA"/>
    <w:rsid w:val="007C1842"/>
    <w:rsid w:val="007C461F"/>
    <w:rsid w:val="007D2038"/>
    <w:rsid w:val="007D3223"/>
    <w:rsid w:val="007D55A8"/>
    <w:rsid w:val="007D7378"/>
    <w:rsid w:val="007E3242"/>
    <w:rsid w:val="007E3FE0"/>
    <w:rsid w:val="007E75FE"/>
    <w:rsid w:val="007E7724"/>
    <w:rsid w:val="007F09A7"/>
    <w:rsid w:val="007F1433"/>
    <w:rsid w:val="007F194D"/>
    <w:rsid w:val="007F31FD"/>
    <w:rsid w:val="007F5C81"/>
    <w:rsid w:val="007F7766"/>
    <w:rsid w:val="007F7DFE"/>
    <w:rsid w:val="00801E7C"/>
    <w:rsid w:val="00806632"/>
    <w:rsid w:val="00806744"/>
    <w:rsid w:val="00807C0B"/>
    <w:rsid w:val="008103EF"/>
    <w:rsid w:val="00811CCD"/>
    <w:rsid w:val="00811E73"/>
    <w:rsid w:val="00812228"/>
    <w:rsid w:val="0081267A"/>
    <w:rsid w:val="0081655F"/>
    <w:rsid w:val="00817CCD"/>
    <w:rsid w:val="008205D9"/>
    <w:rsid w:val="00820772"/>
    <w:rsid w:val="0082161F"/>
    <w:rsid w:val="00823EA1"/>
    <w:rsid w:val="0082490D"/>
    <w:rsid w:val="0082587D"/>
    <w:rsid w:val="00825E24"/>
    <w:rsid w:val="008317A4"/>
    <w:rsid w:val="0083220F"/>
    <w:rsid w:val="00833077"/>
    <w:rsid w:val="0083350E"/>
    <w:rsid w:val="00835010"/>
    <w:rsid w:val="0083770E"/>
    <w:rsid w:val="00842EE8"/>
    <w:rsid w:val="00843037"/>
    <w:rsid w:val="00844650"/>
    <w:rsid w:val="00852933"/>
    <w:rsid w:val="00855D6B"/>
    <w:rsid w:val="008578B2"/>
    <w:rsid w:val="00860A73"/>
    <w:rsid w:val="00860E64"/>
    <w:rsid w:val="008628A7"/>
    <w:rsid w:val="008628A9"/>
    <w:rsid w:val="0086293D"/>
    <w:rsid w:val="008640F4"/>
    <w:rsid w:val="008651B4"/>
    <w:rsid w:val="00871704"/>
    <w:rsid w:val="008719F2"/>
    <w:rsid w:val="00873040"/>
    <w:rsid w:val="0087405F"/>
    <w:rsid w:val="00874407"/>
    <w:rsid w:val="00876175"/>
    <w:rsid w:val="008777DA"/>
    <w:rsid w:val="0088189E"/>
    <w:rsid w:val="00882178"/>
    <w:rsid w:val="00884C29"/>
    <w:rsid w:val="0088691F"/>
    <w:rsid w:val="00887289"/>
    <w:rsid w:val="00891088"/>
    <w:rsid w:val="008910F2"/>
    <w:rsid w:val="008961BD"/>
    <w:rsid w:val="008A0276"/>
    <w:rsid w:val="008A0F5C"/>
    <w:rsid w:val="008A4DFE"/>
    <w:rsid w:val="008A6C66"/>
    <w:rsid w:val="008A7E77"/>
    <w:rsid w:val="008B00EE"/>
    <w:rsid w:val="008B231A"/>
    <w:rsid w:val="008B3794"/>
    <w:rsid w:val="008B471F"/>
    <w:rsid w:val="008B49C3"/>
    <w:rsid w:val="008B53CC"/>
    <w:rsid w:val="008B56F1"/>
    <w:rsid w:val="008B6446"/>
    <w:rsid w:val="008B6899"/>
    <w:rsid w:val="008C00C3"/>
    <w:rsid w:val="008C19D1"/>
    <w:rsid w:val="008C2717"/>
    <w:rsid w:val="008C2A0E"/>
    <w:rsid w:val="008C34D9"/>
    <w:rsid w:val="008C485A"/>
    <w:rsid w:val="008C548C"/>
    <w:rsid w:val="008C65EC"/>
    <w:rsid w:val="008D1E09"/>
    <w:rsid w:val="008D4F14"/>
    <w:rsid w:val="008D6EE6"/>
    <w:rsid w:val="008E55A3"/>
    <w:rsid w:val="008E73DD"/>
    <w:rsid w:val="008E77DC"/>
    <w:rsid w:val="008F00CE"/>
    <w:rsid w:val="008F0B15"/>
    <w:rsid w:val="008F39A5"/>
    <w:rsid w:val="008F5B09"/>
    <w:rsid w:val="008F5BF9"/>
    <w:rsid w:val="00904850"/>
    <w:rsid w:val="00904C58"/>
    <w:rsid w:val="00906E88"/>
    <w:rsid w:val="00910EBE"/>
    <w:rsid w:val="009116D7"/>
    <w:rsid w:val="00912CF6"/>
    <w:rsid w:val="00912CF8"/>
    <w:rsid w:val="00913A8A"/>
    <w:rsid w:val="009162A8"/>
    <w:rsid w:val="009209CD"/>
    <w:rsid w:val="009213DC"/>
    <w:rsid w:val="00921469"/>
    <w:rsid w:val="0092284D"/>
    <w:rsid w:val="0092320C"/>
    <w:rsid w:val="00924187"/>
    <w:rsid w:val="009279CB"/>
    <w:rsid w:val="00930070"/>
    <w:rsid w:val="00930829"/>
    <w:rsid w:val="00932266"/>
    <w:rsid w:val="0093231B"/>
    <w:rsid w:val="00933AE7"/>
    <w:rsid w:val="00934166"/>
    <w:rsid w:val="0093513D"/>
    <w:rsid w:val="0093528F"/>
    <w:rsid w:val="0093651A"/>
    <w:rsid w:val="00936B78"/>
    <w:rsid w:val="009376F0"/>
    <w:rsid w:val="00940471"/>
    <w:rsid w:val="00940B20"/>
    <w:rsid w:val="009410B6"/>
    <w:rsid w:val="00942A5D"/>
    <w:rsid w:val="009445A2"/>
    <w:rsid w:val="00946690"/>
    <w:rsid w:val="0095110F"/>
    <w:rsid w:val="0095150F"/>
    <w:rsid w:val="009518C7"/>
    <w:rsid w:val="00952FB0"/>
    <w:rsid w:val="00954634"/>
    <w:rsid w:val="00954FB4"/>
    <w:rsid w:val="009552DA"/>
    <w:rsid w:val="009554D5"/>
    <w:rsid w:val="00960740"/>
    <w:rsid w:val="00961DEB"/>
    <w:rsid w:val="009624FB"/>
    <w:rsid w:val="009627C5"/>
    <w:rsid w:val="00963AC6"/>
    <w:rsid w:val="009703C3"/>
    <w:rsid w:val="00970986"/>
    <w:rsid w:val="00973FED"/>
    <w:rsid w:val="00977FC6"/>
    <w:rsid w:val="00981021"/>
    <w:rsid w:val="009815FF"/>
    <w:rsid w:val="00981F92"/>
    <w:rsid w:val="00984B2F"/>
    <w:rsid w:val="00984FED"/>
    <w:rsid w:val="00985421"/>
    <w:rsid w:val="009916BB"/>
    <w:rsid w:val="00992D61"/>
    <w:rsid w:val="009951EF"/>
    <w:rsid w:val="0099577C"/>
    <w:rsid w:val="00995A35"/>
    <w:rsid w:val="00996174"/>
    <w:rsid w:val="00996BD7"/>
    <w:rsid w:val="00996E2B"/>
    <w:rsid w:val="009A2465"/>
    <w:rsid w:val="009A33A4"/>
    <w:rsid w:val="009A33A7"/>
    <w:rsid w:val="009A586B"/>
    <w:rsid w:val="009A7963"/>
    <w:rsid w:val="009B1B79"/>
    <w:rsid w:val="009B2682"/>
    <w:rsid w:val="009B2EFA"/>
    <w:rsid w:val="009B4E1B"/>
    <w:rsid w:val="009B7AB9"/>
    <w:rsid w:val="009B7E9B"/>
    <w:rsid w:val="009B7EF3"/>
    <w:rsid w:val="009C0A43"/>
    <w:rsid w:val="009C4975"/>
    <w:rsid w:val="009C4E46"/>
    <w:rsid w:val="009C6A0D"/>
    <w:rsid w:val="009D27ED"/>
    <w:rsid w:val="009D3878"/>
    <w:rsid w:val="009D54F1"/>
    <w:rsid w:val="009D76A7"/>
    <w:rsid w:val="009E0F63"/>
    <w:rsid w:val="009E18FC"/>
    <w:rsid w:val="009E2E33"/>
    <w:rsid w:val="009E320F"/>
    <w:rsid w:val="009E41D7"/>
    <w:rsid w:val="009E714E"/>
    <w:rsid w:val="009F1592"/>
    <w:rsid w:val="009F26B7"/>
    <w:rsid w:val="00A00A4C"/>
    <w:rsid w:val="00A015F3"/>
    <w:rsid w:val="00A02D38"/>
    <w:rsid w:val="00A03349"/>
    <w:rsid w:val="00A04510"/>
    <w:rsid w:val="00A07BB0"/>
    <w:rsid w:val="00A1193E"/>
    <w:rsid w:val="00A11C76"/>
    <w:rsid w:val="00A13B70"/>
    <w:rsid w:val="00A13E17"/>
    <w:rsid w:val="00A13EDE"/>
    <w:rsid w:val="00A14815"/>
    <w:rsid w:val="00A15191"/>
    <w:rsid w:val="00A15967"/>
    <w:rsid w:val="00A16BA5"/>
    <w:rsid w:val="00A17224"/>
    <w:rsid w:val="00A179AA"/>
    <w:rsid w:val="00A2733F"/>
    <w:rsid w:val="00A32573"/>
    <w:rsid w:val="00A32B28"/>
    <w:rsid w:val="00A34187"/>
    <w:rsid w:val="00A34523"/>
    <w:rsid w:val="00A36D08"/>
    <w:rsid w:val="00A374B9"/>
    <w:rsid w:val="00A3784C"/>
    <w:rsid w:val="00A40075"/>
    <w:rsid w:val="00A4059B"/>
    <w:rsid w:val="00A41FD1"/>
    <w:rsid w:val="00A43179"/>
    <w:rsid w:val="00A4454B"/>
    <w:rsid w:val="00A446C0"/>
    <w:rsid w:val="00A44C34"/>
    <w:rsid w:val="00A463BE"/>
    <w:rsid w:val="00A46846"/>
    <w:rsid w:val="00A500A6"/>
    <w:rsid w:val="00A50851"/>
    <w:rsid w:val="00A5318B"/>
    <w:rsid w:val="00A5624D"/>
    <w:rsid w:val="00A5684A"/>
    <w:rsid w:val="00A57D05"/>
    <w:rsid w:val="00A625B0"/>
    <w:rsid w:val="00A6278B"/>
    <w:rsid w:val="00A62B07"/>
    <w:rsid w:val="00A654FC"/>
    <w:rsid w:val="00A65A43"/>
    <w:rsid w:val="00A661C0"/>
    <w:rsid w:val="00A71F22"/>
    <w:rsid w:val="00A7259F"/>
    <w:rsid w:val="00A73F0F"/>
    <w:rsid w:val="00A774A5"/>
    <w:rsid w:val="00A83550"/>
    <w:rsid w:val="00A877DE"/>
    <w:rsid w:val="00A87D47"/>
    <w:rsid w:val="00A91687"/>
    <w:rsid w:val="00A94614"/>
    <w:rsid w:val="00A94880"/>
    <w:rsid w:val="00A973F7"/>
    <w:rsid w:val="00A977D4"/>
    <w:rsid w:val="00A97DAF"/>
    <w:rsid w:val="00AA140B"/>
    <w:rsid w:val="00AA14F0"/>
    <w:rsid w:val="00AA2803"/>
    <w:rsid w:val="00AA3F85"/>
    <w:rsid w:val="00AA41AF"/>
    <w:rsid w:val="00AA4648"/>
    <w:rsid w:val="00AA5BA9"/>
    <w:rsid w:val="00AA6576"/>
    <w:rsid w:val="00AA79C0"/>
    <w:rsid w:val="00AB2196"/>
    <w:rsid w:val="00AB3B2A"/>
    <w:rsid w:val="00AB3C1B"/>
    <w:rsid w:val="00AB49DC"/>
    <w:rsid w:val="00AB505E"/>
    <w:rsid w:val="00AB7965"/>
    <w:rsid w:val="00AC125A"/>
    <w:rsid w:val="00AC5647"/>
    <w:rsid w:val="00AC59D3"/>
    <w:rsid w:val="00AC7C64"/>
    <w:rsid w:val="00AD14E2"/>
    <w:rsid w:val="00AD1635"/>
    <w:rsid w:val="00AD1DC8"/>
    <w:rsid w:val="00AD2A2E"/>
    <w:rsid w:val="00AD41C3"/>
    <w:rsid w:val="00AD53A7"/>
    <w:rsid w:val="00AD5FFB"/>
    <w:rsid w:val="00AD646D"/>
    <w:rsid w:val="00AD76DC"/>
    <w:rsid w:val="00AE14F1"/>
    <w:rsid w:val="00AF1DD8"/>
    <w:rsid w:val="00AF3AED"/>
    <w:rsid w:val="00AF514C"/>
    <w:rsid w:val="00AF52F1"/>
    <w:rsid w:val="00AF590E"/>
    <w:rsid w:val="00AF645F"/>
    <w:rsid w:val="00AF7555"/>
    <w:rsid w:val="00B01E19"/>
    <w:rsid w:val="00B01F93"/>
    <w:rsid w:val="00B0474F"/>
    <w:rsid w:val="00B06186"/>
    <w:rsid w:val="00B0625D"/>
    <w:rsid w:val="00B07174"/>
    <w:rsid w:val="00B10611"/>
    <w:rsid w:val="00B10EC1"/>
    <w:rsid w:val="00B12A4B"/>
    <w:rsid w:val="00B1580C"/>
    <w:rsid w:val="00B16B56"/>
    <w:rsid w:val="00B16BF3"/>
    <w:rsid w:val="00B17D9C"/>
    <w:rsid w:val="00B25E65"/>
    <w:rsid w:val="00B267E2"/>
    <w:rsid w:val="00B26B20"/>
    <w:rsid w:val="00B27A70"/>
    <w:rsid w:val="00B30B60"/>
    <w:rsid w:val="00B33C48"/>
    <w:rsid w:val="00B36532"/>
    <w:rsid w:val="00B3678E"/>
    <w:rsid w:val="00B36E95"/>
    <w:rsid w:val="00B37BE7"/>
    <w:rsid w:val="00B42991"/>
    <w:rsid w:val="00B47351"/>
    <w:rsid w:val="00B47BE4"/>
    <w:rsid w:val="00B507D8"/>
    <w:rsid w:val="00B50FBB"/>
    <w:rsid w:val="00B53844"/>
    <w:rsid w:val="00B55271"/>
    <w:rsid w:val="00B55952"/>
    <w:rsid w:val="00B56D28"/>
    <w:rsid w:val="00B57856"/>
    <w:rsid w:val="00B57944"/>
    <w:rsid w:val="00B615BD"/>
    <w:rsid w:val="00B64531"/>
    <w:rsid w:val="00B67C74"/>
    <w:rsid w:val="00B71963"/>
    <w:rsid w:val="00B71F92"/>
    <w:rsid w:val="00B80404"/>
    <w:rsid w:val="00B80C21"/>
    <w:rsid w:val="00B85685"/>
    <w:rsid w:val="00B87BC7"/>
    <w:rsid w:val="00B91667"/>
    <w:rsid w:val="00B91759"/>
    <w:rsid w:val="00B930FA"/>
    <w:rsid w:val="00B94248"/>
    <w:rsid w:val="00B954CD"/>
    <w:rsid w:val="00BA21C3"/>
    <w:rsid w:val="00BA49EA"/>
    <w:rsid w:val="00BA60B4"/>
    <w:rsid w:val="00BA6AB1"/>
    <w:rsid w:val="00BB080E"/>
    <w:rsid w:val="00BB6720"/>
    <w:rsid w:val="00BB6AAB"/>
    <w:rsid w:val="00BB74C9"/>
    <w:rsid w:val="00BC0849"/>
    <w:rsid w:val="00BC0D2C"/>
    <w:rsid w:val="00BC105A"/>
    <w:rsid w:val="00BC31DD"/>
    <w:rsid w:val="00BC42A7"/>
    <w:rsid w:val="00BC4AE7"/>
    <w:rsid w:val="00BC5357"/>
    <w:rsid w:val="00BC6DCB"/>
    <w:rsid w:val="00BD08E5"/>
    <w:rsid w:val="00BD0DE4"/>
    <w:rsid w:val="00BD36B4"/>
    <w:rsid w:val="00BD3A42"/>
    <w:rsid w:val="00BD7185"/>
    <w:rsid w:val="00BE1D16"/>
    <w:rsid w:val="00BE20D9"/>
    <w:rsid w:val="00BE2225"/>
    <w:rsid w:val="00BE54F7"/>
    <w:rsid w:val="00BE7952"/>
    <w:rsid w:val="00BF16D4"/>
    <w:rsid w:val="00BF2482"/>
    <w:rsid w:val="00BF4381"/>
    <w:rsid w:val="00BF5D28"/>
    <w:rsid w:val="00BF61CF"/>
    <w:rsid w:val="00BF6EE3"/>
    <w:rsid w:val="00BF75B8"/>
    <w:rsid w:val="00C011E7"/>
    <w:rsid w:val="00C01734"/>
    <w:rsid w:val="00C0445D"/>
    <w:rsid w:val="00C07279"/>
    <w:rsid w:val="00C12287"/>
    <w:rsid w:val="00C12697"/>
    <w:rsid w:val="00C13205"/>
    <w:rsid w:val="00C13245"/>
    <w:rsid w:val="00C15C21"/>
    <w:rsid w:val="00C17CDB"/>
    <w:rsid w:val="00C17FC5"/>
    <w:rsid w:val="00C2180F"/>
    <w:rsid w:val="00C21834"/>
    <w:rsid w:val="00C224CA"/>
    <w:rsid w:val="00C23AAB"/>
    <w:rsid w:val="00C25049"/>
    <w:rsid w:val="00C26110"/>
    <w:rsid w:val="00C264F6"/>
    <w:rsid w:val="00C26AF7"/>
    <w:rsid w:val="00C26BFA"/>
    <w:rsid w:val="00C32300"/>
    <w:rsid w:val="00C357C4"/>
    <w:rsid w:val="00C35A93"/>
    <w:rsid w:val="00C36048"/>
    <w:rsid w:val="00C36B0A"/>
    <w:rsid w:val="00C372B2"/>
    <w:rsid w:val="00C4187B"/>
    <w:rsid w:val="00C41978"/>
    <w:rsid w:val="00C47D44"/>
    <w:rsid w:val="00C5004E"/>
    <w:rsid w:val="00C523EB"/>
    <w:rsid w:val="00C52AE9"/>
    <w:rsid w:val="00C532AF"/>
    <w:rsid w:val="00C54212"/>
    <w:rsid w:val="00C64BD3"/>
    <w:rsid w:val="00C650A0"/>
    <w:rsid w:val="00C67687"/>
    <w:rsid w:val="00C67AEA"/>
    <w:rsid w:val="00C70BF6"/>
    <w:rsid w:val="00C72926"/>
    <w:rsid w:val="00C8045C"/>
    <w:rsid w:val="00C811AE"/>
    <w:rsid w:val="00C812B5"/>
    <w:rsid w:val="00C85202"/>
    <w:rsid w:val="00C87DDF"/>
    <w:rsid w:val="00C9068D"/>
    <w:rsid w:val="00C94063"/>
    <w:rsid w:val="00C95725"/>
    <w:rsid w:val="00C964DE"/>
    <w:rsid w:val="00C972A4"/>
    <w:rsid w:val="00CA02FB"/>
    <w:rsid w:val="00CA0FAA"/>
    <w:rsid w:val="00CA12DC"/>
    <w:rsid w:val="00CA3D0A"/>
    <w:rsid w:val="00CA428D"/>
    <w:rsid w:val="00CA4593"/>
    <w:rsid w:val="00CA54DC"/>
    <w:rsid w:val="00CA70EE"/>
    <w:rsid w:val="00CB176D"/>
    <w:rsid w:val="00CB1A29"/>
    <w:rsid w:val="00CB1F38"/>
    <w:rsid w:val="00CB50ED"/>
    <w:rsid w:val="00CB693D"/>
    <w:rsid w:val="00CB7657"/>
    <w:rsid w:val="00CC0657"/>
    <w:rsid w:val="00CC11E2"/>
    <w:rsid w:val="00CC15BA"/>
    <w:rsid w:val="00CC3226"/>
    <w:rsid w:val="00CC3289"/>
    <w:rsid w:val="00CC37A7"/>
    <w:rsid w:val="00CC5B5E"/>
    <w:rsid w:val="00CC6458"/>
    <w:rsid w:val="00CC6C3A"/>
    <w:rsid w:val="00CC77C0"/>
    <w:rsid w:val="00CC7F00"/>
    <w:rsid w:val="00CD023D"/>
    <w:rsid w:val="00CD2947"/>
    <w:rsid w:val="00CD32C2"/>
    <w:rsid w:val="00CD5669"/>
    <w:rsid w:val="00CD5992"/>
    <w:rsid w:val="00CD794D"/>
    <w:rsid w:val="00CD79E5"/>
    <w:rsid w:val="00CD7CBB"/>
    <w:rsid w:val="00CE0506"/>
    <w:rsid w:val="00CE3533"/>
    <w:rsid w:val="00CE587E"/>
    <w:rsid w:val="00CE6241"/>
    <w:rsid w:val="00CF06C6"/>
    <w:rsid w:val="00CF7730"/>
    <w:rsid w:val="00CF7852"/>
    <w:rsid w:val="00D0133C"/>
    <w:rsid w:val="00D02BBD"/>
    <w:rsid w:val="00D0388A"/>
    <w:rsid w:val="00D0565F"/>
    <w:rsid w:val="00D06CBE"/>
    <w:rsid w:val="00D06EB4"/>
    <w:rsid w:val="00D0756E"/>
    <w:rsid w:val="00D0778B"/>
    <w:rsid w:val="00D0780F"/>
    <w:rsid w:val="00D10721"/>
    <w:rsid w:val="00D1117C"/>
    <w:rsid w:val="00D12C11"/>
    <w:rsid w:val="00D1443F"/>
    <w:rsid w:val="00D14650"/>
    <w:rsid w:val="00D150ED"/>
    <w:rsid w:val="00D177CE"/>
    <w:rsid w:val="00D210F8"/>
    <w:rsid w:val="00D22D6B"/>
    <w:rsid w:val="00D23292"/>
    <w:rsid w:val="00D24247"/>
    <w:rsid w:val="00D26C34"/>
    <w:rsid w:val="00D30681"/>
    <w:rsid w:val="00D30BE4"/>
    <w:rsid w:val="00D31212"/>
    <w:rsid w:val="00D31A9C"/>
    <w:rsid w:val="00D31BB3"/>
    <w:rsid w:val="00D3354D"/>
    <w:rsid w:val="00D33BFC"/>
    <w:rsid w:val="00D41875"/>
    <w:rsid w:val="00D4294C"/>
    <w:rsid w:val="00D45258"/>
    <w:rsid w:val="00D50071"/>
    <w:rsid w:val="00D51B31"/>
    <w:rsid w:val="00D52892"/>
    <w:rsid w:val="00D559B2"/>
    <w:rsid w:val="00D56BEB"/>
    <w:rsid w:val="00D6037C"/>
    <w:rsid w:val="00D60C57"/>
    <w:rsid w:val="00D61286"/>
    <w:rsid w:val="00D6217E"/>
    <w:rsid w:val="00D63D8C"/>
    <w:rsid w:val="00D645B0"/>
    <w:rsid w:val="00D6482D"/>
    <w:rsid w:val="00D653F1"/>
    <w:rsid w:val="00D6667D"/>
    <w:rsid w:val="00D66C35"/>
    <w:rsid w:val="00D67044"/>
    <w:rsid w:val="00D6710D"/>
    <w:rsid w:val="00D72271"/>
    <w:rsid w:val="00D7329A"/>
    <w:rsid w:val="00D73552"/>
    <w:rsid w:val="00D737DD"/>
    <w:rsid w:val="00D73CBC"/>
    <w:rsid w:val="00D74314"/>
    <w:rsid w:val="00D75492"/>
    <w:rsid w:val="00D75B09"/>
    <w:rsid w:val="00D767D7"/>
    <w:rsid w:val="00D82F8C"/>
    <w:rsid w:val="00D86D49"/>
    <w:rsid w:val="00D87BB9"/>
    <w:rsid w:val="00D91FE2"/>
    <w:rsid w:val="00D921C0"/>
    <w:rsid w:val="00D92DDF"/>
    <w:rsid w:val="00D96B27"/>
    <w:rsid w:val="00D96FA8"/>
    <w:rsid w:val="00DA1BCA"/>
    <w:rsid w:val="00DA363B"/>
    <w:rsid w:val="00DA614F"/>
    <w:rsid w:val="00DB0A1C"/>
    <w:rsid w:val="00DB2836"/>
    <w:rsid w:val="00DB340F"/>
    <w:rsid w:val="00DB368F"/>
    <w:rsid w:val="00DB3ADF"/>
    <w:rsid w:val="00DB6E57"/>
    <w:rsid w:val="00DB72E1"/>
    <w:rsid w:val="00DC1FEA"/>
    <w:rsid w:val="00DC2304"/>
    <w:rsid w:val="00DC29E0"/>
    <w:rsid w:val="00DC3EF8"/>
    <w:rsid w:val="00DC4E0C"/>
    <w:rsid w:val="00DC638F"/>
    <w:rsid w:val="00DC693B"/>
    <w:rsid w:val="00DE1423"/>
    <w:rsid w:val="00DE37FF"/>
    <w:rsid w:val="00DE7CED"/>
    <w:rsid w:val="00DF0A00"/>
    <w:rsid w:val="00DF56F7"/>
    <w:rsid w:val="00E000BB"/>
    <w:rsid w:val="00E01BE3"/>
    <w:rsid w:val="00E02032"/>
    <w:rsid w:val="00E054D6"/>
    <w:rsid w:val="00E1136A"/>
    <w:rsid w:val="00E1190E"/>
    <w:rsid w:val="00E14C57"/>
    <w:rsid w:val="00E1760B"/>
    <w:rsid w:val="00E229D8"/>
    <w:rsid w:val="00E22FE1"/>
    <w:rsid w:val="00E23608"/>
    <w:rsid w:val="00E271BC"/>
    <w:rsid w:val="00E277CC"/>
    <w:rsid w:val="00E30CE7"/>
    <w:rsid w:val="00E31ED7"/>
    <w:rsid w:val="00E322B1"/>
    <w:rsid w:val="00E34554"/>
    <w:rsid w:val="00E36D6B"/>
    <w:rsid w:val="00E37E17"/>
    <w:rsid w:val="00E428D7"/>
    <w:rsid w:val="00E42C7B"/>
    <w:rsid w:val="00E44C5F"/>
    <w:rsid w:val="00E44DB6"/>
    <w:rsid w:val="00E479DD"/>
    <w:rsid w:val="00E52B12"/>
    <w:rsid w:val="00E530A1"/>
    <w:rsid w:val="00E530A3"/>
    <w:rsid w:val="00E538F1"/>
    <w:rsid w:val="00E53DF7"/>
    <w:rsid w:val="00E61425"/>
    <w:rsid w:val="00E617E7"/>
    <w:rsid w:val="00E6238A"/>
    <w:rsid w:val="00E65CAF"/>
    <w:rsid w:val="00E6648D"/>
    <w:rsid w:val="00E673B0"/>
    <w:rsid w:val="00E720C7"/>
    <w:rsid w:val="00E72883"/>
    <w:rsid w:val="00E72CC9"/>
    <w:rsid w:val="00E7322D"/>
    <w:rsid w:val="00E73A72"/>
    <w:rsid w:val="00E73BAF"/>
    <w:rsid w:val="00E75683"/>
    <w:rsid w:val="00E75A19"/>
    <w:rsid w:val="00E7686B"/>
    <w:rsid w:val="00E8212E"/>
    <w:rsid w:val="00E8366B"/>
    <w:rsid w:val="00E84898"/>
    <w:rsid w:val="00E85880"/>
    <w:rsid w:val="00E86ED8"/>
    <w:rsid w:val="00E8704B"/>
    <w:rsid w:val="00E8746B"/>
    <w:rsid w:val="00E8764F"/>
    <w:rsid w:val="00E901DD"/>
    <w:rsid w:val="00E935AB"/>
    <w:rsid w:val="00E94346"/>
    <w:rsid w:val="00E95291"/>
    <w:rsid w:val="00E9736E"/>
    <w:rsid w:val="00E97EF5"/>
    <w:rsid w:val="00EA1C66"/>
    <w:rsid w:val="00EA212A"/>
    <w:rsid w:val="00EA21A3"/>
    <w:rsid w:val="00EA267E"/>
    <w:rsid w:val="00EA4B95"/>
    <w:rsid w:val="00EA533D"/>
    <w:rsid w:val="00EB00E8"/>
    <w:rsid w:val="00EB15CB"/>
    <w:rsid w:val="00EB1B4D"/>
    <w:rsid w:val="00EB3518"/>
    <w:rsid w:val="00EB4093"/>
    <w:rsid w:val="00EB6C63"/>
    <w:rsid w:val="00EB70CE"/>
    <w:rsid w:val="00EB73BD"/>
    <w:rsid w:val="00EC0F0E"/>
    <w:rsid w:val="00EC3A2C"/>
    <w:rsid w:val="00EC6C17"/>
    <w:rsid w:val="00ED62B5"/>
    <w:rsid w:val="00ED6DD5"/>
    <w:rsid w:val="00EE66E3"/>
    <w:rsid w:val="00EF0C61"/>
    <w:rsid w:val="00EF0FC6"/>
    <w:rsid w:val="00EF11AC"/>
    <w:rsid w:val="00EF224E"/>
    <w:rsid w:val="00EF23CC"/>
    <w:rsid w:val="00EF42FC"/>
    <w:rsid w:val="00EF4CA9"/>
    <w:rsid w:val="00F00267"/>
    <w:rsid w:val="00F00917"/>
    <w:rsid w:val="00F012E4"/>
    <w:rsid w:val="00F01F18"/>
    <w:rsid w:val="00F04FE2"/>
    <w:rsid w:val="00F06730"/>
    <w:rsid w:val="00F10712"/>
    <w:rsid w:val="00F110EF"/>
    <w:rsid w:val="00F15E75"/>
    <w:rsid w:val="00F17272"/>
    <w:rsid w:val="00F233DE"/>
    <w:rsid w:val="00F234CF"/>
    <w:rsid w:val="00F235E8"/>
    <w:rsid w:val="00F24154"/>
    <w:rsid w:val="00F24BBF"/>
    <w:rsid w:val="00F26D7C"/>
    <w:rsid w:val="00F27F1E"/>
    <w:rsid w:val="00F3260B"/>
    <w:rsid w:val="00F3525B"/>
    <w:rsid w:val="00F3692B"/>
    <w:rsid w:val="00F40105"/>
    <w:rsid w:val="00F4096A"/>
    <w:rsid w:val="00F42A1F"/>
    <w:rsid w:val="00F46187"/>
    <w:rsid w:val="00F46D3B"/>
    <w:rsid w:val="00F557ED"/>
    <w:rsid w:val="00F55B18"/>
    <w:rsid w:val="00F55FE5"/>
    <w:rsid w:val="00F63EA0"/>
    <w:rsid w:val="00F6701C"/>
    <w:rsid w:val="00F70B23"/>
    <w:rsid w:val="00F70C77"/>
    <w:rsid w:val="00F7353D"/>
    <w:rsid w:val="00F73923"/>
    <w:rsid w:val="00F74B04"/>
    <w:rsid w:val="00F75106"/>
    <w:rsid w:val="00F755D8"/>
    <w:rsid w:val="00F75B3E"/>
    <w:rsid w:val="00F817BC"/>
    <w:rsid w:val="00F835B1"/>
    <w:rsid w:val="00F8581D"/>
    <w:rsid w:val="00F85CD1"/>
    <w:rsid w:val="00F86BFC"/>
    <w:rsid w:val="00F86D2F"/>
    <w:rsid w:val="00F86D80"/>
    <w:rsid w:val="00F87311"/>
    <w:rsid w:val="00F9025E"/>
    <w:rsid w:val="00F902ED"/>
    <w:rsid w:val="00F91341"/>
    <w:rsid w:val="00F91531"/>
    <w:rsid w:val="00F95231"/>
    <w:rsid w:val="00FA684B"/>
    <w:rsid w:val="00FB105F"/>
    <w:rsid w:val="00FB1E74"/>
    <w:rsid w:val="00FB24AA"/>
    <w:rsid w:val="00FB2FD8"/>
    <w:rsid w:val="00FB6329"/>
    <w:rsid w:val="00FB65C6"/>
    <w:rsid w:val="00FB7A2D"/>
    <w:rsid w:val="00FC0ECC"/>
    <w:rsid w:val="00FC1C55"/>
    <w:rsid w:val="00FC3D62"/>
    <w:rsid w:val="00FC45CD"/>
    <w:rsid w:val="00FC5269"/>
    <w:rsid w:val="00FC570E"/>
    <w:rsid w:val="00FC74C8"/>
    <w:rsid w:val="00FD08EB"/>
    <w:rsid w:val="00FD120E"/>
    <w:rsid w:val="00FD25AA"/>
    <w:rsid w:val="00FD4596"/>
    <w:rsid w:val="00FE2363"/>
    <w:rsid w:val="00FE3643"/>
    <w:rsid w:val="00FE4B3B"/>
    <w:rsid w:val="00FE5986"/>
    <w:rsid w:val="00FE6DD4"/>
    <w:rsid w:val="00FF0980"/>
    <w:rsid w:val="00FF2F12"/>
    <w:rsid w:val="00FF2FAB"/>
    <w:rsid w:val="00FF42D8"/>
    <w:rsid w:val="00FF482E"/>
    <w:rsid w:val="00FF4A01"/>
    <w:rsid w:val="00FF604D"/>
    <w:rsid w:val="00FF7CEC"/>
    <w:rsid w:val="02B76C85"/>
    <w:rsid w:val="07D54768"/>
    <w:rsid w:val="099A3147"/>
    <w:rsid w:val="0F660732"/>
    <w:rsid w:val="2774583F"/>
    <w:rsid w:val="27E126BD"/>
    <w:rsid w:val="30B84647"/>
    <w:rsid w:val="327B31F6"/>
    <w:rsid w:val="328C00D0"/>
    <w:rsid w:val="336A574B"/>
    <w:rsid w:val="3E894239"/>
    <w:rsid w:val="44CB1108"/>
    <w:rsid w:val="54F77215"/>
    <w:rsid w:val="571526B6"/>
    <w:rsid w:val="57A70340"/>
    <w:rsid w:val="5BE02684"/>
    <w:rsid w:val="60B11957"/>
    <w:rsid w:val="641E0DFC"/>
    <w:rsid w:val="673E3EC0"/>
    <w:rsid w:val="686B3269"/>
    <w:rsid w:val="69A73642"/>
    <w:rsid w:val="6FA325C6"/>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name="heading 3"/>
    <w:lsdException w:qFormat="1"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qFormat="1" w:uiPriority="99" w:semiHidden="0"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48"/>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57"/>
    <w:autoRedefine/>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9"/>
    <w:autoRedefine/>
    <w:semiHidden/>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60"/>
    <w:autoRedefine/>
    <w:unhideWhenUsed/>
    <w:qFormat/>
    <w:uiPriority w:val="0"/>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62"/>
    <w:autoRedefine/>
    <w:qFormat/>
    <w:uiPriority w:val="0"/>
    <w:pPr>
      <w:keepNext/>
      <w:keepLines/>
      <w:adjustRightInd w:val="0"/>
      <w:spacing w:line="560" w:lineRule="exact"/>
      <w:ind w:left="1008" w:hanging="1008"/>
      <w:textAlignment w:val="baseline"/>
      <w:outlineLvl w:val="4"/>
    </w:pPr>
    <w:rPr>
      <w:rFonts w:eastAsia="仿宋_GB2312"/>
      <w:kern w:val="0"/>
      <w:sz w:val="28"/>
      <w:szCs w:val="20"/>
    </w:rPr>
  </w:style>
  <w:style w:type="paragraph" w:styleId="7">
    <w:name w:val="heading 6"/>
    <w:basedOn w:val="1"/>
    <w:next w:val="1"/>
    <w:link w:val="63"/>
    <w:autoRedefine/>
    <w:qFormat/>
    <w:uiPriority w:val="0"/>
    <w:pPr>
      <w:keepNext/>
      <w:keepLines/>
      <w:adjustRightInd w:val="0"/>
      <w:spacing w:before="240" w:after="64" w:line="320" w:lineRule="atLeast"/>
      <w:ind w:left="1152" w:hanging="1152"/>
      <w:textAlignment w:val="baseline"/>
      <w:outlineLvl w:val="5"/>
    </w:pPr>
    <w:rPr>
      <w:rFonts w:ascii="Arial" w:hAnsi="Arial" w:eastAsia="黑体"/>
      <w:b/>
      <w:kern w:val="0"/>
      <w:sz w:val="24"/>
      <w:szCs w:val="20"/>
    </w:rPr>
  </w:style>
  <w:style w:type="paragraph" w:styleId="8">
    <w:name w:val="heading 7"/>
    <w:basedOn w:val="1"/>
    <w:next w:val="1"/>
    <w:link w:val="64"/>
    <w:autoRedefine/>
    <w:qFormat/>
    <w:uiPriority w:val="0"/>
    <w:pPr>
      <w:keepNext/>
      <w:keepLines/>
      <w:adjustRightInd w:val="0"/>
      <w:spacing w:before="240" w:after="64" w:line="320" w:lineRule="atLeast"/>
      <w:ind w:left="1296" w:hanging="1296"/>
      <w:textAlignment w:val="baseline"/>
      <w:outlineLvl w:val="6"/>
    </w:pPr>
    <w:rPr>
      <w:b/>
      <w:kern w:val="0"/>
      <w:sz w:val="24"/>
      <w:szCs w:val="20"/>
    </w:rPr>
  </w:style>
  <w:style w:type="paragraph" w:styleId="9">
    <w:name w:val="heading 8"/>
    <w:basedOn w:val="1"/>
    <w:next w:val="1"/>
    <w:link w:val="65"/>
    <w:autoRedefine/>
    <w:qFormat/>
    <w:uiPriority w:val="0"/>
    <w:pPr>
      <w:keepNext/>
      <w:keepLines/>
      <w:adjustRightInd w:val="0"/>
      <w:spacing w:before="240" w:after="64" w:line="320" w:lineRule="atLeast"/>
      <w:ind w:left="1440" w:hanging="1440"/>
      <w:textAlignment w:val="baseline"/>
      <w:outlineLvl w:val="7"/>
    </w:pPr>
    <w:rPr>
      <w:rFonts w:ascii="Arial" w:hAnsi="Arial" w:eastAsia="黑体"/>
      <w:kern w:val="0"/>
      <w:sz w:val="24"/>
      <w:szCs w:val="20"/>
    </w:rPr>
  </w:style>
  <w:style w:type="paragraph" w:styleId="10">
    <w:name w:val="heading 9"/>
    <w:basedOn w:val="1"/>
    <w:next w:val="1"/>
    <w:link w:val="66"/>
    <w:autoRedefine/>
    <w:qFormat/>
    <w:uiPriority w:val="0"/>
    <w:pPr>
      <w:keepNext/>
      <w:keepLines/>
      <w:adjustRightInd w:val="0"/>
      <w:spacing w:before="240" w:after="64" w:line="320" w:lineRule="atLeast"/>
      <w:ind w:left="1584" w:hanging="1584"/>
      <w:textAlignment w:val="baseline"/>
      <w:outlineLvl w:val="8"/>
    </w:pPr>
    <w:rPr>
      <w:rFonts w:ascii="Arial" w:hAnsi="Arial" w:eastAsia="黑体"/>
      <w:kern w:val="0"/>
      <w:szCs w:val="20"/>
    </w:rPr>
  </w:style>
  <w:style w:type="character" w:default="1" w:styleId="32">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autoRedefine/>
    <w:unhideWhenUsed/>
    <w:qFormat/>
    <w:uiPriority w:val="39"/>
    <w:pPr>
      <w:ind w:left="2520" w:leftChars="1200"/>
    </w:pPr>
    <w:rPr>
      <w:rFonts w:asciiTheme="minorHAnsi" w:hAnsiTheme="minorHAnsi" w:eastAsiaTheme="minorEastAsia" w:cstheme="minorBidi"/>
      <w:szCs w:val="22"/>
    </w:rPr>
  </w:style>
  <w:style w:type="paragraph" w:styleId="12">
    <w:name w:val="Normal Indent"/>
    <w:basedOn w:val="1"/>
    <w:autoRedefine/>
    <w:unhideWhenUsed/>
    <w:qFormat/>
    <w:uiPriority w:val="99"/>
    <w:pPr>
      <w:ind w:firstLine="420" w:firstLineChars="200"/>
    </w:pPr>
  </w:style>
  <w:style w:type="paragraph" w:styleId="13">
    <w:name w:val="Document Map"/>
    <w:basedOn w:val="1"/>
    <w:link w:val="38"/>
    <w:autoRedefine/>
    <w:unhideWhenUsed/>
    <w:qFormat/>
    <w:uiPriority w:val="99"/>
    <w:rPr>
      <w:rFonts w:ascii="宋体"/>
      <w:sz w:val="18"/>
      <w:szCs w:val="18"/>
    </w:rPr>
  </w:style>
  <w:style w:type="paragraph" w:styleId="14">
    <w:name w:val="annotation text"/>
    <w:basedOn w:val="1"/>
    <w:link w:val="69"/>
    <w:autoRedefine/>
    <w:unhideWhenUsed/>
    <w:qFormat/>
    <w:uiPriority w:val="99"/>
    <w:pPr>
      <w:jc w:val="left"/>
    </w:pPr>
  </w:style>
  <w:style w:type="paragraph" w:styleId="15">
    <w:name w:val="Body Text"/>
    <w:basedOn w:val="1"/>
    <w:link w:val="67"/>
    <w:autoRedefine/>
    <w:qFormat/>
    <w:uiPriority w:val="1"/>
    <w:pPr>
      <w:autoSpaceDE w:val="0"/>
      <w:autoSpaceDN w:val="0"/>
      <w:jc w:val="left"/>
    </w:pPr>
    <w:rPr>
      <w:rFonts w:ascii="宋体" w:hAnsi="宋体" w:cs="宋体"/>
      <w:kern w:val="0"/>
      <w:sz w:val="24"/>
      <w:lang w:val="zh-CN" w:bidi="zh-CN"/>
    </w:rPr>
  </w:style>
  <w:style w:type="paragraph" w:styleId="16">
    <w:name w:val="toc 5"/>
    <w:basedOn w:val="1"/>
    <w:next w:val="1"/>
    <w:autoRedefine/>
    <w:unhideWhenUsed/>
    <w:qFormat/>
    <w:uiPriority w:val="39"/>
    <w:pPr>
      <w:ind w:left="1680" w:leftChars="800"/>
    </w:pPr>
    <w:rPr>
      <w:rFonts w:asciiTheme="minorHAnsi" w:hAnsiTheme="minorHAnsi" w:eastAsiaTheme="minorEastAsia" w:cstheme="minorBidi"/>
      <w:szCs w:val="22"/>
    </w:rPr>
  </w:style>
  <w:style w:type="paragraph" w:styleId="17">
    <w:name w:val="toc 3"/>
    <w:basedOn w:val="1"/>
    <w:next w:val="1"/>
    <w:autoRedefine/>
    <w:unhideWhenUsed/>
    <w:qFormat/>
    <w:uiPriority w:val="39"/>
    <w:pPr>
      <w:ind w:left="840" w:leftChars="400"/>
    </w:pPr>
  </w:style>
  <w:style w:type="paragraph" w:styleId="18">
    <w:name w:val="toc 8"/>
    <w:basedOn w:val="1"/>
    <w:next w:val="1"/>
    <w:autoRedefine/>
    <w:unhideWhenUsed/>
    <w:qFormat/>
    <w:uiPriority w:val="39"/>
    <w:pPr>
      <w:ind w:left="2940" w:leftChars="1400"/>
    </w:pPr>
    <w:rPr>
      <w:rFonts w:asciiTheme="minorHAnsi" w:hAnsiTheme="minorHAnsi" w:eastAsiaTheme="minorEastAsia" w:cstheme="minorBidi"/>
      <w:szCs w:val="22"/>
    </w:rPr>
  </w:style>
  <w:style w:type="paragraph" w:styleId="19">
    <w:name w:val="Date"/>
    <w:basedOn w:val="1"/>
    <w:next w:val="1"/>
    <w:link w:val="39"/>
    <w:autoRedefine/>
    <w:unhideWhenUsed/>
    <w:qFormat/>
    <w:uiPriority w:val="99"/>
    <w:pPr>
      <w:ind w:left="100" w:leftChars="2500"/>
    </w:pPr>
  </w:style>
  <w:style w:type="paragraph" w:styleId="20">
    <w:name w:val="Balloon Text"/>
    <w:basedOn w:val="1"/>
    <w:link w:val="35"/>
    <w:autoRedefine/>
    <w:unhideWhenUsed/>
    <w:qFormat/>
    <w:uiPriority w:val="99"/>
    <w:rPr>
      <w:sz w:val="18"/>
      <w:szCs w:val="18"/>
    </w:rPr>
  </w:style>
  <w:style w:type="paragraph" w:styleId="21">
    <w:name w:val="footer"/>
    <w:basedOn w:val="1"/>
    <w:link w:val="37"/>
    <w:autoRedefine/>
    <w:unhideWhenUsed/>
    <w:qFormat/>
    <w:uiPriority w:val="99"/>
    <w:pPr>
      <w:tabs>
        <w:tab w:val="center" w:pos="4153"/>
        <w:tab w:val="right" w:pos="8306"/>
      </w:tabs>
      <w:snapToGrid w:val="0"/>
      <w:jc w:val="left"/>
    </w:pPr>
    <w:rPr>
      <w:sz w:val="18"/>
      <w:szCs w:val="18"/>
    </w:rPr>
  </w:style>
  <w:style w:type="paragraph" w:styleId="22">
    <w:name w:val="header"/>
    <w:basedOn w:val="1"/>
    <w:link w:val="36"/>
    <w:autoRedefine/>
    <w:unhideWhenUsed/>
    <w:qFormat/>
    <w:uiPriority w:val="99"/>
    <w:pPr>
      <w:pBdr>
        <w:bottom w:val="single" w:color="auto" w:sz="6" w:space="1"/>
      </w:pBdr>
      <w:tabs>
        <w:tab w:val="center" w:pos="4153"/>
        <w:tab w:val="right" w:pos="8306"/>
      </w:tabs>
      <w:snapToGrid w:val="0"/>
      <w:jc w:val="center"/>
    </w:pPr>
    <w:rPr>
      <w:sz w:val="18"/>
      <w:szCs w:val="18"/>
    </w:rPr>
  </w:style>
  <w:style w:type="paragraph" w:styleId="23">
    <w:name w:val="toc 1"/>
    <w:basedOn w:val="24"/>
    <w:next w:val="24"/>
    <w:autoRedefine/>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24">
    <w:name w:val="Title"/>
    <w:basedOn w:val="1"/>
    <w:qFormat/>
    <w:uiPriority w:val="10"/>
    <w:pPr>
      <w:spacing w:before="240" w:after="60"/>
      <w:jc w:val="center"/>
      <w:outlineLvl w:val="0"/>
    </w:pPr>
    <w:rPr>
      <w:rFonts w:ascii="Arial" w:hAnsi="Arial" w:cs="Arial"/>
      <w:b/>
      <w:bCs/>
      <w:sz w:val="32"/>
      <w:szCs w:val="32"/>
    </w:rPr>
  </w:style>
  <w:style w:type="paragraph" w:styleId="25">
    <w:name w:val="toc 4"/>
    <w:basedOn w:val="1"/>
    <w:next w:val="1"/>
    <w:autoRedefine/>
    <w:unhideWhenUsed/>
    <w:qFormat/>
    <w:uiPriority w:val="39"/>
    <w:pPr>
      <w:ind w:left="1260" w:leftChars="600"/>
    </w:pPr>
    <w:rPr>
      <w:rFonts w:asciiTheme="minorHAnsi" w:hAnsiTheme="minorHAnsi" w:eastAsiaTheme="minorEastAsia" w:cstheme="minorBidi"/>
      <w:szCs w:val="22"/>
    </w:rPr>
  </w:style>
  <w:style w:type="paragraph" w:styleId="26">
    <w:name w:val="toc 6"/>
    <w:basedOn w:val="1"/>
    <w:next w:val="1"/>
    <w:autoRedefine/>
    <w:unhideWhenUsed/>
    <w:qFormat/>
    <w:uiPriority w:val="39"/>
    <w:pPr>
      <w:ind w:left="2100" w:leftChars="1000"/>
    </w:pPr>
    <w:rPr>
      <w:rFonts w:asciiTheme="minorHAnsi" w:hAnsiTheme="minorHAnsi" w:eastAsiaTheme="minorEastAsia" w:cstheme="minorBidi"/>
      <w:szCs w:val="22"/>
    </w:rPr>
  </w:style>
  <w:style w:type="paragraph" w:styleId="27">
    <w:name w:val="toc 2"/>
    <w:basedOn w:val="1"/>
    <w:next w:val="1"/>
    <w:unhideWhenUsed/>
    <w:qFormat/>
    <w:uiPriority w:val="39"/>
    <w:pPr>
      <w:ind w:left="420" w:leftChars="200"/>
    </w:pPr>
  </w:style>
  <w:style w:type="paragraph" w:styleId="28">
    <w:name w:val="toc 9"/>
    <w:basedOn w:val="1"/>
    <w:next w:val="1"/>
    <w:unhideWhenUsed/>
    <w:qFormat/>
    <w:uiPriority w:val="39"/>
    <w:pPr>
      <w:ind w:left="3360" w:leftChars="1600"/>
    </w:pPr>
    <w:rPr>
      <w:rFonts w:asciiTheme="minorHAnsi" w:hAnsiTheme="minorHAnsi" w:eastAsiaTheme="minorEastAsia" w:cstheme="minorBidi"/>
      <w:szCs w:val="22"/>
    </w:rPr>
  </w:style>
  <w:style w:type="paragraph" w:styleId="29">
    <w:name w:val="annotation subject"/>
    <w:basedOn w:val="14"/>
    <w:next w:val="14"/>
    <w:link w:val="70"/>
    <w:autoRedefine/>
    <w:semiHidden/>
    <w:unhideWhenUsed/>
    <w:qFormat/>
    <w:uiPriority w:val="99"/>
    <w:rPr>
      <w:b/>
      <w:bCs/>
    </w:rPr>
  </w:style>
  <w:style w:type="paragraph" w:styleId="30">
    <w:name w:val="Body Text First Indent"/>
    <w:basedOn w:val="15"/>
    <w:link w:val="71"/>
    <w:semiHidden/>
    <w:unhideWhenUsed/>
    <w:qFormat/>
    <w:uiPriority w:val="99"/>
    <w:pPr>
      <w:autoSpaceDE/>
      <w:autoSpaceDN/>
      <w:spacing w:after="120"/>
      <w:ind w:firstLine="420" w:firstLineChars="100"/>
      <w:jc w:val="both"/>
    </w:pPr>
    <w:rPr>
      <w:rFonts w:ascii="Times New Roman" w:hAnsi="Times New Roman" w:cs="Times New Roman"/>
      <w:kern w:val="2"/>
      <w:sz w:val="21"/>
      <w:lang w:val="en-US" w:bidi="ar-SA"/>
    </w:rPr>
  </w:style>
  <w:style w:type="character" w:styleId="33">
    <w:name w:val="Hyperlink"/>
    <w:basedOn w:val="32"/>
    <w:unhideWhenUsed/>
    <w:qFormat/>
    <w:uiPriority w:val="99"/>
    <w:rPr>
      <w:color w:val="0563C1" w:themeColor="hyperlink"/>
      <w:u w:val="single"/>
      <w14:textFill>
        <w14:solidFill>
          <w14:schemeClr w14:val="hlink"/>
        </w14:solidFill>
      </w14:textFill>
    </w:rPr>
  </w:style>
  <w:style w:type="character" w:styleId="34">
    <w:name w:val="annotation reference"/>
    <w:basedOn w:val="32"/>
    <w:unhideWhenUsed/>
    <w:qFormat/>
    <w:uiPriority w:val="99"/>
    <w:rPr>
      <w:sz w:val="21"/>
      <w:szCs w:val="21"/>
    </w:rPr>
  </w:style>
  <w:style w:type="character" w:customStyle="1" w:styleId="35">
    <w:name w:val="批注框文本 字符"/>
    <w:basedOn w:val="32"/>
    <w:link w:val="20"/>
    <w:semiHidden/>
    <w:qFormat/>
    <w:uiPriority w:val="99"/>
    <w:rPr>
      <w:rFonts w:ascii="Times New Roman" w:hAnsi="Times New Roman" w:eastAsia="宋体" w:cs="Times New Roman"/>
      <w:sz w:val="18"/>
      <w:szCs w:val="18"/>
    </w:rPr>
  </w:style>
  <w:style w:type="character" w:customStyle="1" w:styleId="36">
    <w:name w:val="页眉 字符"/>
    <w:basedOn w:val="32"/>
    <w:link w:val="22"/>
    <w:autoRedefine/>
    <w:qFormat/>
    <w:uiPriority w:val="99"/>
    <w:rPr>
      <w:rFonts w:ascii="Times New Roman" w:hAnsi="Times New Roman" w:eastAsia="宋体" w:cs="Times New Roman"/>
      <w:sz w:val="18"/>
      <w:szCs w:val="18"/>
    </w:rPr>
  </w:style>
  <w:style w:type="character" w:customStyle="1" w:styleId="37">
    <w:name w:val="页脚 字符"/>
    <w:basedOn w:val="32"/>
    <w:link w:val="21"/>
    <w:qFormat/>
    <w:uiPriority w:val="99"/>
    <w:rPr>
      <w:rFonts w:ascii="Times New Roman" w:hAnsi="Times New Roman" w:eastAsia="宋体" w:cs="Times New Roman"/>
      <w:sz w:val="18"/>
      <w:szCs w:val="18"/>
    </w:rPr>
  </w:style>
  <w:style w:type="character" w:customStyle="1" w:styleId="38">
    <w:name w:val="文档结构图 字符"/>
    <w:basedOn w:val="32"/>
    <w:link w:val="13"/>
    <w:semiHidden/>
    <w:qFormat/>
    <w:uiPriority w:val="99"/>
    <w:rPr>
      <w:rFonts w:ascii="宋体" w:hAnsi="Times New Roman" w:eastAsia="宋体" w:cs="Times New Roman"/>
      <w:sz w:val="18"/>
      <w:szCs w:val="18"/>
    </w:rPr>
  </w:style>
  <w:style w:type="character" w:customStyle="1" w:styleId="39">
    <w:name w:val="日期 字符"/>
    <w:basedOn w:val="32"/>
    <w:link w:val="19"/>
    <w:semiHidden/>
    <w:qFormat/>
    <w:uiPriority w:val="99"/>
    <w:rPr>
      <w:rFonts w:ascii="Times New Roman" w:hAnsi="Times New Roman" w:eastAsia="宋体" w:cs="Times New Roman"/>
      <w:szCs w:val="24"/>
    </w:rPr>
  </w:style>
  <w:style w:type="paragraph" w:customStyle="1" w:styleId="40">
    <w:name w:val="常用标题4"/>
    <w:basedOn w:val="41"/>
    <w:next w:val="1"/>
    <w:qFormat/>
    <w:uiPriority w:val="0"/>
    <w:pPr>
      <w:numPr>
        <w:ilvl w:val="2"/>
        <w:numId w:val="1"/>
      </w:numPr>
      <w:tabs>
        <w:tab w:val="left" w:pos="360"/>
      </w:tabs>
      <w:outlineLvl w:val="3"/>
    </w:pPr>
  </w:style>
  <w:style w:type="paragraph" w:customStyle="1" w:styleId="41">
    <w:name w:val="常用标题3"/>
    <w:next w:val="1"/>
    <w:link w:val="42"/>
    <w:autoRedefine/>
    <w:qFormat/>
    <w:uiPriority w:val="0"/>
    <w:pPr>
      <w:spacing w:line="360" w:lineRule="auto"/>
      <w:jc w:val="both"/>
      <w:outlineLvl w:val="2"/>
    </w:pPr>
    <w:rPr>
      <w:rFonts w:ascii="Times New Roman" w:hAnsi="Times New Roman" w:eastAsia="宋体" w:cstheme="minorBidi"/>
      <w:kern w:val="2"/>
      <w:sz w:val="24"/>
      <w:szCs w:val="22"/>
      <w:lang w:val="en-US" w:eastAsia="zh-CN" w:bidi="ar-SA"/>
    </w:rPr>
  </w:style>
  <w:style w:type="character" w:customStyle="1" w:styleId="42">
    <w:name w:val="常用标题3 Char"/>
    <w:basedOn w:val="32"/>
    <w:link w:val="41"/>
    <w:autoRedefine/>
    <w:qFormat/>
    <w:uiPriority w:val="0"/>
    <w:rPr>
      <w:rFonts w:ascii="Times New Roman" w:hAnsi="Times New Roman" w:eastAsia="宋体"/>
      <w:sz w:val="24"/>
    </w:rPr>
  </w:style>
  <w:style w:type="paragraph" w:customStyle="1" w:styleId="43">
    <w:name w:val="中兴正文"/>
    <w:basedOn w:val="12"/>
    <w:link w:val="44"/>
    <w:qFormat/>
    <w:uiPriority w:val="0"/>
    <w:pPr>
      <w:widowControl/>
      <w:spacing w:line="360" w:lineRule="auto"/>
      <w:ind w:firstLine="480"/>
      <w:jc w:val="left"/>
    </w:pPr>
    <w:rPr>
      <w:rFonts w:cstheme="minorBidi"/>
      <w:sz w:val="24"/>
    </w:rPr>
  </w:style>
  <w:style w:type="character" w:customStyle="1" w:styleId="44">
    <w:name w:val="中兴正文 Char"/>
    <w:link w:val="43"/>
    <w:qFormat/>
    <w:uiPriority w:val="0"/>
    <w:rPr>
      <w:rFonts w:ascii="Times New Roman" w:hAnsi="Times New Roman" w:eastAsia="宋体"/>
      <w:sz w:val="24"/>
      <w:szCs w:val="24"/>
    </w:rPr>
  </w:style>
  <w:style w:type="paragraph" w:customStyle="1" w:styleId="45">
    <w:name w:val="常用标题2"/>
    <w:next w:val="1"/>
    <w:link w:val="46"/>
    <w:qFormat/>
    <w:uiPriority w:val="0"/>
    <w:pPr>
      <w:spacing w:line="360" w:lineRule="auto"/>
      <w:jc w:val="both"/>
      <w:outlineLvl w:val="1"/>
    </w:pPr>
    <w:rPr>
      <w:rFonts w:ascii="Times New Roman" w:hAnsi="Times New Roman" w:eastAsia="黑体" w:cstheme="minorBidi"/>
      <w:kern w:val="2"/>
      <w:sz w:val="24"/>
      <w:szCs w:val="22"/>
      <w:lang w:val="en-US" w:eastAsia="zh-CN" w:bidi="ar-SA"/>
    </w:rPr>
  </w:style>
  <w:style w:type="character" w:customStyle="1" w:styleId="46">
    <w:name w:val="常用标题2 Char"/>
    <w:basedOn w:val="32"/>
    <w:link w:val="45"/>
    <w:autoRedefine/>
    <w:qFormat/>
    <w:uiPriority w:val="0"/>
    <w:rPr>
      <w:rFonts w:ascii="Times New Roman" w:hAnsi="Times New Roman" w:eastAsia="黑体"/>
      <w:sz w:val="24"/>
    </w:rPr>
  </w:style>
  <w:style w:type="paragraph" w:customStyle="1" w:styleId="47">
    <w:name w:val="列出段落1"/>
    <w:basedOn w:val="1"/>
    <w:unhideWhenUsed/>
    <w:qFormat/>
    <w:uiPriority w:val="99"/>
    <w:pPr>
      <w:spacing w:line="360" w:lineRule="auto"/>
      <w:ind w:firstLine="420" w:firstLineChars="200"/>
    </w:pPr>
    <w:rPr>
      <w:rFonts w:cstheme="minorBidi"/>
      <w:sz w:val="24"/>
      <w:szCs w:val="22"/>
    </w:rPr>
  </w:style>
  <w:style w:type="character" w:customStyle="1" w:styleId="48">
    <w:name w:val="标题 1 字符"/>
    <w:basedOn w:val="32"/>
    <w:link w:val="2"/>
    <w:qFormat/>
    <w:uiPriority w:val="9"/>
    <w:rPr>
      <w:rFonts w:ascii="Times New Roman" w:hAnsi="Times New Roman" w:eastAsia="宋体" w:cs="Times New Roman"/>
      <w:b/>
      <w:bCs/>
      <w:kern w:val="44"/>
      <w:sz w:val="44"/>
      <w:szCs w:val="44"/>
    </w:rPr>
  </w:style>
  <w:style w:type="paragraph" w:customStyle="1" w:styleId="49">
    <w:name w:val="TOC 标题1"/>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0">
    <w:name w:val="列出段落11"/>
    <w:basedOn w:val="1"/>
    <w:qFormat/>
    <w:uiPriority w:val="34"/>
    <w:pPr>
      <w:ind w:firstLine="420"/>
    </w:pPr>
    <w:rPr>
      <w:rFonts w:ascii="Calibri" w:hAnsi="Calibri"/>
    </w:rPr>
  </w:style>
  <w:style w:type="paragraph" w:customStyle="1" w:styleId="51">
    <w:name w:val="列出段落2"/>
    <w:basedOn w:val="1"/>
    <w:unhideWhenUsed/>
    <w:qFormat/>
    <w:uiPriority w:val="99"/>
    <w:pPr>
      <w:ind w:firstLine="420"/>
    </w:pPr>
  </w:style>
  <w:style w:type="paragraph" w:customStyle="1" w:styleId="52">
    <w:name w:val="列出段落3"/>
    <w:basedOn w:val="1"/>
    <w:unhideWhenUsed/>
    <w:qFormat/>
    <w:uiPriority w:val="99"/>
    <w:pPr>
      <w:ind w:firstLine="420"/>
    </w:pPr>
  </w:style>
  <w:style w:type="paragraph" w:customStyle="1" w:styleId="53">
    <w:name w:val="正文内容"/>
    <w:basedOn w:val="1"/>
    <w:qFormat/>
    <w:uiPriority w:val="0"/>
    <w:pPr>
      <w:spacing w:line="560" w:lineRule="exact"/>
      <w:ind w:firstLine="567"/>
    </w:pPr>
  </w:style>
  <w:style w:type="paragraph" w:customStyle="1" w:styleId="54">
    <w:name w:val="常用标题1"/>
    <w:next w:val="1"/>
    <w:qFormat/>
    <w:uiPriority w:val="0"/>
    <w:pPr>
      <w:spacing w:line="360" w:lineRule="auto"/>
      <w:jc w:val="both"/>
      <w:outlineLvl w:val="0"/>
    </w:pPr>
    <w:rPr>
      <w:rFonts w:ascii="Times New Roman" w:hAnsi="Times New Roman" w:eastAsia="黑体" w:cstheme="minorBidi"/>
      <w:kern w:val="2"/>
      <w:sz w:val="24"/>
      <w:szCs w:val="22"/>
      <w:lang w:val="en-US" w:eastAsia="zh-CN" w:bidi="ar-SA"/>
    </w:rPr>
  </w:style>
  <w:style w:type="paragraph" w:customStyle="1" w:styleId="55">
    <w:name w:val="TOC 标题2"/>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paragraph" w:customStyle="1" w:styleId="56">
    <w:name w:val="TOC 标题3"/>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2F5597" w:themeColor="accent1" w:themeShade="BF"/>
      <w:kern w:val="0"/>
      <w:sz w:val="28"/>
      <w:szCs w:val="28"/>
    </w:rPr>
  </w:style>
  <w:style w:type="character" w:customStyle="1" w:styleId="57">
    <w:name w:val="标题 2 字符"/>
    <w:basedOn w:val="32"/>
    <w:link w:val="3"/>
    <w:semiHidden/>
    <w:qFormat/>
    <w:uiPriority w:val="9"/>
    <w:rPr>
      <w:rFonts w:asciiTheme="majorHAnsi" w:hAnsiTheme="majorHAnsi" w:eastAsiaTheme="majorEastAsia" w:cstheme="majorBidi"/>
      <w:b/>
      <w:bCs/>
      <w:kern w:val="2"/>
      <w:sz w:val="32"/>
      <w:szCs w:val="32"/>
    </w:rPr>
  </w:style>
  <w:style w:type="paragraph" w:styleId="58">
    <w:name w:val="List Paragraph"/>
    <w:basedOn w:val="1"/>
    <w:link w:val="74"/>
    <w:qFormat/>
    <w:uiPriority w:val="34"/>
    <w:pPr>
      <w:ind w:firstLine="420" w:firstLineChars="200"/>
    </w:pPr>
  </w:style>
  <w:style w:type="character" w:customStyle="1" w:styleId="59">
    <w:name w:val="标题 3 字符"/>
    <w:basedOn w:val="32"/>
    <w:link w:val="4"/>
    <w:semiHidden/>
    <w:qFormat/>
    <w:uiPriority w:val="9"/>
    <w:rPr>
      <w:b/>
      <w:bCs/>
      <w:kern w:val="2"/>
      <w:sz w:val="32"/>
      <w:szCs w:val="32"/>
    </w:rPr>
  </w:style>
  <w:style w:type="character" w:customStyle="1" w:styleId="60">
    <w:name w:val="标题 4 字符"/>
    <w:basedOn w:val="32"/>
    <w:link w:val="5"/>
    <w:autoRedefine/>
    <w:qFormat/>
    <w:uiPriority w:val="0"/>
    <w:rPr>
      <w:rFonts w:asciiTheme="majorHAnsi" w:hAnsiTheme="majorHAnsi" w:eastAsiaTheme="majorEastAsia" w:cstheme="majorBidi"/>
      <w:b/>
      <w:bCs/>
      <w:kern w:val="2"/>
      <w:sz w:val="28"/>
      <w:szCs w:val="28"/>
    </w:rPr>
  </w:style>
  <w:style w:type="table" w:customStyle="1" w:styleId="61">
    <w:name w:val="Table Normal"/>
    <w:semiHidden/>
    <w:unhideWhenUsed/>
    <w:qFormat/>
    <w:uiPriority w:val="2"/>
    <w:pPr>
      <w:widowControl w:val="0"/>
    </w:pPr>
    <w:rPr>
      <w:rFonts w:ascii="等线" w:hAnsi="等线" w:eastAsia="等线"/>
      <w:sz w:val="22"/>
      <w:lang w:eastAsia="en-US"/>
    </w:rPr>
    <w:tblPr>
      <w:tblCellMar>
        <w:top w:w="0" w:type="dxa"/>
        <w:left w:w="0" w:type="dxa"/>
        <w:bottom w:w="0" w:type="dxa"/>
        <w:right w:w="0" w:type="dxa"/>
      </w:tblCellMar>
    </w:tblPr>
  </w:style>
  <w:style w:type="character" w:customStyle="1" w:styleId="62">
    <w:name w:val="标题 5 字符"/>
    <w:basedOn w:val="32"/>
    <w:link w:val="6"/>
    <w:autoRedefine/>
    <w:qFormat/>
    <w:uiPriority w:val="0"/>
    <w:rPr>
      <w:rFonts w:eastAsia="仿宋_GB2312"/>
      <w:sz w:val="28"/>
    </w:rPr>
  </w:style>
  <w:style w:type="character" w:customStyle="1" w:styleId="63">
    <w:name w:val="标题 6 字符"/>
    <w:basedOn w:val="32"/>
    <w:link w:val="7"/>
    <w:autoRedefine/>
    <w:qFormat/>
    <w:uiPriority w:val="0"/>
    <w:rPr>
      <w:rFonts w:ascii="Arial" w:hAnsi="Arial" w:eastAsia="黑体"/>
      <w:b/>
      <w:sz w:val="24"/>
    </w:rPr>
  </w:style>
  <w:style w:type="character" w:customStyle="1" w:styleId="64">
    <w:name w:val="标题 7 字符"/>
    <w:basedOn w:val="32"/>
    <w:link w:val="8"/>
    <w:autoRedefine/>
    <w:qFormat/>
    <w:uiPriority w:val="0"/>
    <w:rPr>
      <w:b/>
      <w:sz w:val="24"/>
    </w:rPr>
  </w:style>
  <w:style w:type="character" w:customStyle="1" w:styleId="65">
    <w:name w:val="标题 8 字符"/>
    <w:basedOn w:val="32"/>
    <w:link w:val="9"/>
    <w:autoRedefine/>
    <w:qFormat/>
    <w:uiPriority w:val="0"/>
    <w:rPr>
      <w:rFonts w:ascii="Arial" w:hAnsi="Arial" w:eastAsia="黑体"/>
      <w:sz w:val="24"/>
    </w:rPr>
  </w:style>
  <w:style w:type="character" w:customStyle="1" w:styleId="66">
    <w:name w:val="标题 9 字符"/>
    <w:basedOn w:val="32"/>
    <w:link w:val="10"/>
    <w:autoRedefine/>
    <w:qFormat/>
    <w:uiPriority w:val="0"/>
    <w:rPr>
      <w:rFonts w:ascii="Arial" w:hAnsi="Arial" w:eastAsia="黑体"/>
      <w:sz w:val="21"/>
    </w:rPr>
  </w:style>
  <w:style w:type="character" w:customStyle="1" w:styleId="67">
    <w:name w:val="正文文本 字符"/>
    <w:basedOn w:val="32"/>
    <w:link w:val="15"/>
    <w:autoRedefine/>
    <w:qFormat/>
    <w:uiPriority w:val="1"/>
    <w:rPr>
      <w:rFonts w:ascii="宋体" w:hAnsi="宋体" w:cs="宋体"/>
      <w:sz w:val="24"/>
      <w:szCs w:val="24"/>
      <w:lang w:val="zh-CN" w:bidi="zh-CN"/>
    </w:rPr>
  </w:style>
  <w:style w:type="paragraph" w:customStyle="1" w:styleId="68">
    <w:name w:val="Table Paragraph"/>
    <w:basedOn w:val="1"/>
    <w:autoRedefine/>
    <w:qFormat/>
    <w:uiPriority w:val="1"/>
    <w:pPr>
      <w:autoSpaceDE w:val="0"/>
      <w:autoSpaceDN w:val="0"/>
      <w:jc w:val="left"/>
    </w:pPr>
    <w:rPr>
      <w:rFonts w:ascii="宋体" w:hAnsi="宋体" w:cs="宋体"/>
      <w:kern w:val="0"/>
      <w:sz w:val="22"/>
      <w:szCs w:val="22"/>
      <w:lang w:val="zh-CN" w:bidi="zh-CN"/>
    </w:rPr>
  </w:style>
  <w:style w:type="character" w:customStyle="1" w:styleId="69">
    <w:name w:val="批注文字 字符"/>
    <w:basedOn w:val="32"/>
    <w:link w:val="14"/>
    <w:autoRedefine/>
    <w:qFormat/>
    <w:uiPriority w:val="99"/>
    <w:rPr>
      <w:kern w:val="2"/>
      <w:sz w:val="21"/>
      <w:szCs w:val="24"/>
    </w:rPr>
  </w:style>
  <w:style w:type="character" w:customStyle="1" w:styleId="70">
    <w:name w:val="批注主题 字符"/>
    <w:basedOn w:val="69"/>
    <w:link w:val="29"/>
    <w:autoRedefine/>
    <w:semiHidden/>
    <w:qFormat/>
    <w:uiPriority w:val="99"/>
    <w:rPr>
      <w:b/>
      <w:bCs/>
      <w:kern w:val="2"/>
      <w:sz w:val="21"/>
      <w:szCs w:val="24"/>
    </w:rPr>
  </w:style>
  <w:style w:type="character" w:customStyle="1" w:styleId="71">
    <w:name w:val="正文文本首行缩进 字符"/>
    <w:basedOn w:val="67"/>
    <w:link w:val="30"/>
    <w:autoRedefine/>
    <w:semiHidden/>
    <w:qFormat/>
    <w:uiPriority w:val="99"/>
    <w:rPr>
      <w:rFonts w:ascii="宋体" w:hAnsi="宋体" w:cs="宋体"/>
      <w:kern w:val="2"/>
      <w:sz w:val="21"/>
      <w:szCs w:val="24"/>
      <w:lang w:val="zh-CN" w:bidi="zh-CN"/>
    </w:rPr>
  </w:style>
  <w:style w:type="paragraph" w:customStyle="1" w:styleId="72">
    <w:name w:val="报告正文"/>
    <w:basedOn w:val="1"/>
    <w:link w:val="73"/>
    <w:autoRedefine/>
    <w:qFormat/>
    <w:uiPriority w:val="0"/>
    <w:pPr>
      <w:widowControl/>
      <w:overflowPunct w:val="0"/>
      <w:autoSpaceDE w:val="0"/>
      <w:autoSpaceDN w:val="0"/>
      <w:adjustRightInd w:val="0"/>
      <w:spacing w:after="80" w:line="360" w:lineRule="auto"/>
      <w:ind w:left="570"/>
      <w:textAlignment w:val="baseline"/>
    </w:pPr>
    <w:rPr>
      <w:kern w:val="0"/>
      <w:sz w:val="24"/>
      <w:szCs w:val="20"/>
    </w:rPr>
  </w:style>
  <w:style w:type="character" w:customStyle="1" w:styleId="73">
    <w:name w:val="报告正文 Char"/>
    <w:link w:val="72"/>
    <w:autoRedefine/>
    <w:qFormat/>
    <w:locked/>
    <w:uiPriority w:val="0"/>
    <w:rPr>
      <w:sz w:val="24"/>
    </w:rPr>
  </w:style>
  <w:style w:type="character" w:customStyle="1" w:styleId="74">
    <w:name w:val="列表段落 字符"/>
    <w:link w:val="58"/>
    <w:autoRedefine/>
    <w:qFormat/>
    <w:uiPriority w:val="34"/>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1.emf"/><Relationship Id="rId22" Type="http://schemas.openxmlformats.org/officeDocument/2006/relationships/image" Target="media/image10.wmf"/><Relationship Id="rId21" Type="http://schemas.openxmlformats.org/officeDocument/2006/relationships/image" Target="media/image9.wmf"/><Relationship Id="rId20" Type="http://schemas.openxmlformats.org/officeDocument/2006/relationships/oleObject" Target="embeddings/oleObject2.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image" Target="media/image7.wmf"/><Relationship Id="rId17" Type="http://schemas.openxmlformats.org/officeDocument/2006/relationships/image" Target="media/image6.wmf"/><Relationship Id="rId16" Type="http://schemas.openxmlformats.org/officeDocument/2006/relationships/image" Target="media/image5.wmf"/><Relationship Id="rId15" Type="http://schemas.openxmlformats.org/officeDocument/2006/relationships/image" Target="media/image4.png"/><Relationship Id="rId14" Type="http://schemas.openxmlformats.org/officeDocument/2006/relationships/image" Target="media/image3.png"/><Relationship Id="rId13" Type="http://schemas.openxmlformats.org/officeDocument/2006/relationships/image" Target="media/image2.wmf"/><Relationship Id="rId12" Type="http://schemas.openxmlformats.org/officeDocument/2006/relationships/oleObject" Target="embeddings/oleObject1.bin"/><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Info spid="_x0000_s2052"/>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749660-9D36-48B6-BE01-760EC5AD5E90}">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102</Pages>
  <Words>60785</Words>
  <Characters>66628</Characters>
  <Lines>548</Lines>
  <Paragraphs>154</Paragraphs>
  <TotalTime>46</TotalTime>
  <ScaleCrop>false</ScaleCrop>
  <LinksUpToDate>false</LinksUpToDate>
  <CharactersWithSpaces>67794</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2023-05-10T03:02:00Z</dcterms:created>
  <dc:creator>juan gu</dc:creator>
  <cp:lastModifiedBy>QTY.</cp:lastModifiedBy>
  <cp:lastPrinted>2019-09-11T07:21:00Z</cp:lastPrinted>
  <dcterms:modified xsi:type="dcterms:W3CDTF">2024-09-08T13:11:04Z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KSOSaveFontToCloudKey">
    <vt:lpwstr>414009152_btnclosed</vt:lpwstr>
  </property>
  <property fmtid="{D5CDD505-2E9C-101B-9397-08002B2CF9AE}" pid="4" name="ICV">
    <vt:lpwstr>662477E433B946079BA3CFBA19252C3E_12</vt:lpwstr>
  </property>
</Properties>
</file>