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FB1C5" w14:textId="77777777" w:rsidR="008453E3" w:rsidRDefault="00850E0C">
      <w:pPr>
        <w:pStyle w:val="Heading2"/>
        <w:spacing w:before="360"/>
      </w:pPr>
      <w:r>
        <w:t>Slide 1 · Title</w:t>
      </w:r>
    </w:p>
    <w:p w14:paraId="6B538A50" w14:textId="77777777" w:rsidR="008453E3" w:rsidRDefault="00850E0C">
      <w:pPr>
        <w:spacing w:after="200"/>
      </w:pPr>
      <w:r>
        <w:rPr>
          <w:i/>
          <w:iCs/>
          <w:color w:val="5B7A82"/>
          <w:sz w:val="20"/>
          <w:szCs w:val="20"/>
        </w:rPr>
        <w:t>10 seconds</w:t>
      </w:r>
    </w:p>
    <w:p w14:paraId="7EEDFE4B" w14:textId="77777777" w:rsidR="008453E3" w:rsidRDefault="00850E0C">
      <w:pPr>
        <w:spacing w:after="120" w:line="320" w:lineRule="auto"/>
      </w:pPr>
      <w:r>
        <w:t>“Good afternoon. We’re Team Data Avengers, and over the next ten minutes we’ll walk you through the big data pipeline we built for MediaWave Streaming — and the four specific business actions it surfaces.”</w:t>
      </w:r>
    </w:p>
    <w:p w14:paraId="0B417E5B" w14:textId="77777777" w:rsidR="008453E3" w:rsidRDefault="00850E0C">
      <w:pPr>
        <w:pStyle w:val="Heading2"/>
        <w:spacing w:before="360"/>
      </w:pPr>
      <w:r>
        <w:t>Slide 2 · Team Introduction</w:t>
      </w:r>
    </w:p>
    <w:p w14:paraId="6A992D51" w14:textId="77777777" w:rsidR="008453E3" w:rsidRDefault="00850E0C">
      <w:pPr>
        <w:spacing w:after="200"/>
      </w:pPr>
      <w:r>
        <w:rPr>
          <w:i/>
          <w:iCs/>
          <w:color w:val="5B7A82"/>
          <w:sz w:val="20"/>
          <w:szCs w:val="20"/>
        </w:rPr>
        <w:t>15 seconds</w:t>
      </w:r>
    </w:p>
    <w:p w14:paraId="116C687A" w14:textId="77777777" w:rsidR="008453E3" w:rsidRDefault="00850E0C">
      <w:pPr>
        <w:spacing w:after="120" w:line="320" w:lineRule="auto"/>
      </w:pPr>
      <w:r>
        <w:t>“Quick introductions. I’m Helen, the Engagement Lead and project manager. Quang led streaming, Juan led infrastructure, Aleksandr led orchestration, and Yusuke led analytics. Together, we built and ran the full stack end-to-end.”</w:t>
      </w:r>
    </w:p>
    <w:p w14:paraId="5D26FFB2" w14:textId="77777777" w:rsidR="008453E3" w:rsidRDefault="00850E0C">
      <w:pPr>
        <w:pStyle w:val="Heading2"/>
        <w:spacing w:before="360"/>
      </w:pPr>
      <w:r>
        <w:t>Slide 3 · Agenda</w:t>
      </w:r>
    </w:p>
    <w:p w14:paraId="3C2C2C33" w14:textId="77777777" w:rsidR="008453E3" w:rsidRDefault="00850E0C">
      <w:pPr>
        <w:spacing w:after="200"/>
      </w:pPr>
      <w:r>
        <w:rPr>
          <w:i/>
          <w:iCs/>
          <w:color w:val="5B7A82"/>
          <w:sz w:val="20"/>
          <w:szCs w:val="20"/>
        </w:rPr>
        <w:t>15 seconds</w:t>
      </w:r>
    </w:p>
    <w:p w14:paraId="05A886E2" w14:textId="77777777" w:rsidR="008453E3" w:rsidRDefault="00850E0C">
      <w:pPr>
        <w:spacing w:after="120" w:line="320" w:lineRule="auto"/>
      </w:pPr>
      <w:r>
        <w:t>“Here’s where we’ll go. We’ll start with the problem we set out to solve, share three headline findings, walk briefly through the architecture, then spend most of our time on the four insights and four actions. We’ll close with a scaling path to ten and a hundred times today’s volume.”</w:t>
      </w:r>
    </w:p>
    <w:p w14:paraId="2D4B4439" w14:textId="77777777" w:rsidR="008453E3" w:rsidRDefault="00850E0C">
      <w:pPr>
        <w:pStyle w:val="Heading2"/>
        <w:spacing w:before="360"/>
      </w:pPr>
      <w:r>
        <w:t>Slide 4 · Section 01 Divider</w:t>
      </w:r>
    </w:p>
    <w:p w14:paraId="3B851A6B" w14:textId="77777777" w:rsidR="008453E3" w:rsidRDefault="00850E0C">
      <w:pPr>
        <w:spacing w:after="200"/>
      </w:pPr>
      <w:r>
        <w:rPr>
          <w:i/>
          <w:iCs/>
          <w:color w:val="5B7A82"/>
          <w:sz w:val="20"/>
          <w:szCs w:val="20"/>
        </w:rPr>
        <w:t>5 seconds</w:t>
      </w:r>
    </w:p>
    <w:p w14:paraId="7C53614B" w14:textId="77777777" w:rsidR="008453E3" w:rsidRDefault="00850E0C">
      <w:pPr>
        <w:spacing w:after="120" w:line="320" w:lineRule="auto"/>
      </w:pPr>
      <w:r>
        <w:t>“Starting with the problem.”</w:t>
      </w:r>
    </w:p>
    <w:p w14:paraId="25C88610" w14:textId="77777777" w:rsidR="008453E3" w:rsidRDefault="00850E0C">
      <w:pPr>
        <w:pStyle w:val="Heading2"/>
        <w:spacing w:before="360"/>
      </w:pPr>
      <w:r>
        <w:t>Slide 5 · Five Data Sources</w:t>
      </w:r>
    </w:p>
    <w:p w14:paraId="18CBEB68" w14:textId="77777777" w:rsidR="008453E3" w:rsidRDefault="00850E0C">
      <w:pPr>
        <w:spacing w:after="200"/>
      </w:pPr>
      <w:r>
        <w:rPr>
          <w:i/>
          <w:iCs/>
          <w:color w:val="5B7A82"/>
          <w:sz w:val="20"/>
          <w:szCs w:val="20"/>
        </w:rPr>
        <w:t>35 seconds</w:t>
      </w:r>
    </w:p>
    <w:p w14:paraId="6212B538" w14:textId="77777777" w:rsidR="008453E3" w:rsidRDefault="00850E0C">
      <w:pPr>
        <w:spacing w:after="120" w:line="320" w:lineRule="auto"/>
      </w:pPr>
      <w:r>
        <w:t xml:space="preserve">“MediaWave has five primary data sources — user profiles, viewing history, content catalog, user interactions, and streaming quality. The issue isn’t volume. It’s that the most valuable business questions cross every one of these boundaries. Which titles cost more in licensing than they earn in viewing hours? Does buffering predict cancellation? Which engagement signals come before disengagement? None of these can be answered without joining all five sources. </w:t>
      </w:r>
      <w:r>
        <w:rPr>
          <w:b/>
          <w:bCs/>
        </w:rPr>
        <w:t>MediaWave is not data-poor — it is integration-poor.</w:t>
      </w:r>
      <w:r>
        <w:t xml:space="preserve"> Every cross-source question represents a recurring blind spot.”</w:t>
      </w:r>
    </w:p>
    <w:p w14:paraId="02BF0747" w14:textId="77777777" w:rsidR="008453E3" w:rsidRDefault="00850E0C">
      <w:pPr>
        <w:pStyle w:val="Heading2"/>
        <w:spacing w:before="360"/>
      </w:pPr>
      <w:r>
        <w:t>Slide 6 · Section 02 Divider</w:t>
      </w:r>
    </w:p>
    <w:p w14:paraId="7586F1C7" w14:textId="77777777" w:rsidR="008453E3" w:rsidRDefault="00850E0C">
      <w:pPr>
        <w:spacing w:after="200"/>
      </w:pPr>
      <w:r>
        <w:rPr>
          <w:i/>
          <w:iCs/>
          <w:color w:val="5B7A82"/>
          <w:sz w:val="20"/>
          <w:szCs w:val="20"/>
        </w:rPr>
        <w:t>5 seconds</w:t>
      </w:r>
    </w:p>
    <w:p w14:paraId="54F647F8" w14:textId="77777777" w:rsidR="008453E3" w:rsidRDefault="00850E0C">
      <w:pPr>
        <w:spacing w:after="120" w:line="320" w:lineRule="auto"/>
      </w:pPr>
      <w:r>
        <w:lastRenderedPageBreak/>
        <w:t>“Three findings we want to flag up front.”</w:t>
      </w:r>
    </w:p>
    <w:p w14:paraId="0733DC6C" w14:textId="77777777" w:rsidR="008453E3" w:rsidRDefault="00850E0C">
      <w:pPr>
        <w:pStyle w:val="Heading2"/>
        <w:spacing w:before="360"/>
      </w:pPr>
      <w:r>
        <w:t>Slide 7 · Three Findings</w:t>
      </w:r>
    </w:p>
    <w:p w14:paraId="6B9BE137" w14:textId="77777777" w:rsidR="008453E3" w:rsidRDefault="00850E0C">
      <w:pPr>
        <w:spacing w:after="200"/>
      </w:pPr>
      <w:r>
        <w:rPr>
          <w:i/>
          <w:iCs/>
          <w:color w:val="5B7A82"/>
          <w:sz w:val="20"/>
          <w:szCs w:val="20"/>
        </w:rPr>
        <w:t>40 seconds</w:t>
      </w:r>
    </w:p>
    <w:p w14:paraId="561BEDD8" w14:textId="77777777" w:rsidR="008453E3" w:rsidRDefault="00850E0C">
      <w:pPr>
        <w:spacing w:after="120" w:line="320" w:lineRule="auto"/>
      </w:pPr>
      <w:r>
        <w:t>“Three headline findings from the full dataset. First — content ROI: 73% of catalog cost sits in titles below the median ROI. The bottom decile alone drives $3.13 billion in license cost, with an 860-times variance between best and worst. Second — engagement: contrary to assumption, the spread across plan tiers is less than one percentage point. Subscription tier does not predict viewing behavior. Third — retention: churned users watch 42% fewer hours per month than retained users. Total engagement volume i</w:t>
      </w:r>
      <w:r>
        <w:t xml:space="preserve">s the dominant churn precursor. </w:t>
      </w:r>
      <w:r>
        <w:rPr>
          <w:b/>
          <w:bCs/>
        </w:rPr>
        <w:t>Two of these confirm what teams suspected. The engagement finding contradicts it.</w:t>
      </w:r>
      <w:r>
        <w:t>”</w:t>
      </w:r>
    </w:p>
    <w:p w14:paraId="088062D8" w14:textId="77777777" w:rsidR="008453E3" w:rsidRDefault="00850E0C">
      <w:pPr>
        <w:pStyle w:val="Heading2"/>
        <w:spacing w:before="360"/>
      </w:pPr>
      <w:r>
        <w:t>Slide 8 · Section 03 Divider</w:t>
      </w:r>
    </w:p>
    <w:p w14:paraId="405CB71C" w14:textId="77777777" w:rsidR="008453E3" w:rsidRDefault="00850E0C">
      <w:pPr>
        <w:spacing w:after="200"/>
      </w:pPr>
      <w:r>
        <w:rPr>
          <w:i/>
          <w:iCs/>
          <w:color w:val="5B7A82"/>
          <w:sz w:val="20"/>
          <w:szCs w:val="20"/>
        </w:rPr>
        <w:t>5 seconds</w:t>
      </w:r>
    </w:p>
    <w:p w14:paraId="3FE98151" w14:textId="77777777" w:rsidR="008453E3" w:rsidRDefault="00850E0C">
      <w:pPr>
        <w:spacing w:after="120" w:line="320" w:lineRule="auto"/>
      </w:pPr>
      <w:r>
        <w:t>“How we built this.”</w:t>
      </w:r>
    </w:p>
    <w:p w14:paraId="7C12D996" w14:textId="77777777" w:rsidR="008453E3" w:rsidRDefault="00850E0C">
      <w:pPr>
        <w:pStyle w:val="Heading2"/>
        <w:spacing w:before="360"/>
      </w:pPr>
      <w:r>
        <w:t>Slide 9 · Four-Layer Pipeline</w:t>
      </w:r>
    </w:p>
    <w:p w14:paraId="7A325589" w14:textId="77777777" w:rsidR="008453E3" w:rsidRDefault="00850E0C">
      <w:pPr>
        <w:spacing w:after="200"/>
      </w:pPr>
      <w:r>
        <w:rPr>
          <w:i/>
          <w:iCs/>
          <w:color w:val="5B7A82"/>
          <w:sz w:val="20"/>
          <w:szCs w:val="20"/>
        </w:rPr>
        <w:t>30 seconds</w:t>
      </w:r>
    </w:p>
    <w:p w14:paraId="78086752" w14:textId="77777777" w:rsidR="008453E3" w:rsidRDefault="00850E0C">
      <w:pPr>
        <w:spacing w:after="120" w:line="320" w:lineRule="auto"/>
      </w:pPr>
      <w:r>
        <w:t>“Four layers, one command. Storage on HDFS with a three-zone lake — landing, curated, analytics. Transformation in PySpark — cleaning, three-way joins, aggregations. Streaming through Kafka with Spark Structured Streaming for real-time alerts. Orchestration in Apache Airflow with quality gates, retries, and idempotent re-runs. The whole stack — eleven services across four layers — boots in three minutes from a single docker compose command.”</w:t>
      </w:r>
    </w:p>
    <w:p w14:paraId="7570AD0C" w14:textId="77777777" w:rsidR="008453E3" w:rsidRDefault="00850E0C">
      <w:pPr>
        <w:pStyle w:val="Heading2"/>
        <w:spacing w:before="360"/>
      </w:pPr>
      <w:r>
        <w:t>Slide 10 · Data Flow</w:t>
      </w:r>
    </w:p>
    <w:p w14:paraId="7EAB93BA" w14:textId="77777777" w:rsidR="008453E3" w:rsidRDefault="00850E0C">
      <w:pPr>
        <w:spacing w:after="200"/>
      </w:pPr>
      <w:r>
        <w:rPr>
          <w:i/>
          <w:iCs/>
          <w:color w:val="5B7A82"/>
          <w:sz w:val="20"/>
          <w:szCs w:val="20"/>
        </w:rPr>
        <w:t>30 seconds</w:t>
      </w:r>
    </w:p>
    <w:p w14:paraId="174F35D7" w14:textId="77777777" w:rsidR="008453E3" w:rsidRDefault="00850E0C">
      <w:pPr>
        <w:spacing w:after="120" w:line="320" w:lineRule="auto"/>
      </w:pPr>
      <w:r>
        <w:t>“This is how data moves. Five raw sources land immutably in HDFS. PySpark cleans and joins them into a curated zone — five to ten times compression, four times faster scans. From there we produce three analytics tables: monthly engagement, content performance, and streaming quality by region. Each one feeds a specific business decision: churn early-warning, content ROI review, CDN investment plan. The streaming path runs in parallel for real-time alerts. This is a Lambda architecture.”</w:t>
      </w:r>
    </w:p>
    <w:p w14:paraId="54D148E7" w14:textId="77777777" w:rsidR="008453E3" w:rsidRDefault="00850E0C">
      <w:pPr>
        <w:pStyle w:val="Heading2"/>
        <w:spacing w:before="360"/>
      </w:pPr>
      <w:r>
        <w:t>Slide 11 · Lambda vs Kappa</w:t>
      </w:r>
    </w:p>
    <w:p w14:paraId="7BE6B0EA" w14:textId="77777777" w:rsidR="008453E3" w:rsidRDefault="00850E0C">
      <w:pPr>
        <w:spacing w:after="200"/>
      </w:pPr>
      <w:r>
        <w:rPr>
          <w:i/>
          <w:iCs/>
          <w:color w:val="5B7A82"/>
          <w:sz w:val="20"/>
          <w:szCs w:val="20"/>
        </w:rPr>
        <w:t>25 seconds</w:t>
      </w:r>
    </w:p>
    <w:p w14:paraId="5C1DE988" w14:textId="77777777" w:rsidR="008453E3" w:rsidRDefault="00850E0C">
      <w:pPr>
        <w:spacing w:after="120" w:line="320" w:lineRule="auto"/>
      </w:pPr>
      <w:r>
        <w:lastRenderedPageBreak/>
        <w:t>“Briefly on why Lambda. We considered Kappa, where everything runs through streaming. We rejected it because historical re-processing requires replaying the full event log, heavy aggregations are expensive in pure streaming, and analytics queries get more complex. MediaWave needs both batch correctness for ROI and churn analysis, and streaming latency for quality alerts. Lambda gives us both.”</w:t>
      </w:r>
    </w:p>
    <w:p w14:paraId="0294EF3C" w14:textId="77777777" w:rsidR="008453E3" w:rsidRDefault="00850E0C">
      <w:pPr>
        <w:pStyle w:val="Heading2"/>
        <w:spacing w:before="360"/>
      </w:pPr>
      <w:r>
        <w:t>Slide 12 · Production-Ready</w:t>
      </w:r>
    </w:p>
    <w:p w14:paraId="26AA88B2" w14:textId="77777777" w:rsidR="008453E3" w:rsidRDefault="00850E0C">
      <w:pPr>
        <w:spacing w:after="200"/>
      </w:pPr>
      <w:r>
        <w:rPr>
          <w:i/>
          <w:iCs/>
          <w:color w:val="5B7A82"/>
          <w:sz w:val="20"/>
          <w:szCs w:val="20"/>
        </w:rPr>
        <w:t>30 seconds</w:t>
      </w:r>
    </w:p>
    <w:p w14:paraId="774ADB78" w14:textId="77777777" w:rsidR="008453E3" w:rsidRDefault="00850E0C">
      <w:pPr>
        <w:spacing w:after="120" w:line="320" w:lineRule="auto"/>
      </w:pPr>
      <w:r>
        <w:t>“Three controls make this operational, not academic. Quality gates: row count and null checks run between every stage and stop the DAG before bad data reaches analytics. Idempotent re-runs: every Parquet write uses overwrite mode, so safe replay from any failure point — verified across five test runs. And monitoring: Airflow handles two retries with exponential backoff, with email alerts and a streaming health-check DAG every fifteen minutes. Maximum thirty-minute time to detect.”</w:t>
      </w:r>
    </w:p>
    <w:p w14:paraId="0DD29464" w14:textId="77777777" w:rsidR="008453E3" w:rsidRDefault="00850E0C">
      <w:pPr>
        <w:pStyle w:val="Heading2"/>
        <w:spacing w:before="360"/>
      </w:pPr>
      <w:r>
        <w:t>Slide 13 · Pipeline in Action</w:t>
      </w:r>
    </w:p>
    <w:p w14:paraId="6293754D" w14:textId="77777777" w:rsidR="008453E3" w:rsidRDefault="00850E0C">
      <w:pPr>
        <w:spacing w:after="200"/>
      </w:pPr>
      <w:r>
        <w:rPr>
          <w:i/>
          <w:iCs/>
          <w:color w:val="5B7A82"/>
          <w:sz w:val="20"/>
          <w:szCs w:val="20"/>
        </w:rPr>
        <w:t>20 seconds</w:t>
      </w:r>
    </w:p>
    <w:p w14:paraId="4E07F4EC" w14:textId="77777777" w:rsidR="008453E3" w:rsidRDefault="00850E0C">
      <w:pPr>
        <w:spacing w:after="120" w:line="320" w:lineRule="auto"/>
      </w:pPr>
      <w:r>
        <w:t xml:space="preserve">“Quick proof it actually runs. Top: HDFS shows all five datasets landed in the landing zone. Bottom: Airflow shows the DAG executed end-to-end with every task green. </w:t>
      </w:r>
      <w:r>
        <w:rPr>
          <w:b/>
          <w:bCs/>
        </w:rPr>
        <w:t>The pipeline isn’t a diagram — it’s a working system.</w:t>
      </w:r>
      <w:r>
        <w:t>”</w:t>
      </w:r>
    </w:p>
    <w:p w14:paraId="224BD56E" w14:textId="77777777" w:rsidR="008453E3" w:rsidRDefault="00850E0C">
      <w:pPr>
        <w:pStyle w:val="Heading2"/>
        <w:spacing w:before="360"/>
      </w:pPr>
      <w:r>
        <w:t>Slide 14 · Section 04 Divider</w:t>
      </w:r>
    </w:p>
    <w:p w14:paraId="5247B2AE" w14:textId="77777777" w:rsidR="008453E3" w:rsidRDefault="00850E0C">
      <w:pPr>
        <w:spacing w:after="200"/>
      </w:pPr>
      <w:r>
        <w:rPr>
          <w:i/>
          <w:iCs/>
          <w:color w:val="5B7A82"/>
          <w:sz w:val="20"/>
          <w:szCs w:val="20"/>
        </w:rPr>
        <w:t>5 seconds</w:t>
      </w:r>
    </w:p>
    <w:p w14:paraId="239E8F42" w14:textId="77777777" w:rsidR="008453E3" w:rsidRDefault="00850E0C">
      <w:pPr>
        <w:spacing w:after="120" w:line="320" w:lineRule="auto"/>
      </w:pPr>
      <w:r>
        <w:t>“Now, what the data revealed.”</w:t>
      </w:r>
    </w:p>
    <w:p w14:paraId="14EAACD9" w14:textId="77777777" w:rsidR="008453E3" w:rsidRDefault="00850E0C">
      <w:pPr>
        <w:pStyle w:val="Heading2"/>
        <w:spacing w:before="360"/>
      </w:pPr>
      <w:r>
        <w:t>Slide 15 · Insight 01 — Content ROI</w:t>
      </w:r>
    </w:p>
    <w:p w14:paraId="09F5BA75" w14:textId="77777777" w:rsidR="008453E3" w:rsidRDefault="00850E0C">
      <w:pPr>
        <w:spacing w:after="200"/>
      </w:pPr>
      <w:r>
        <w:rPr>
          <w:i/>
          <w:iCs/>
          <w:color w:val="5B7A82"/>
          <w:sz w:val="20"/>
          <w:szCs w:val="20"/>
        </w:rPr>
        <w:t>40 seconds</w:t>
      </w:r>
    </w:p>
    <w:p w14:paraId="32FEC1C4" w14:textId="77777777" w:rsidR="008453E3" w:rsidRDefault="00850E0C">
      <w:pPr>
        <w:spacing w:after="120" w:line="320" w:lineRule="auto"/>
      </w:pPr>
      <w:r>
        <w:t xml:space="preserve">“Insight one. We built a custom metric called cost per viewing hour — monthly license cost divided by total hours watched. The variance is dramatic. The worst three titles cost between eighteen and twenty thousand dollars per viewing hour. The best three cost twenty-three to twenty-five dollars. That’s an 860-times spread. The bottom decile alone drives $3.13 billion in annual license cost, and 73% of total catalog spend concentrates in below-median ROI titles. </w:t>
      </w:r>
      <w:r>
        <w:rPr>
          <w:b/>
          <w:bCs/>
        </w:rPr>
        <w:t>Our recommendation: drop the bottom decile at the next license cycle. Annual savings: $3.13 billion if fully discontinued, $1.5 to 2 billion with conservative renegotiation.</w:t>
      </w:r>
      <w:r>
        <w:t>”</w:t>
      </w:r>
    </w:p>
    <w:p w14:paraId="725C5CEF" w14:textId="77777777" w:rsidR="008453E3" w:rsidRDefault="00850E0C">
      <w:pPr>
        <w:pStyle w:val="Heading2"/>
        <w:spacing w:before="360"/>
      </w:pPr>
      <w:r>
        <w:t>Slide 16 · Insight 02 — Engagement</w:t>
      </w:r>
    </w:p>
    <w:p w14:paraId="5C6629C5" w14:textId="77777777" w:rsidR="008453E3" w:rsidRDefault="00850E0C">
      <w:pPr>
        <w:spacing w:after="200"/>
      </w:pPr>
      <w:r>
        <w:rPr>
          <w:i/>
          <w:iCs/>
          <w:color w:val="5B7A82"/>
          <w:sz w:val="20"/>
          <w:szCs w:val="20"/>
        </w:rPr>
        <w:lastRenderedPageBreak/>
        <w:t>35 seconds</w:t>
      </w:r>
    </w:p>
    <w:p w14:paraId="565D4873" w14:textId="77777777" w:rsidR="008453E3" w:rsidRDefault="00850E0C">
      <w:pPr>
        <w:spacing w:after="120" w:line="320" w:lineRule="auto"/>
      </w:pPr>
      <w:r>
        <w:t xml:space="preserve">“Insight two — and this is our counter-finding. We expected Premium subscribers to engage more deeply. They don’t. Basic users complete 52.8% of what they start. Standard, 52.6%. Premium, 52.9%. Less than one percentage point separates the tiers. Subscription tier does not predict viewing behavior. The signal is at the title level: completion ranges from 28.9% on the worst-performing titles to 76.7% on the best — a 48-point spread. </w:t>
      </w:r>
      <w:r>
        <w:rPr>
          <w:b/>
          <w:bCs/>
        </w:rPr>
        <w:t>Our recommendation: redirect personalization investment from tier-aware logic to title-level features. That’s where the actual variance lives.</w:t>
      </w:r>
      <w:r>
        <w:t>”</w:t>
      </w:r>
    </w:p>
    <w:p w14:paraId="53B15478" w14:textId="77777777" w:rsidR="008453E3" w:rsidRDefault="00850E0C">
      <w:pPr>
        <w:pStyle w:val="Heading2"/>
        <w:spacing w:before="360"/>
      </w:pPr>
      <w:r>
        <w:t>Slide 17 · Insight 03 — Churn</w:t>
      </w:r>
    </w:p>
    <w:p w14:paraId="550260A0" w14:textId="77777777" w:rsidR="008453E3" w:rsidRDefault="00850E0C">
      <w:pPr>
        <w:spacing w:after="200"/>
      </w:pPr>
      <w:r>
        <w:rPr>
          <w:i/>
          <w:iCs/>
          <w:color w:val="5B7A82"/>
          <w:sz w:val="20"/>
          <w:szCs w:val="20"/>
        </w:rPr>
        <w:t>35 seconds</w:t>
      </w:r>
    </w:p>
    <w:p w14:paraId="5741BC94" w14:textId="77777777" w:rsidR="008453E3" w:rsidRDefault="00850E0C">
      <w:pPr>
        <w:spacing w:after="120" w:line="320" w:lineRule="auto"/>
      </w:pPr>
      <w:r>
        <w:t xml:space="preserve">“Insight three. Comparing 19,573 churned users with 180,427 retained users, the dominant signal is monthly hours watched. Retained users average 26.4 hours per month. Churned users, 15.2. A 42% gap. We tested every other signal you’d expect — completion rate, buffering events, unique titles per month — none of them separate the two cohorts. They’re statistically identical. </w:t>
      </w:r>
      <w:r>
        <w:rPr>
          <w:b/>
          <w:bCs/>
        </w:rPr>
        <w:t>Our recommendation: build a churn early-warning model on monthly hours watched and engagement velocity — recent versus historical hours. Don’t build it on signals that don’t predict.</w:t>
      </w:r>
      <w:r>
        <w:t>”</w:t>
      </w:r>
    </w:p>
    <w:p w14:paraId="0FEC6D88" w14:textId="77777777" w:rsidR="008453E3" w:rsidRDefault="00850E0C">
      <w:pPr>
        <w:pStyle w:val="Heading2"/>
        <w:spacing w:before="360"/>
      </w:pPr>
      <w:r>
        <w:t>Slide 18 · Insight 04 — Quality</w:t>
      </w:r>
    </w:p>
    <w:p w14:paraId="7C32C63B" w14:textId="77777777" w:rsidR="008453E3" w:rsidRDefault="00850E0C">
      <w:pPr>
        <w:spacing w:after="200"/>
      </w:pPr>
      <w:r>
        <w:rPr>
          <w:i/>
          <w:iCs/>
          <w:color w:val="5B7A82"/>
          <w:sz w:val="20"/>
          <w:szCs w:val="20"/>
        </w:rPr>
        <w:t>35 seconds</w:t>
      </w:r>
    </w:p>
    <w:p w14:paraId="42EBBEBE" w14:textId="77777777" w:rsidR="008453E3" w:rsidRDefault="00850E0C">
      <w:pPr>
        <w:spacing w:after="120" w:line="320" w:lineRule="auto"/>
      </w:pPr>
      <w:r>
        <w:t xml:space="preserve">“Insight four — our second counter-finding. We expected to find geographic hotspots — regions or ISPs with quality problems serious enough to drive churn. We didn’t. All seven CDN regions and ten ISPs cluster within a 3.3% spread of buffering events. The correlation between buffering and completion is essentially zero. Quality is uniform, and quality is not a meaningful retention lever in this dataset. </w:t>
      </w:r>
      <w:r>
        <w:rPr>
          <w:b/>
          <w:bCs/>
        </w:rPr>
        <w:t>Our recommendation: deprioritize geographic CDN investment. Reallocate that budget toward absolute baseline reduction or other levers where the data actually shows variance.</w:t>
      </w:r>
      <w:r>
        <w:t>”</w:t>
      </w:r>
    </w:p>
    <w:p w14:paraId="69015BDB" w14:textId="77777777" w:rsidR="008453E3" w:rsidRDefault="00850E0C">
      <w:pPr>
        <w:pStyle w:val="Heading2"/>
        <w:spacing w:before="360"/>
      </w:pPr>
      <w:r>
        <w:t>Slide 19 · Section 05 Divider</w:t>
      </w:r>
    </w:p>
    <w:p w14:paraId="742DE2C8" w14:textId="77777777" w:rsidR="008453E3" w:rsidRDefault="00850E0C">
      <w:pPr>
        <w:spacing w:after="200"/>
      </w:pPr>
      <w:r>
        <w:rPr>
          <w:i/>
          <w:iCs/>
          <w:color w:val="5B7A82"/>
          <w:sz w:val="20"/>
          <w:szCs w:val="20"/>
        </w:rPr>
        <w:t>5 seconds</w:t>
      </w:r>
    </w:p>
    <w:p w14:paraId="1F620706" w14:textId="77777777" w:rsidR="008453E3" w:rsidRDefault="00850E0C">
      <w:pPr>
        <w:spacing w:after="120" w:line="320" w:lineRule="auto"/>
      </w:pPr>
      <w:r>
        <w:t>“Pulling it together — what we recommend.”</w:t>
      </w:r>
    </w:p>
    <w:p w14:paraId="0EB4281B" w14:textId="77777777" w:rsidR="008453E3" w:rsidRDefault="00850E0C">
      <w:pPr>
        <w:pStyle w:val="Heading2"/>
        <w:spacing w:before="360"/>
      </w:pPr>
      <w:r>
        <w:t>Slide 20 · Four Recommended Actions</w:t>
      </w:r>
    </w:p>
    <w:p w14:paraId="30734CC1" w14:textId="77777777" w:rsidR="008453E3" w:rsidRDefault="00850E0C">
      <w:pPr>
        <w:spacing w:after="200"/>
      </w:pPr>
      <w:r>
        <w:rPr>
          <w:i/>
          <w:iCs/>
          <w:color w:val="5B7A82"/>
          <w:sz w:val="20"/>
          <w:szCs w:val="20"/>
        </w:rPr>
        <w:t>40 seconds</w:t>
      </w:r>
    </w:p>
    <w:p w14:paraId="525463C0" w14:textId="77777777" w:rsidR="008453E3" w:rsidRDefault="00850E0C">
      <w:pPr>
        <w:spacing w:after="120" w:line="320" w:lineRule="auto"/>
      </w:pPr>
      <w:r>
        <w:t xml:space="preserve">“Four actions, prioritized by impact-to-effort ratio. First — drop bottom-decile titles by cost per viewing hour. From insight one. $1.5 to 3.1 billion in annual savings. Time: next license cycle. Second — build a </w:t>
      </w:r>
      <w:r>
        <w:lastRenderedPageBreak/>
        <w:t xml:space="preserve">churn early-warning model on monthly hours watched. From insight three. Targets roughly 10% of the 19,600 churners. Q3 implementation. Third — redirect personalization from tier-based to title-level signals. From insight two. Lifts completion via the 48-point title variance. Q3–Q4 A/B test. Fourth — reallocate CDN budget away from selective region investment. From insight four. Frees budget for higher-impact levers. Immediate review. </w:t>
      </w:r>
      <w:r>
        <w:rPr>
          <w:b/>
          <w:bCs/>
        </w:rPr>
        <w:t>All four are implementable from analytics tables our pipeline produces tod</w:t>
      </w:r>
      <w:r>
        <w:rPr>
          <w:b/>
          <w:bCs/>
        </w:rPr>
        <w:t>ay. No additional data sources required.</w:t>
      </w:r>
      <w:r>
        <w:t>”</w:t>
      </w:r>
    </w:p>
    <w:p w14:paraId="0A839C36" w14:textId="77777777" w:rsidR="008453E3" w:rsidRDefault="00850E0C">
      <w:pPr>
        <w:pStyle w:val="Heading2"/>
        <w:spacing w:before="360"/>
      </w:pPr>
      <w:r>
        <w:t>Slide 21 · Section 06 Divider</w:t>
      </w:r>
    </w:p>
    <w:p w14:paraId="760C86D3" w14:textId="77777777" w:rsidR="008453E3" w:rsidRDefault="00850E0C">
      <w:pPr>
        <w:spacing w:after="200"/>
      </w:pPr>
      <w:r>
        <w:rPr>
          <w:i/>
          <w:iCs/>
          <w:color w:val="5B7A82"/>
          <w:sz w:val="20"/>
          <w:szCs w:val="20"/>
        </w:rPr>
        <w:t>5 seconds</w:t>
      </w:r>
    </w:p>
    <w:p w14:paraId="599D4A3B" w14:textId="77777777" w:rsidR="008453E3" w:rsidRDefault="00850E0C">
      <w:pPr>
        <w:spacing w:after="120" w:line="320" w:lineRule="auto"/>
      </w:pPr>
      <w:r>
        <w:t>“Briefly on scaling.”</w:t>
      </w:r>
    </w:p>
    <w:p w14:paraId="0235A3C3" w14:textId="77777777" w:rsidR="008453E3" w:rsidRDefault="00850E0C">
      <w:pPr>
        <w:pStyle w:val="Heading2"/>
        <w:spacing w:before="360"/>
      </w:pPr>
      <w:r>
        <w:t>Slide 22 · Scaling Path</w:t>
      </w:r>
    </w:p>
    <w:p w14:paraId="5ED819A6" w14:textId="77777777" w:rsidR="008453E3" w:rsidRDefault="00850E0C">
      <w:pPr>
        <w:spacing w:after="200"/>
      </w:pPr>
      <w:r>
        <w:rPr>
          <w:i/>
          <w:iCs/>
          <w:color w:val="5B7A82"/>
          <w:sz w:val="20"/>
          <w:szCs w:val="20"/>
        </w:rPr>
        <w:t>30 seconds</w:t>
      </w:r>
    </w:p>
    <w:p w14:paraId="235CDCC9" w14:textId="6DA8F9DF" w:rsidR="008453E3" w:rsidRDefault="00850E0C">
      <w:pPr>
        <w:spacing w:after="120" w:line="320" w:lineRule="auto"/>
      </w:pPr>
      <w:r>
        <w:t xml:space="preserve">“This scales linearly. Today the pipeline handles 32 megabytes and </w:t>
      </w:r>
      <w:r w:rsidR="00AC1749">
        <w:t xml:space="preserve">1.7 </w:t>
      </w:r>
      <w:r>
        <w:t xml:space="preserve">million rows on one Spark worker, one Kafka broker, two datanodes. Ten times: four workers, three brokers, shuffle partitions raised to </w:t>
      </w:r>
      <w:r w:rsidR="00AC1749">
        <w:t>17</w:t>
      </w:r>
      <w:r>
        <w:t xml:space="preserve">. HDFS is still healthy. A hundred times: eight to sixteen workers, five-plus brokers, replication factor three, switch Airflow to Celery executor with Redis. Same architecture, just reconfigured. Cloud-managed equivalents exist in AWS, GCP, and Azure across all four layers. </w:t>
      </w:r>
      <w:r>
        <w:rPr>
          <w:b/>
          <w:bCs/>
        </w:rPr>
        <w:t>At hundred-times volume we recommend AWS — about 70% lower TCO than self-managed once labor is included.</w:t>
      </w:r>
      <w:r>
        <w:t>”</w:t>
      </w:r>
    </w:p>
    <w:p w14:paraId="3C8ECF94" w14:textId="77777777" w:rsidR="008453E3" w:rsidRDefault="00850E0C">
      <w:pPr>
        <w:pStyle w:val="Heading2"/>
        <w:spacing w:before="360"/>
      </w:pPr>
      <w:r>
        <w:t>Slide 23 · Lessons Learned</w:t>
      </w:r>
    </w:p>
    <w:p w14:paraId="4DBE4252" w14:textId="77777777" w:rsidR="008453E3" w:rsidRDefault="00850E0C">
      <w:pPr>
        <w:spacing w:after="200"/>
      </w:pPr>
      <w:r>
        <w:rPr>
          <w:i/>
          <w:iCs/>
          <w:color w:val="5B7A82"/>
          <w:sz w:val="20"/>
          <w:szCs w:val="20"/>
        </w:rPr>
        <w:t>35 seconds</w:t>
      </w:r>
    </w:p>
    <w:p w14:paraId="170330AA" w14:textId="77777777" w:rsidR="008453E3" w:rsidRDefault="00850E0C">
      <w:pPr>
        <w:spacing w:after="120" w:line="320" w:lineRule="auto"/>
      </w:pPr>
      <w:r>
        <w:t>“Three reflections from the build. What worked: a single docker compose with a shared network removed service-discovery friction completely. Reusable cleaning logic across all five datasets. The cost-per-viewing-hour metric directly linked technical work to business value. What was hard: schema alignment between batch and streaming layers, the missing session-level join key in streaming-quality which we worked around with user-level aggregation, and Apple Silicon compatibility. What we’d do differently: def</w:t>
      </w:r>
      <w:r>
        <w:t>ine data contracts on day one, add a second Kafka topic for alerts, and run earlier full-stack integration testing.”</w:t>
      </w:r>
    </w:p>
    <w:p w14:paraId="20A4415B" w14:textId="5BB47254" w:rsidR="008453E3" w:rsidRDefault="00850E0C" w:rsidP="00A46485">
      <w:pPr>
        <w:pStyle w:val="Heading2"/>
        <w:spacing w:before="360"/>
      </w:pPr>
      <w:r>
        <w:t>Slide 24 · Q&amp;A</w:t>
      </w:r>
    </w:p>
    <w:sectPr w:rsidR="008453E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E7ABE"/>
    <w:multiLevelType w:val="hybridMultilevel"/>
    <w:tmpl w:val="5262E9C6"/>
    <w:lvl w:ilvl="0" w:tplc="1740655E">
      <w:start w:val="1"/>
      <w:numFmt w:val="bullet"/>
      <w:lvlText w:val="●"/>
      <w:lvlJc w:val="left"/>
      <w:pPr>
        <w:ind w:left="720" w:hanging="360"/>
      </w:pPr>
    </w:lvl>
    <w:lvl w:ilvl="1" w:tplc="3626C400">
      <w:start w:val="1"/>
      <w:numFmt w:val="bullet"/>
      <w:lvlText w:val="○"/>
      <w:lvlJc w:val="left"/>
      <w:pPr>
        <w:ind w:left="1440" w:hanging="360"/>
      </w:pPr>
    </w:lvl>
    <w:lvl w:ilvl="2" w:tplc="B074DA48">
      <w:start w:val="1"/>
      <w:numFmt w:val="bullet"/>
      <w:lvlText w:val="■"/>
      <w:lvlJc w:val="left"/>
      <w:pPr>
        <w:ind w:left="2160" w:hanging="360"/>
      </w:pPr>
    </w:lvl>
    <w:lvl w:ilvl="3" w:tplc="8326D48A">
      <w:start w:val="1"/>
      <w:numFmt w:val="bullet"/>
      <w:lvlText w:val="●"/>
      <w:lvlJc w:val="left"/>
      <w:pPr>
        <w:ind w:left="2880" w:hanging="360"/>
      </w:pPr>
    </w:lvl>
    <w:lvl w:ilvl="4" w:tplc="504247DA">
      <w:start w:val="1"/>
      <w:numFmt w:val="bullet"/>
      <w:lvlText w:val="○"/>
      <w:lvlJc w:val="left"/>
      <w:pPr>
        <w:ind w:left="3600" w:hanging="360"/>
      </w:pPr>
    </w:lvl>
    <w:lvl w:ilvl="5" w:tplc="E1422F8E">
      <w:start w:val="1"/>
      <w:numFmt w:val="bullet"/>
      <w:lvlText w:val="■"/>
      <w:lvlJc w:val="left"/>
      <w:pPr>
        <w:ind w:left="4320" w:hanging="360"/>
      </w:pPr>
    </w:lvl>
    <w:lvl w:ilvl="6" w:tplc="A1F6097E">
      <w:start w:val="1"/>
      <w:numFmt w:val="bullet"/>
      <w:lvlText w:val="●"/>
      <w:lvlJc w:val="left"/>
      <w:pPr>
        <w:ind w:left="5040" w:hanging="360"/>
      </w:pPr>
    </w:lvl>
    <w:lvl w:ilvl="7" w:tplc="80860792">
      <w:start w:val="1"/>
      <w:numFmt w:val="bullet"/>
      <w:lvlText w:val="●"/>
      <w:lvlJc w:val="left"/>
      <w:pPr>
        <w:ind w:left="5760" w:hanging="360"/>
      </w:pPr>
    </w:lvl>
    <w:lvl w:ilvl="8" w:tplc="F10E285E">
      <w:start w:val="1"/>
      <w:numFmt w:val="bullet"/>
      <w:lvlText w:val="●"/>
      <w:lvlJc w:val="left"/>
      <w:pPr>
        <w:ind w:left="6480" w:hanging="360"/>
      </w:pPr>
    </w:lvl>
  </w:abstractNum>
  <w:num w:numId="1" w16cid:durableId="1513685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53E3"/>
    <w:rsid w:val="00116056"/>
    <w:rsid w:val="00172CA1"/>
    <w:rsid w:val="001A37D0"/>
    <w:rsid w:val="00434FED"/>
    <w:rsid w:val="008453E3"/>
    <w:rsid w:val="00850E0C"/>
    <w:rsid w:val="00A46485"/>
    <w:rsid w:val="00AC1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AA9A6F"/>
  <w15:docId w15:val="{CF16CAA9-FC65-204D-95A6-BE0BAB840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012E36"/>
      <w:sz w:val="32"/>
      <w:szCs w:val="32"/>
    </w:rPr>
  </w:style>
  <w:style w:type="paragraph" w:styleId="Heading2">
    <w:name w:val="heading 2"/>
    <w:uiPriority w:val="9"/>
    <w:unhideWhenUsed/>
    <w:qFormat/>
    <w:pPr>
      <w:spacing w:before="320" w:after="80"/>
      <w:outlineLvl w:val="1"/>
    </w:pPr>
    <w:rPr>
      <w:b/>
      <w:bCs/>
      <w:color w:val="012E3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1bf7de-e2e5-46df-8d67-82607df9deaa}" enabled="0" method="" siteId="{741bf7de-e2e5-46df-8d67-82607df9dea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1405</Words>
  <Characters>8015</Characters>
  <Application>Microsoft Office Word</Application>
  <DocSecurity>0</DocSecurity>
  <Lines>66</Lines>
  <Paragraphs>18</Paragraphs>
  <ScaleCrop>false</ScaleCrop>
  <Company/>
  <LinksUpToDate>false</LinksUpToDate>
  <CharactersWithSpaces>9402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Nga Nguyễn</cp:lastModifiedBy>
  <cp:revision>5</cp:revision>
  <dcterms:created xsi:type="dcterms:W3CDTF">2026-05-04T16:02:00Z</dcterms:created>
  <dcterms:modified xsi:type="dcterms:W3CDTF">2026-05-04T18:14:00Z</dcterms:modified>
</cp:coreProperties>
</file>