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0BACA" w14:textId="77777777" w:rsidR="00225A1A" w:rsidRDefault="0045330C">
      <w:pPr>
        <w:spacing w:after="80"/>
      </w:pPr>
      <w:proofErr w:type="spellStart"/>
      <w:r>
        <w:rPr>
          <w:i/>
          <w:iCs/>
          <w:color w:val="5B7A82"/>
        </w:rPr>
        <w:t>MediaWave</w:t>
      </w:r>
      <w:proofErr w:type="spellEnd"/>
      <w:r>
        <w:rPr>
          <w:i/>
          <w:iCs/>
          <w:color w:val="5B7A82"/>
        </w:rPr>
        <w:t xml:space="preserve"> Streaming · Big Data Pipeline</w:t>
      </w:r>
    </w:p>
    <w:p w14:paraId="12FA9713" w14:textId="77777777" w:rsidR="00225A1A" w:rsidRDefault="0045330C">
      <w:pPr>
        <w:spacing w:after="60"/>
      </w:pPr>
      <w:r>
        <w:rPr>
          <w:b/>
          <w:bCs/>
          <w:color w:val="012E36"/>
          <w:sz w:val="44"/>
          <w:szCs w:val="44"/>
        </w:rPr>
        <w:t>Final Report</w:t>
      </w:r>
    </w:p>
    <w:p w14:paraId="4E78E2F3" w14:textId="77777777" w:rsidR="00225A1A" w:rsidRDefault="0045330C">
      <w:pPr>
        <w:spacing w:after="60"/>
      </w:pPr>
      <w:r>
        <w:rPr>
          <w:b/>
          <w:bCs/>
          <w:color w:val="5B7A82"/>
          <w:sz w:val="20"/>
          <w:szCs w:val="20"/>
        </w:rPr>
        <w:t xml:space="preserve">Prepared by: </w:t>
      </w:r>
      <w:r>
        <w:rPr>
          <w:color w:val="5B7A82"/>
          <w:sz w:val="20"/>
          <w:szCs w:val="20"/>
        </w:rPr>
        <w:t>Team Data Avengers · Helen Nguyen, Quang Nguyen, Juan Rivera, Aleksandr Nicolaev, Yusuke Yoshizawa</w:t>
      </w:r>
    </w:p>
    <w:p w14:paraId="0EA75175" w14:textId="670CE963" w:rsidR="00225A1A" w:rsidRDefault="0045330C">
      <w:pPr>
        <w:spacing w:after="200"/>
      </w:pPr>
      <w:r>
        <w:rPr>
          <w:b/>
          <w:bCs/>
          <w:color w:val="5B7A82"/>
          <w:sz w:val="20"/>
          <w:szCs w:val="20"/>
        </w:rPr>
        <w:t xml:space="preserve">Course: </w:t>
      </w:r>
      <w:r>
        <w:rPr>
          <w:color w:val="5B7A82"/>
          <w:sz w:val="20"/>
          <w:szCs w:val="20"/>
        </w:rPr>
        <w:t xml:space="preserve">ISM 6562 Big Data for Business Applications </w:t>
      </w:r>
      <w:r w:rsidR="001F5C7D">
        <w:rPr>
          <w:color w:val="5B7A82"/>
          <w:sz w:val="20"/>
          <w:szCs w:val="20"/>
        </w:rPr>
        <w:t>|</w:t>
      </w:r>
      <w:r>
        <w:rPr>
          <w:color w:val="5B7A82"/>
          <w:sz w:val="20"/>
          <w:szCs w:val="20"/>
        </w:rPr>
        <w:t xml:space="preserve"> Prof. Tim Smith </w:t>
      </w:r>
      <w:r w:rsidR="001F5C7D">
        <w:rPr>
          <w:color w:val="5B7A82"/>
          <w:sz w:val="20"/>
          <w:szCs w:val="20"/>
        </w:rPr>
        <w:t>|</w:t>
      </w:r>
      <w:r>
        <w:rPr>
          <w:color w:val="5B7A82"/>
          <w:sz w:val="20"/>
          <w:szCs w:val="20"/>
        </w:rPr>
        <w:t xml:space="preserve"> May 2026</w:t>
      </w:r>
    </w:p>
    <w:p w14:paraId="43ECAC6D" w14:textId="77777777" w:rsidR="00225A1A" w:rsidRDefault="0045330C">
      <w:pPr>
        <w:pStyle w:val="Heading1"/>
        <w:spacing w:before="320" w:after="160"/>
      </w:pPr>
      <w:r>
        <w:t>1. Executive Summary</w:t>
      </w:r>
    </w:p>
    <w:p w14:paraId="699FB0E7" w14:textId="1E3347C7" w:rsidR="00225A1A" w:rsidRDefault="0045330C">
      <w:pPr>
        <w:spacing w:after="160" w:line="300" w:lineRule="auto"/>
        <w:jc w:val="both"/>
      </w:pPr>
      <w:proofErr w:type="spellStart"/>
      <w:r>
        <w:rPr>
          <w:color w:val="1A1A1A"/>
        </w:rPr>
        <w:t>MediaWave</w:t>
      </w:r>
      <w:proofErr w:type="spellEnd"/>
      <w:r>
        <w:rPr>
          <w:color w:val="1A1A1A"/>
        </w:rPr>
        <w:t xml:space="preserve"> Streaming serves 200,000 subscribers across three plan tiers, licenses 20,000 titles, and operates across 7 CDN regions and 10 ISP partners. The business is operationally healthy. The data </w:t>
      </w:r>
      <w:r w:rsidR="003F561D">
        <w:rPr>
          <w:color w:val="1A1A1A"/>
        </w:rPr>
        <w:t>integration</w:t>
      </w:r>
      <w:r>
        <w:rPr>
          <w:color w:val="1A1A1A"/>
        </w:rPr>
        <w:t xml:space="preserve"> is not. Five primary data sources </w:t>
      </w:r>
      <w:r w:rsidR="00533B57">
        <w:rPr>
          <w:color w:val="1A1A1A"/>
        </w:rPr>
        <w:t>(</w:t>
      </w:r>
      <w:r>
        <w:rPr>
          <w:color w:val="1A1A1A"/>
        </w:rPr>
        <w:t>user profiles, viewing history, content catalog, user interactions, and streaming quality</w:t>
      </w:r>
      <w:r w:rsidR="00533B57">
        <w:rPr>
          <w:color w:val="1A1A1A"/>
        </w:rPr>
        <w:t>)</w:t>
      </w:r>
      <w:r>
        <w:rPr>
          <w:color w:val="1A1A1A"/>
        </w:rPr>
        <w:t xml:space="preserve"> sit in disconnected files, making the questions that matter most impossible to answer without manual cross-source reconciliation. </w:t>
      </w:r>
      <w:r>
        <w:rPr>
          <w:i/>
          <w:iCs/>
          <w:color w:val="1A1A1A"/>
        </w:rPr>
        <w:t xml:space="preserve">Which titles cost more in licensing than they earn in viewing hours? Does buffering predict cancellation? Which engagement signals appear before a user disengages? </w:t>
      </w:r>
      <w:r>
        <w:rPr>
          <w:color w:val="1A1A1A"/>
        </w:rPr>
        <w:t xml:space="preserve">Each of these crosses at least two source files. </w:t>
      </w:r>
      <w:proofErr w:type="spellStart"/>
      <w:r>
        <w:rPr>
          <w:b/>
          <w:bCs/>
          <w:color w:val="1A1A1A"/>
        </w:rPr>
        <w:t>MediaWave</w:t>
      </w:r>
      <w:proofErr w:type="spellEnd"/>
      <w:r>
        <w:rPr>
          <w:b/>
          <w:bCs/>
          <w:color w:val="1A1A1A"/>
        </w:rPr>
        <w:t xml:space="preserve"> is not </w:t>
      </w:r>
      <w:proofErr w:type="gramStart"/>
      <w:r>
        <w:rPr>
          <w:b/>
          <w:bCs/>
          <w:color w:val="1A1A1A"/>
        </w:rPr>
        <w:t>data-poor</w:t>
      </w:r>
      <w:proofErr w:type="gramEnd"/>
      <w:r>
        <w:rPr>
          <w:b/>
          <w:bCs/>
          <w:color w:val="1A1A1A"/>
        </w:rPr>
        <w:t xml:space="preserve">. It is </w:t>
      </w:r>
      <w:proofErr w:type="gramStart"/>
      <w:r>
        <w:rPr>
          <w:b/>
          <w:bCs/>
          <w:color w:val="1A1A1A"/>
        </w:rPr>
        <w:t>integration-poor</w:t>
      </w:r>
      <w:proofErr w:type="gramEnd"/>
      <w:r>
        <w:rPr>
          <w:b/>
          <w:bCs/>
          <w:color w:val="1A1A1A"/>
        </w:rPr>
        <w:t>.</w:t>
      </w:r>
    </w:p>
    <w:p w14:paraId="2E528FEC" w14:textId="3650D3F7" w:rsidR="00225A1A" w:rsidRDefault="0045330C">
      <w:pPr>
        <w:spacing w:after="160" w:line="300" w:lineRule="auto"/>
        <w:jc w:val="both"/>
      </w:pPr>
      <w:r>
        <w:rPr>
          <w:color w:val="1A1A1A"/>
        </w:rPr>
        <w:t xml:space="preserve">We designed and built a complete four-layer big data pipeline that ingests </w:t>
      </w:r>
      <w:proofErr w:type="spellStart"/>
      <w:r>
        <w:rPr>
          <w:color w:val="1A1A1A"/>
        </w:rPr>
        <w:t>MediaWave’s</w:t>
      </w:r>
      <w:proofErr w:type="spellEnd"/>
      <w:r>
        <w:rPr>
          <w:color w:val="1A1A1A"/>
        </w:rPr>
        <w:t xml:space="preserve"> five datasets, transforms them into business-ready analytics tables, and powers both batch reporting and real-time monitoring. Storage runs on HDFS with a three-zone lake (landing, curated, analytics). Transformation runs in </w:t>
      </w:r>
      <w:proofErr w:type="spellStart"/>
      <w:r>
        <w:rPr>
          <w:color w:val="1A1A1A"/>
        </w:rPr>
        <w:t>PySpark</w:t>
      </w:r>
      <w:proofErr w:type="spellEnd"/>
      <w:r>
        <w:rPr>
          <w:color w:val="1A1A1A"/>
        </w:rPr>
        <w:t xml:space="preserve"> with cleaning, three-way joins, and custom business metrics. Streaming runs through Kafka with Spark Structured Streaming for real-time alerts. Orchestration runs in Apache Airflow with quality gates, retry logic, and idempotent re-runs. The full stack </w:t>
      </w:r>
      <w:r w:rsidR="0072675C">
        <w:rPr>
          <w:color w:val="1A1A1A"/>
        </w:rPr>
        <w:t>(</w:t>
      </w:r>
      <w:r>
        <w:rPr>
          <w:color w:val="1A1A1A"/>
        </w:rPr>
        <w:t>eleven services across four layers</w:t>
      </w:r>
      <w:r w:rsidR="0072675C">
        <w:rPr>
          <w:color w:val="1A1A1A"/>
        </w:rPr>
        <w:t>)</w:t>
      </w:r>
      <w:r>
        <w:rPr>
          <w:color w:val="1A1A1A"/>
        </w:rPr>
        <w:t xml:space="preserve"> boots reproducibly from a single </w:t>
      </w:r>
      <w:r>
        <w:rPr>
          <w:b/>
          <w:bCs/>
          <w:color w:val="1A1A1A"/>
        </w:rPr>
        <w:t>docker compose up -d</w:t>
      </w:r>
      <w:r>
        <w:rPr>
          <w:color w:val="1A1A1A"/>
        </w:rPr>
        <w:t xml:space="preserve"> command in approximately three minutes.</w:t>
      </w:r>
    </w:p>
    <w:p w14:paraId="306809D5" w14:textId="77777777" w:rsidR="00225A1A" w:rsidRDefault="0045330C">
      <w:pPr>
        <w:spacing w:after="160" w:line="300" w:lineRule="auto"/>
        <w:jc w:val="both"/>
      </w:pPr>
      <w:r>
        <w:rPr>
          <w:color w:val="1A1A1A"/>
        </w:rPr>
        <w:t>The pipeline surfaced three findings with quantified business impact:</w:t>
      </w:r>
    </w:p>
    <w:p w14:paraId="224DF397" w14:textId="2BAF1A98" w:rsidR="00225A1A" w:rsidRDefault="0045330C">
      <w:pPr>
        <w:spacing w:after="160" w:line="300" w:lineRule="auto"/>
        <w:jc w:val="both"/>
      </w:pPr>
      <w:r>
        <w:rPr>
          <w:b/>
          <w:bCs/>
          <w:color w:val="1A1A1A"/>
        </w:rPr>
        <w:t xml:space="preserve">1. Content ROI is concentrated in a small share of titles. </w:t>
      </w:r>
      <w:r>
        <w:rPr>
          <w:color w:val="1A1A1A"/>
        </w:rPr>
        <w:t xml:space="preserve">Using a custom </w:t>
      </w:r>
      <w:r>
        <w:rPr>
          <w:i/>
          <w:iCs/>
          <w:color w:val="1A1A1A"/>
        </w:rPr>
        <w:t>cost-per-viewing-hour</w:t>
      </w:r>
      <w:r>
        <w:rPr>
          <w:color w:val="1A1A1A"/>
        </w:rPr>
        <w:t xml:space="preserve"> metric, 73% of catalog cost concentrates in below-median ROI titles. The bottom decile alone drives $3.13 billion in annual license cost </w:t>
      </w:r>
      <w:r w:rsidR="00CD5696">
        <w:rPr>
          <w:color w:val="1A1A1A"/>
        </w:rPr>
        <w:t>–</w:t>
      </w:r>
      <w:r>
        <w:rPr>
          <w:color w:val="1A1A1A"/>
        </w:rPr>
        <w:t xml:space="preserve"> </w:t>
      </w:r>
      <w:r w:rsidR="00CD5696">
        <w:rPr>
          <w:color w:val="1A1A1A"/>
        </w:rPr>
        <w:t>w</w:t>
      </w:r>
      <w:r>
        <w:rPr>
          <w:color w:val="1A1A1A"/>
        </w:rPr>
        <w:t xml:space="preserve">ith an 860× variance separating the worst-performing title ($19,638 per viewing hour) from the best ($23). </w:t>
      </w:r>
      <w:r>
        <w:rPr>
          <w:b/>
          <w:bCs/>
          <w:color w:val="1A1A1A"/>
        </w:rPr>
        <w:t>Recommendation:</w:t>
      </w:r>
      <w:r>
        <w:rPr>
          <w:color w:val="1A1A1A"/>
        </w:rPr>
        <w:t xml:space="preserve"> drop the bottom decile at next license cycle. Estimated annual savings: $1.5</w:t>
      </w:r>
      <w:r w:rsidR="00B64ED3">
        <w:rPr>
          <w:color w:val="1A1A1A"/>
        </w:rPr>
        <w:t xml:space="preserve"> – 3.1</w:t>
      </w:r>
      <w:r>
        <w:rPr>
          <w:color w:val="1A1A1A"/>
        </w:rPr>
        <w:t>billion.</w:t>
      </w:r>
    </w:p>
    <w:p w14:paraId="2386BF13" w14:textId="30421DCB" w:rsidR="00225A1A" w:rsidRDefault="0045330C">
      <w:pPr>
        <w:spacing w:after="160" w:line="300" w:lineRule="auto"/>
        <w:jc w:val="both"/>
      </w:pPr>
      <w:r>
        <w:rPr>
          <w:b/>
          <w:bCs/>
          <w:color w:val="1A1A1A"/>
        </w:rPr>
        <w:t xml:space="preserve">2. Subscription tier does not predict engagement. </w:t>
      </w:r>
      <w:r>
        <w:rPr>
          <w:color w:val="1A1A1A"/>
        </w:rPr>
        <w:t xml:space="preserve">Contrary to common assumption, completion rates are virtually identical across plan tiers </w:t>
      </w:r>
      <w:r w:rsidR="00E50020">
        <w:rPr>
          <w:color w:val="1A1A1A"/>
        </w:rPr>
        <w:t xml:space="preserve">– </w:t>
      </w:r>
      <w:r>
        <w:rPr>
          <w:color w:val="1A1A1A"/>
        </w:rPr>
        <w:t xml:space="preserve">Basic 52.8%, Standard 52.6%, Premium 52.9%. The spread is 0.2 percentage points. Title-level variance, by contrast, ranges from 28.9% to 76.7% </w:t>
      </w:r>
      <w:r w:rsidR="00E50020">
        <w:rPr>
          <w:color w:val="1A1A1A"/>
        </w:rPr>
        <w:t xml:space="preserve">– </w:t>
      </w:r>
      <w:r>
        <w:rPr>
          <w:color w:val="1A1A1A"/>
        </w:rPr>
        <w:t xml:space="preserve">a 48-point spread. </w:t>
      </w:r>
      <w:r>
        <w:rPr>
          <w:b/>
          <w:bCs/>
          <w:color w:val="1A1A1A"/>
        </w:rPr>
        <w:t>Recommendation:</w:t>
      </w:r>
      <w:r>
        <w:rPr>
          <w:color w:val="1A1A1A"/>
        </w:rPr>
        <w:t xml:space="preserve"> redirect personalization investment from tier-aware logic to title-level features.</w:t>
      </w:r>
    </w:p>
    <w:p w14:paraId="035CFFDE" w14:textId="15310AB5" w:rsidR="00225A1A" w:rsidRDefault="0045330C">
      <w:pPr>
        <w:spacing w:after="160" w:line="300" w:lineRule="auto"/>
        <w:jc w:val="both"/>
      </w:pPr>
      <w:r>
        <w:rPr>
          <w:b/>
          <w:bCs/>
          <w:color w:val="1A1A1A"/>
        </w:rPr>
        <w:t xml:space="preserve">3. Total monthly hours watched is the dominant churn precursor. </w:t>
      </w:r>
      <w:r>
        <w:rPr>
          <w:color w:val="1A1A1A"/>
        </w:rPr>
        <w:t xml:space="preserve">Comparing 19,573 churned users with 180,427 retained users, retained users average 26.4 hours per month versus 15.2 for churned users </w:t>
      </w:r>
      <w:r w:rsidR="00E50020">
        <w:rPr>
          <w:color w:val="1A1A1A"/>
        </w:rPr>
        <w:t xml:space="preserve">– </w:t>
      </w:r>
      <w:r>
        <w:rPr>
          <w:color w:val="1A1A1A"/>
        </w:rPr>
        <w:t xml:space="preserve">a 42% gap. Other candidate signals (completion rate, buffering, unique titles per month) showed no statistical separation between cohorts. </w:t>
      </w:r>
      <w:r>
        <w:rPr>
          <w:b/>
          <w:bCs/>
          <w:color w:val="1A1A1A"/>
        </w:rPr>
        <w:t>Recommendation:</w:t>
      </w:r>
      <w:r>
        <w:rPr>
          <w:color w:val="1A1A1A"/>
        </w:rPr>
        <w:t xml:space="preserve"> build a churn early-warning model on monthly hours watched and engagement velocity (recent versus historical).</w:t>
      </w:r>
    </w:p>
    <w:p w14:paraId="21D09176" w14:textId="77777777" w:rsidR="00225A1A" w:rsidRDefault="0045330C">
      <w:pPr>
        <w:spacing w:after="160" w:line="300" w:lineRule="auto"/>
        <w:jc w:val="both"/>
      </w:pPr>
      <w:r>
        <w:rPr>
          <w:color w:val="1A1A1A"/>
        </w:rPr>
        <w:t xml:space="preserve">All three recommendations are implementable from analytics tables the pipeline produces today. No additional data sources or systems are required. The architecture scales linearly to 10× and 100× volume via reconfiguration rather than </w:t>
      </w:r>
      <w:proofErr w:type="spellStart"/>
      <w:r>
        <w:rPr>
          <w:color w:val="1A1A1A"/>
        </w:rPr>
        <w:t>rearchitecture</w:t>
      </w:r>
      <w:proofErr w:type="spellEnd"/>
      <w:r>
        <w:rPr>
          <w:color w:val="1A1A1A"/>
        </w:rPr>
        <w:t xml:space="preserve">, and maps cleanly to managed cloud equivalents on AWS, GCP, or Azure when </w:t>
      </w:r>
      <w:proofErr w:type="spellStart"/>
      <w:r>
        <w:rPr>
          <w:color w:val="1A1A1A"/>
        </w:rPr>
        <w:t>MediaWave</w:t>
      </w:r>
      <w:proofErr w:type="spellEnd"/>
      <w:r>
        <w:rPr>
          <w:color w:val="1A1A1A"/>
        </w:rPr>
        <w:t xml:space="preserve"> is ready to migrate.</w:t>
      </w:r>
    </w:p>
    <w:p w14:paraId="59691CFB" w14:textId="77777777" w:rsidR="00225A1A" w:rsidRDefault="0045330C">
      <w:pPr>
        <w:pStyle w:val="Heading1"/>
        <w:spacing w:before="320" w:after="160"/>
      </w:pPr>
      <w:r>
        <w:lastRenderedPageBreak/>
        <w:t>2. Architecture Design</w:t>
      </w:r>
    </w:p>
    <w:p w14:paraId="30899D1B" w14:textId="77777777" w:rsidR="00225A1A" w:rsidRDefault="0045330C">
      <w:pPr>
        <w:pStyle w:val="Heading2"/>
        <w:spacing w:before="240" w:after="120"/>
      </w:pPr>
      <w:r>
        <w:t>2.1 Overview and Design Principles</w:t>
      </w:r>
    </w:p>
    <w:p w14:paraId="2A5CD912" w14:textId="331223F5" w:rsidR="00225A1A" w:rsidRDefault="0045330C">
      <w:pPr>
        <w:spacing w:after="160" w:line="300" w:lineRule="auto"/>
        <w:jc w:val="both"/>
      </w:pPr>
      <w:r>
        <w:rPr>
          <w:color w:val="1A1A1A"/>
        </w:rPr>
        <w:t xml:space="preserve">The </w:t>
      </w:r>
      <w:proofErr w:type="spellStart"/>
      <w:r>
        <w:rPr>
          <w:color w:val="1A1A1A"/>
        </w:rPr>
        <w:t>MediaWave</w:t>
      </w:r>
      <w:proofErr w:type="spellEnd"/>
      <w:r>
        <w:rPr>
          <w:color w:val="1A1A1A"/>
        </w:rPr>
        <w:t xml:space="preserve"> pipeline implements a four-layer big data architecture covering storage, batch transformation, real-time streaming, and orchestration. The design follows three principles: </w:t>
      </w:r>
      <w:r>
        <w:rPr>
          <w:b/>
          <w:bCs/>
          <w:color w:val="1A1A1A"/>
        </w:rPr>
        <w:t>separation of concerns</w:t>
      </w:r>
      <w:r>
        <w:rPr>
          <w:color w:val="1A1A1A"/>
        </w:rPr>
        <w:t xml:space="preserve"> (each layer has one responsibility </w:t>
      </w:r>
      <w:r w:rsidR="00E50020">
        <w:rPr>
          <w:color w:val="1A1A1A"/>
        </w:rPr>
        <w:t xml:space="preserve">– </w:t>
      </w:r>
      <w:r>
        <w:rPr>
          <w:color w:val="1A1A1A"/>
        </w:rPr>
        <w:t xml:space="preserve">HDFS stores, Spark transforms, Kafka streams, Airflow orchestrates), </w:t>
      </w:r>
      <w:r>
        <w:rPr>
          <w:b/>
          <w:bCs/>
          <w:color w:val="1A1A1A"/>
        </w:rPr>
        <w:t>idempotency</w:t>
      </w:r>
      <w:r>
        <w:rPr>
          <w:color w:val="1A1A1A"/>
        </w:rPr>
        <w:t xml:space="preserve"> (re-running any stage produces identical output, never duplicates), and </w:t>
      </w:r>
      <w:r>
        <w:rPr>
          <w:b/>
          <w:bCs/>
          <w:color w:val="1A1A1A"/>
        </w:rPr>
        <w:t>reproducibility</w:t>
      </w:r>
      <w:r>
        <w:rPr>
          <w:color w:val="1A1A1A"/>
        </w:rPr>
        <w:t xml:space="preserve"> (the entire stack runs from a single </w:t>
      </w:r>
      <w:r>
        <w:rPr>
          <w:b/>
          <w:bCs/>
          <w:color w:val="1A1A1A"/>
        </w:rPr>
        <w:t>docker compose up -d</w:t>
      </w:r>
      <w:r>
        <w:rPr>
          <w:color w:val="1A1A1A"/>
        </w:rPr>
        <w:t xml:space="preserve"> command on any machine with Docker installed).</w:t>
      </w:r>
    </w:p>
    <w:p w14:paraId="47004D39" w14:textId="6D9B0991" w:rsidR="00225A1A" w:rsidRDefault="0045330C">
      <w:pPr>
        <w:spacing w:after="160" w:line="300" w:lineRule="auto"/>
        <w:jc w:val="both"/>
      </w:pPr>
      <w:r>
        <w:rPr>
          <w:color w:val="1A1A1A"/>
        </w:rPr>
        <w:t xml:space="preserve">We chose a </w:t>
      </w:r>
      <w:r>
        <w:rPr>
          <w:b/>
          <w:bCs/>
          <w:color w:val="1A1A1A"/>
        </w:rPr>
        <w:t>Lambda architecture</w:t>
      </w:r>
      <w:r>
        <w:rPr>
          <w:color w:val="1A1A1A"/>
        </w:rPr>
        <w:t xml:space="preserve"> rather than Kappa because </w:t>
      </w:r>
      <w:proofErr w:type="spellStart"/>
      <w:r>
        <w:rPr>
          <w:color w:val="1A1A1A"/>
        </w:rPr>
        <w:t>MediaWave’s</w:t>
      </w:r>
      <w:proofErr w:type="spellEnd"/>
      <w:r>
        <w:rPr>
          <w:color w:val="1A1A1A"/>
        </w:rPr>
        <w:t xml:space="preserve"> analytical needs split cleanly between historical batch reporting (which titles performed best last quarter? what drives churn?) and real-time monitoring (is buffering rate spiking right now?). Batch jobs run on a daily Airflow schedule; streaming jobs run continuously. Both write to the same HDFS analytics zone, allowing downstream consumers to query a unified dataset. We rejected Kappa because historical re-processing requires replaying the full event log, heavy aggregations are expensive in pure streaming, and analytics queries get more complex </w:t>
      </w:r>
      <w:r w:rsidR="00E50020">
        <w:rPr>
          <w:color w:val="1A1A1A"/>
        </w:rPr>
        <w:t xml:space="preserve">– </w:t>
      </w:r>
      <w:r>
        <w:rPr>
          <w:color w:val="1A1A1A"/>
        </w:rPr>
        <w:t>all considerations that matter when the dollar values attached to ROI calculations reach billions.</w:t>
      </w:r>
    </w:p>
    <w:p w14:paraId="719F5AB2" w14:textId="77777777" w:rsidR="00225A1A" w:rsidRDefault="0045330C">
      <w:pPr>
        <w:pStyle w:val="Heading2"/>
        <w:spacing w:before="240" w:after="120"/>
      </w:pPr>
      <w:r>
        <w:t>2.2 Full Pipeline Architecture</w:t>
      </w:r>
    </w:p>
    <w:p w14:paraId="50417C49" w14:textId="5D7AC9A9" w:rsidR="00D73456" w:rsidRDefault="00D73456" w:rsidP="00D73456">
      <w:pPr>
        <w:pStyle w:val="Heading2"/>
        <w:spacing w:before="240" w:after="120"/>
        <w:jc w:val="center"/>
      </w:pPr>
      <w:r w:rsidRPr="00D73456">
        <w:rPr>
          <w:noProof/>
        </w:rPr>
        <w:drawing>
          <wp:inline distT="0" distB="0" distL="0" distR="0" wp14:anchorId="4A973515" wp14:editId="0352493E">
            <wp:extent cx="2923504" cy="1644471"/>
            <wp:effectExtent l="0" t="0" r="0" b="0"/>
            <wp:docPr id="47548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88916" name=""/>
                    <pic:cNvPicPr/>
                  </pic:nvPicPr>
                  <pic:blipFill>
                    <a:blip r:embed="rId5"/>
                    <a:stretch>
                      <a:fillRect/>
                    </a:stretch>
                  </pic:blipFill>
                  <pic:spPr>
                    <a:xfrm>
                      <a:off x="0" y="0"/>
                      <a:ext cx="2962939" cy="1666653"/>
                    </a:xfrm>
                    <a:prstGeom prst="rect">
                      <a:avLst/>
                    </a:prstGeom>
                  </pic:spPr>
                </pic:pic>
              </a:graphicData>
            </a:graphic>
          </wp:inline>
        </w:drawing>
      </w:r>
    </w:p>
    <w:p w14:paraId="5D05A3F3" w14:textId="3BF48AEF" w:rsidR="00225A1A" w:rsidRDefault="0045330C">
      <w:pPr>
        <w:spacing w:after="160" w:line="300" w:lineRule="auto"/>
        <w:jc w:val="both"/>
      </w:pPr>
      <w:r>
        <w:rPr>
          <w:color w:val="1A1A1A"/>
        </w:rPr>
        <w:t xml:space="preserve">The pipeline ingests five </w:t>
      </w:r>
      <w:proofErr w:type="spellStart"/>
      <w:r>
        <w:rPr>
          <w:color w:val="1A1A1A"/>
        </w:rPr>
        <w:t>MediaWave</w:t>
      </w:r>
      <w:proofErr w:type="spellEnd"/>
      <w:r>
        <w:rPr>
          <w:color w:val="1A1A1A"/>
        </w:rPr>
        <w:t xml:space="preserve"> datasets </w:t>
      </w:r>
      <w:r w:rsidR="00E50020">
        <w:rPr>
          <w:color w:val="1A1A1A"/>
        </w:rPr>
        <w:t xml:space="preserve">– </w:t>
      </w:r>
      <w:r>
        <w:rPr>
          <w:color w:val="1A1A1A"/>
        </w:rPr>
        <w:t xml:space="preserve">user profiles, viewing history, content catalog, user interactions, and streaming quality metrics </w:t>
      </w:r>
      <w:r w:rsidR="00E50020">
        <w:rPr>
          <w:color w:val="1A1A1A"/>
        </w:rPr>
        <w:t xml:space="preserve">– </w:t>
      </w:r>
      <w:r>
        <w:rPr>
          <w:color w:val="1A1A1A"/>
        </w:rPr>
        <w:t xml:space="preserve">into the HDFS landing zone in their original formats. </w:t>
      </w:r>
      <w:proofErr w:type="spellStart"/>
      <w:r>
        <w:rPr>
          <w:color w:val="1A1A1A"/>
        </w:rPr>
        <w:t>PySpark</w:t>
      </w:r>
      <w:proofErr w:type="spellEnd"/>
      <w:r>
        <w:rPr>
          <w:color w:val="1A1A1A"/>
        </w:rPr>
        <w:t xml:space="preserve"> batch jobs read from landing, clean and standardize the data, write Parquet files to the curated zone, then perform joins and aggregations to produce three business-question-specific analytics tables. In parallel, a Kafka producer simulates real-time viewing events from the historical viewing-history dataset, and a Spark Structured Streaming consumer reads from the user-viewing-events topic to compute windowed aggregations such as top-watched content per minute. Apache Airflow schedules and monitors the entire batch flow with built-in quality gates and retry logic.</w:t>
      </w:r>
    </w:p>
    <w:p w14:paraId="3C6F87A1" w14:textId="77777777" w:rsidR="00225A1A" w:rsidRDefault="0045330C">
      <w:pPr>
        <w:pStyle w:val="Heading2"/>
        <w:spacing w:before="240" w:after="120"/>
      </w:pPr>
      <w:r>
        <w:t>2.3 Technology Choices</w:t>
      </w:r>
    </w:p>
    <w:p w14:paraId="1DB309FA" w14:textId="77777777" w:rsidR="00225A1A" w:rsidRDefault="0045330C">
      <w:pPr>
        <w:spacing w:after="160" w:line="300" w:lineRule="auto"/>
        <w:jc w:val="both"/>
      </w:pPr>
      <w:r>
        <w:rPr>
          <w:b/>
          <w:bCs/>
          <w:color w:val="1A1A1A"/>
        </w:rPr>
        <w:t xml:space="preserve">HDFS for storage. </w:t>
      </w:r>
      <w:r>
        <w:rPr>
          <w:color w:val="1A1A1A"/>
        </w:rPr>
        <w:t xml:space="preserve">HDFS provides distributed, fault-tolerant storage with built-in replication, native support for the </w:t>
      </w:r>
      <w:proofErr w:type="spellStart"/>
      <w:r>
        <w:rPr>
          <w:color w:val="1A1A1A"/>
        </w:rPr>
        <w:t>gzipped</w:t>
      </w:r>
      <w:proofErr w:type="spellEnd"/>
      <w:r>
        <w:rPr>
          <w:color w:val="1A1A1A"/>
        </w:rPr>
        <w:t xml:space="preserve"> CSV/JSON files </w:t>
      </w:r>
      <w:proofErr w:type="spellStart"/>
      <w:r>
        <w:rPr>
          <w:color w:val="1A1A1A"/>
        </w:rPr>
        <w:t>MediaWave</w:t>
      </w:r>
      <w:proofErr w:type="spellEnd"/>
      <w:r>
        <w:rPr>
          <w:color w:val="1A1A1A"/>
        </w:rPr>
        <w:t xml:space="preserve"> provided, and seamless integration with Spark. Replication factor is set to 2 across our two-</w:t>
      </w:r>
      <w:proofErr w:type="spellStart"/>
      <w:r>
        <w:rPr>
          <w:color w:val="1A1A1A"/>
        </w:rPr>
        <w:t>datanode</w:t>
      </w:r>
      <w:proofErr w:type="spellEnd"/>
      <w:r>
        <w:rPr>
          <w:color w:val="1A1A1A"/>
        </w:rPr>
        <w:t xml:space="preserve"> cluster, balancing redundancy against the memory footprint required to run the full stack on a 16 GB development laptop. In production, RF=3 across three or more </w:t>
      </w:r>
      <w:proofErr w:type="spellStart"/>
      <w:r>
        <w:rPr>
          <w:color w:val="1A1A1A"/>
        </w:rPr>
        <w:t>datanodes</w:t>
      </w:r>
      <w:proofErr w:type="spellEnd"/>
      <w:r>
        <w:rPr>
          <w:color w:val="1A1A1A"/>
        </w:rPr>
        <w:t xml:space="preserve"> would provide stronger fault tolerance.</w:t>
      </w:r>
    </w:p>
    <w:p w14:paraId="7892712B" w14:textId="476E2D61" w:rsidR="00225A1A" w:rsidRDefault="0045330C">
      <w:pPr>
        <w:spacing w:after="160" w:line="300" w:lineRule="auto"/>
        <w:jc w:val="both"/>
      </w:pPr>
      <w:r>
        <w:rPr>
          <w:b/>
          <w:bCs/>
          <w:color w:val="1A1A1A"/>
        </w:rPr>
        <w:lastRenderedPageBreak/>
        <w:t xml:space="preserve">Parquet for curated and analytics zones. </w:t>
      </w:r>
      <w:r>
        <w:rPr>
          <w:color w:val="1A1A1A"/>
        </w:rPr>
        <w:t xml:space="preserve">Landing zone data remains in original formats (CSV/JSON for inspection and auditability), but curated and analytics outputs are stored as Parquet. Parquet’s columnar layout gives roughly 5–10× compression over CSV and dramatically faster scan times when queries select a subset of columns </w:t>
      </w:r>
      <w:r w:rsidR="00E50020">
        <w:rPr>
          <w:color w:val="1A1A1A"/>
        </w:rPr>
        <w:t xml:space="preserve">– </w:t>
      </w:r>
      <w:r>
        <w:rPr>
          <w:color w:val="1A1A1A"/>
        </w:rPr>
        <w:t>critical for analytics queries that aggregate across hundreds of thousands of viewing events.</w:t>
      </w:r>
    </w:p>
    <w:p w14:paraId="250C650D" w14:textId="77777777" w:rsidR="00225A1A" w:rsidRDefault="0045330C">
      <w:pPr>
        <w:spacing w:after="160" w:line="300" w:lineRule="auto"/>
        <w:jc w:val="both"/>
      </w:pPr>
      <w:proofErr w:type="spellStart"/>
      <w:r>
        <w:rPr>
          <w:b/>
          <w:bCs/>
          <w:color w:val="1A1A1A"/>
        </w:rPr>
        <w:t>PySpark</w:t>
      </w:r>
      <w:proofErr w:type="spellEnd"/>
      <w:r>
        <w:rPr>
          <w:b/>
          <w:bCs/>
          <w:color w:val="1A1A1A"/>
        </w:rPr>
        <w:t xml:space="preserve"> for batch transformation. </w:t>
      </w:r>
      <w:r>
        <w:rPr>
          <w:color w:val="1A1A1A"/>
        </w:rPr>
        <w:t xml:space="preserve">Spark’s </w:t>
      </w:r>
      <w:proofErr w:type="spellStart"/>
      <w:r>
        <w:rPr>
          <w:color w:val="1A1A1A"/>
        </w:rPr>
        <w:t>DataFrame</w:t>
      </w:r>
      <w:proofErr w:type="spellEnd"/>
      <w:r>
        <w:rPr>
          <w:color w:val="1A1A1A"/>
        </w:rPr>
        <w:t xml:space="preserve"> API handles our join-heavy workload elegantly, particularly the three-way join between viewing history, content catalog, and user profiles. </w:t>
      </w:r>
      <w:proofErr w:type="spellStart"/>
      <w:r>
        <w:rPr>
          <w:color w:val="1A1A1A"/>
        </w:rPr>
        <w:t>PySpark</w:t>
      </w:r>
      <w:proofErr w:type="spellEnd"/>
      <w:r>
        <w:rPr>
          <w:color w:val="1A1A1A"/>
        </w:rPr>
        <w:t xml:space="preserve"> is also the language framework taught in this course, ensuring all team members can contribute to and defend the code.</w:t>
      </w:r>
    </w:p>
    <w:p w14:paraId="678D62E3" w14:textId="77777777" w:rsidR="00225A1A" w:rsidRDefault="0045330C">
      <w:pPr>
        <w:spacing w:after="160" w:line="300" w:lineRule="auto"/>
        <w:jc w:val="both"/>
      </w:pPr>
      <w:r>
        <w:rPr>
          <w:b/>
          <w:bCs/>
          <w:color w:val="1A1A1A"/>
        </w:rPr>
        <w:t xml:space="preserve">Kafka for streaming ingestion. </w:t>
      </w:r>
      <w:r>
        <w:rPr>
          <w:color w:val="1A1A1A"/>
        </w:rPr>
        <w:t>Kafka decouples the event producer from the streaming consumer, allowing each to scale independently. We chose Confluent’s distribution (cp-kafka:7.5.0) for its production-grade defaults and consistency with the Week 10 lab materials. The single-broker topology suits our development environment; a production deployment would use a 3+ broker cluster with replication factor 3.</w:t>
      </w:r>
    </w:p>
    <w:p w14:paraId="36177D06" w14:textId="0407A199" w:rsidR="00225A1A" w:rsidRDefault="0045330C">
      <w:pPr>
        <w:spacing w:after="160" w:line="300" w:lineRule="auto"/>
        <w:jc w:val="both"/>
      </w:pPr>
      <w:r>
        <w:rPr>
          <w:b/>
          <w:bCs/>
          <w:color w:val="1A1A1A"/>
        </w:rPr>
        <w:t xml:space="preserve">Airflow for orchestration. </w:t>
      </w:r>
      <w:r>
        <w:rPr>
          <w:color w:val="1A1A1A"/>
        </w:rPr>
        <w:t xml:space="preserve">Airflow’s DAG abstraction maps naturally to our pipeline’s stage dependencies (ingest → validate → clean → join → aggregate). The </w:t>
      </w:r>
      <w:proofErr w:type="spellStart"/>
      <w:r>
        <w:rPr>
          <w:color w:val="1A1A1A"/>
        </w:rPr>
        <w:t>LocalExecutor</w:t>
      </w:r>
      <w:proofErr w:type="spellEnd"/>
      <w:r>
        <w:rPr>
          <w:color w:val="1A1A1A"/>
        </w:rPr>
        <w:t xml:space="preserve"> with PostgreSQL metadata backend provides retry logic, SLA tracking, and a web UI for monitoring </w:t>
      </w:r>
      <w:r w:rsidR="00E50020">
        <w:rPr>
          <w:color w:val="1A1A1A"/>
        </w:rPr>
        <w:t xml:space="preserve">– </w:t>
      </w:r>
      <w:r>
        <w:rPr>
          <w:color w:val="1A1A1A"/>
        </w:rPr>
        <w:t>sufficient for our scale and aligned with Week 11 course materials.</w:t>
      </w:r>
    </w:p>
    <w:p w14:paraId="3E2431DC" w14:textId="77777777" w:rsidR="00225A1A" w:rsidRDefault="0045330C">
      <w:pPr>
        <w:pStyle w:val="Heading2"/>
        <w:spacing w:before="240" w:after="120"/>
      </w:pPr>
      <w:r>
        <w:t>2.4 Data Flow</w:t>
      </w:r>
    </w:p>
    <w:p w14:paraId="0D99A73B" w14:textId="77777777" w:rsidR="00225A1A" w:rsidRDefault="0045330C">
      <w:pPr>
        <w:spacing w:after="160" w:line="300" w:lineRule="auto"/>
        <w:jc w:val="both"/>
      </w:pPr>
      <w:r>
        <w:rPr>
          <w:color w:val="1A1A1A"/>
        </w:rPr>
        <w:t>Data flows through three HDFS zones, each with a distinct purpose and access pattern.</w:t>
      </w:r>
    </w:p>
    <w:p w14:paraId="5AB141E6" w14:textId="77777777" w:rsidR="00225A1A" w:rsidRDefault="0045330C">
      <w:pPr>
        <w:spacing w:after="160" w:line="300" w:lineRule="auto"/>
        <w:jc w:val="both"/>
      </w:pPr>
      <w:r>
        <w:rPr>
          <w:color w:val="1A1A1A"/>
        </w:rPr>
        <w:t xml:space="preserve">The </w:t>
      </w:r>
      <w:r>
        <w:rPr>
          <w:b/>
          <w:bCs/>
          <w:color w:val="1A1A1A"/>
        </w:rPr>
        <w:t>landing zone</w:t>
      </w:r>
      <w:r>
        <w:rPr>
          <w:color w:val="1A1A1A"/>
        </w:rPr>
        <w:t xml:space="preserve"> holds raw files in their original formats: viewing-history.csv.gz, user-profiles.csv.gz, streaming-quality.csv.gz, content-catalog.json.gz, and user-interactions.json.gz. Files here are immutable; if reprocessing is needed, downstream zones are rebuilt from landing. This zone exists to preserve a perfect record of what arrived, supporting auditability and replay.</w:t>
      </w:r>
    </w:p>
    <w:p w14:paraId="5D39E89F" w14:textId="1C733B69" w:rsidR="00225A1A" w:rsidRDefault="00C57E46">
      <w:pPr>
        <w:spacing w:after="160" w:line="300" w:lineRule="auto"/>
        <w:jc w:val="both"/>
      </w:pPr>
      <w:r w:rsidRPr="00C57E46">
        <w:rPr>
          <w:color w:val="1A1A1A"/>
        </w:rPr>
        <w:t xml:space="preserve">The </w:t>
      </w:r>
      <w:r w:rsidRPr="00C57E46">
        <w:rPr>
          <w:b/>
          <w:bCs/>
          <w:color w:val="1A1A1A"/>
        </w:rPr>
        <w:t>curated zone</w:t>
      </w:r>
      <w:r w:rsidRPr="00C57E46">
        <w:rPr>
          <w:color w:val="1A1A1A"/>
        </w:rPr>
        <w:t xml:space="preserve"> holds cleaned reusable Parquet datasets derived from the landing files. In the implemented Stage 2 pipeline, viewing-history and user-interactions are cleaned directly, while content-catalog, user-profiles, and streaming-quality are incorporated into an enriched viewing-sessions table. This design keeps the curated layer focused on reusable business entities rather than creating one curated table for every raw input file</w:t>
      </w:r>
      <w:r w:rsidR="0045330C">
        <w:rPr>
          <w:color w:val="1A1A1A"/>
        </w:rPr>
        <w:t>.</w:t>
      </w:r>
    </w:p>
    <w:p w14:paraId="119E1453" w14:textId="2AEC40B1" w:rsidR="00225A1A" w:rsidRDefault="0045330C">
      <w:pPr>
        <w:spacing w:after="160" w:line="300" w:lineRule="auto"/>
        <w:jc w:val="both"/>
      </w:pPr>
      <w:r>
        <w:rPr>
          <w:color w:val="1A1A1A"/>
        </w:rPr>
        <w:t xml:space="preserve">The </w:t>
      </w:r>
      <w:r>
        <w:rPr>
          <w:b/>
          <w:bCs/>
          <w:color w:val="1A1A1A"/>
        </w:rPr>
        <w:t>analytics zone</w:t>
      </w:r>
      <w:r>
        <w:rPr>
          <w:color w:val="1A1A1A"/>
        </w:rPr>
        <w:t xml:space="preserve"> holds three aggregated tables that directly answer </w:t>
      </w:r>
      <w:proofErr w:type="spellStart"/>
      <w:r>
        <w:rPr>
          <w:color w:val="1A1A1A"/>
        </w:rPr>
        <w:t>MediaWave’s</w:t>
      </w:r>
      <w:proofErr w:type="spellEnd"/>
      <w:r>
        <w:rPr>
          <w:color w:val="1A1A1A"/>
        </w:rPr>
        <w:t xml:space="preserve"> business questions. </w:t>
      </w:r>
      <w:r>
        <w:rPr>
          <w:i/>
          <w:iCs/>
          <w:color w:val="1A1A1A"/>
        </w:rPr>
        <w:t>user-monthly-engagement</w:t>
      </w:r>
      <w:r>
        <w:rPr>
          <w:color w:val="1A1A1A"/>
        </w:rPr>
        <w:t xml:space="preserve"> aggregates per user × year × month, capturing watch hours, unique titles watched, average completion percentage, interaction counts, and quality metrics </w:t>
      </w:r>
      <w:r w:rsidR="00E50020">
        <w:rPr>
          <w:color w:val="1A1A1A"/>
        </w:rPr>
        <w:t xml:space="preserve">– </w:t>
      </w:r>
      <w:r>
        <w:rPr>
          <w:color w:val="1A1A1A"/>
        </w:rPr>
        <w:t xml:space="preserve">the foundation for engagement and churn analysis. </w:t>
      </w:r>
      <w:r>
        <w:rPr>
          <w:i/>
          <w:iCs/>
          <w:color w:val="1A1A1A"/>
        </w:rPr>
        <w:t>content-performance</w:t>
      </w:r>
      <w:r>
        <w:rPr>
          <w:color w:val="1A1A1A"/>
        </w:rPr>
        <w:t xml:space="preserve"> aggregates per title and includes the custom </w:t>
      </w:r>
      <w:proofErr w:type="spellStart"/>
      <w:r>
        <w:rPr>
          <w:i/>
          <w:iCs/>
          <w:color w:val="1A1A1A"/>
        </w:rPr>
        <w:t>cost_per_viewing_hour</w:t>
      </w:r>
      <w:proofErr w:type="spellEnd"/>
      <w:r>
        <w:rPr>
          <w:color w:val="1A1A1A"/>
        </w:rPr>
        <w:t xml:space="preserve"> metric that divides license cost by viewing hours generated, providing a direct ROI signal for content investment decisions. </w:t>
      </w:r>
      <w:r>
        <w:rPr>
          <w:i/>
          <w:iCs/>
          <w:color w:val="1A1A1A"/>
        </w:rPr>
        <w:t>streaming-quality-region-isp</w:t>
      </w:r>
      <w:r>
        <w:rPr>
          <w:color w:val="1A1A1A"/>
        </w:rPr>
        <w:t xml:space="preserve"> aggregates by CDN region and ISP, identifying combinations where infrastructure investment would most improve user experience.</w:t>
      </w:r>
    </w:p>
    <w:p w14:paraId="787E7197" w14:textId="77777777" w:rsidR="00225A1A" w:rsidRDefault="0045330C">
      <w:pPr>
        <w:spacing w:after="160" w:line="300" w:lineRule="auto"/>
        <w:jc w:val="both"/>
      </w:pPr>
      <w:r>
        <w:rPr>
          <w:color w:val="1A1A1A"/>
        </w:rPr>
        <w:t xml:space="preserve">A separate streaming flow runs continuously: the producer replays viewing events from viewing-history with simulated timestamps onto the Kafka topic </w:t>
      </w:r>
      <w:r>
        <w:rPr>
          <w:i/>
          <w:iCs/>
          <w:color w:val="1A1A1A"/>
        </w:rPr>
        <w:t>user-viewing-events</w:t>
      </w:r>
      <w:r>
        <w:rPr>
          <w:color w:val="1A1A1A"/>
        </w:rPr>
        <w:t>. The Spark Structured Streaming consumer reads this topic, applies a tumbling window, and emits real-time aggregations such as concurrent viewers per content title and instantaneous buffering rates.</w:t>
      </w:r>
    </w:p>
    <w:p w14:paraId="25D8ABF6" w14:textId="77777777" w:rsidR="00225A1A" w:rsidRDefault="0045330C">
      <w:pPr>
        <w:pStyle w:val="Heading1"/>
        <w:spacing w:before="320" w:after="160"/>
      </w:pPr>
      <w:r>
        <w:lastRenderedPageBreak/>
        <w:t>3. Implementation</w:t>
      </w:r>
    </w:p>
    <w:p w14:paraId="0449CAD2" w14:textId="77777777" w:rsidR="00225A1A" w:rsidRDefault="0045330C">
      <w:pPr>
        <w:spacing w:after="160" w:line="300" w:lineRule="auto"/>
        <w:jc w:val="both"/>
      </w:pPr>
      <w:r>
        <w:rPr>
          <w:color w:val="1A1A1A"/>
        </w:rPr>
        <w:t xml:space="preserve">This section documents the key technical decisions made in building the </w:t>
      </w:r>
      <w:proofErr w:type="spellStart"/>
      <w:r>
        <w:rPr>
          <w:color w:val="1A1A1A"/>
        </w:rPr>
        <w:t>MediaWave</w:t>
      </w:r>
      <w:proofErr w:type="spellEnd"/>
      <w:r>
        <w:rPr>
          <w:color w:val="1A1A1A"/>
        </w:rPr>
        <w:t xml:space="preserve"> pipeline, the challenges encountered, and the strategies used to ensure reliability and reproducibility.</w:t>
      </w:r>
    </w:p>
    <w:p w14:paraId="1DF69496" w14:textId="77777777" w:rsidR="00225A1A" w:rsidRDefault="0045330C">
      <w:pPr>
        <w:pStyle w:val="Heading2"/>
        <w:spacing w:before="240" w:after="120"/>
      </w:pPr>
      <w:r>
        <w:t>3.1 Infrastructure as Code: Single docker-</w:t>
      </w:r>
      <w:proofErr w:type="spellStart"/>
      <w:r>
        <w:t>compose.yml</w:t>
      </w:r>
      <w:proofErr w:type="spellEnd"/>
    </w:p>
    <w:p w14:paraId="17AEFE1C" w14:textId="77777777" w:rsidR="00225A1A" w:rsidRDefault="0045330C">
      <w:pPr>
        <w:spacing w:after="160" w:line="300" w:lineRule="auto"/>
        <w:jc w:val="both"/>
      </w:pPr>
      <w:r>
        <w:rPr>
          <w:color w:val="1A1A1A"/>
        </w:rPr>
        <w:t xml:space="preserve">The full pipeline runs from a single </w:t>
      </w:r>
      <w:r>
        <w:rPr>
          <w:b/>
          <w:bCs/>
          <w:color w:val="1A1A1A"/>
        </w:rPr>
        <w:t>docker-</w:t>
      </w:r>
      <w:proofErr w:type="spellStart"/>
      <w:r>
        <w:rPr>
          <w:b/>
          <w:bCs/>
          <w:color w:val="1A1A1A"/>
        </w:rPr>
        <w:t>compose.yml</w:t>
      </w:r>
      <w:proofErr w:type="spellEnd"/>
      <w:r>
        <w:rPr>
          <w:color w:val="1A1A1A"/>
        </w:rPr>
        <w:t xml:space="preserve"> file that defines eleven services across four functional layers: HDFS (</w:t>
      </w:r>
      <w:proofErr w:type="spellStart"/>
      <w:r>
        <w:rPr>
          <w:color w:val="1A1A1A"/>
        </w:rPr>
        <w:t>namenode</w:t>
      </w:r>
      <w:proofErr w:type="spellEnd"/>
      <w:r>
        <w:rPr>
          <w:color w:val="1A1A1A"/>
        </w:rPr>
        <w:t xml:space="preserve"> plus two </w:t>
      </w:r>
      <w:proofErr w:type="spellStart"/>
      <w:r>
        <w:rPr>
          <w:color w:val="1A1A1A"/>
        </w:rPr>
        <w:t>datanodes</w:t>
      </w:r>
      <w:proofErr w:type="spellEnd"/>
      <w:r>
        <w:rPr>
          <w:color w:val="1A1A1A"/>
        </w:rPr>
        <w:t xml:space="preserve">), Spark (master plus worker), Kafka (Zookeeper plus broker plus Kafka UI), Airflow (Postgres plus </w:t>
      </w:r>
      <w:proofErr w:type="spellStart"/>
      <w:r>
        <w:rPr>
          <w:color w:val="1A1A1A"/>
        </w:rPr>
        <w:t>init</w:t>
      </w:r>
      <w:proofErr w:type="spellEnd"/>
      <w:r>
        <w:rPr>
          <w:color w:val="1A1A1A"/>
        </w:rPr>
        <w:t xml:space="preserve"> plus webserver plus scheduler), and </w:t>
      </w:r>
      <w:proofErr w:type="spellStart"/>
      <w:r>
        <w:rPr>
          <w:color w:val="1A1A1A"/>
        </w:rPr>
        <w:t>Jupyter</w:t>
      </w:r>
      <w:proofErr w:type="spellEnd"/>
      <w:r>
        <w:rPr>
          <w:color w:val="1A1A1A"/>
        </w:rPr>
        <w:t xml:space="preserve"> for interactive development. All services share a single Docker network (</w:t>
      </w:r>
      <w:proofErr w:type="spellStart"/>
      <w:r>
        <w:rPr>
          <w:i/>
          <w:iCs/>
          <w:color w:val="1A1A1A"/>
        </w:rPr>
        <w:t>mediawave</w:t>
      </w:r>
      <w:proofErr w:type="spellEnd"/>
      <w:r>
        <w:rPr>
          <w:i/>
          <w:iCs/>
          <w:color w:val="1A1A1A"/>
        </w:rPr>
        <w:t>-network</w:t>
      </w:r>
      <w:proofErr w:type="gramStart"/>
      <w:r>
        <w:rPr>
          <w:color w:val="1A1A1A"/>
        </w:rPr>
        <w:t>)</w:t>
      </w:r>
      <w:proofErr w:type="gramEnd"/>
      <w:r>
        <w:rPr>
          <w:color w:val="1A1A1A"/>
        </w:rPr>
        <w:t xml:space="preserve"> so they reach each other by hostname (</w:t>
      </w:r>
      <w:r>
        <w:rPr>
          <w:i/>
          <w:iCs/>
          <w:color w:val="1A1A1A"/>
        </w:rPr>
        <w:t>hdfs://namenode:9000</w:t>
      </w:r>
      <w:r>
        <w:rPr>
          <w:color w:val="1A1A1A"/>
        </w:rPr>
        <w:t xml:space="preserve">, </w:t>
      </w:r>
      <w:r>
        <w:rPr>
          <w:i/>
          <w:iCs/>
          <w:color w:val="1A1A1A"/>
        </w:rPr>
        <w:t>kafka:9092</w:t>
      </w:r>
      <w:r>
        <w:rPr>
          <w:color w:val="1A1A1A"/>
        </w:rPr>
        <w:t xml:space="preserve">, </w:t>
      </w:r>
      <w:r>
        <w:rPr>
          <w:i/>
          <w:iCs/>
          <w:color w:val="1A1A1A"/>
        </w:rPr>
        <w:t>spark://spark-master:7077</w:t>
      </w:r>
      <w:r>
        <w:rPr>
          <w:color w:val="1A1A1A"/>
        </w:rPr>
        <w:t>). This decision eliminated container-discovery friction that would otherwise require each service to know the others’ IP addresses.</w:t>
      </w:r>
    </w:p>
    <w:p w14:paraId="2F5733D1" w14:textId="77777777" w:rsidR="00225A1A" w:rsidRDefault="0045330C">
      <w:pPr>
        <w:spacing w:after="160" w:line="300" w:lineRule="auto"/>
        <w:jc w:val="both"/>
      </w:pPr>
      <w:r>
        <w:rPr>
          <w:color w:val="1A1A1A"/>
        </w:rPr>
        <w:t>We pinned every image to a specific version (</w:t>
      </w:r>
      <w:r>
        <w:rPr>
          <w:i/>
          <w:iCs/>
          <w:color w:val="1A1A1A"/>
        </w:rPr>
        <w:t>cp-kafka:7.5.0</w:t>
      </w:r>
      <w:r>
        <w:rPr>
          <w:color w:val="1A1A1A"/>
        </w:rPr>
        <w:t xml:space="preserve">, </w:t>
      </w:r>
      <w:r>
        <w:rPr>
          <w:i/>
          <w:iCs/>
          <w:color w:val="1A1A1A"/>
        </w:rPr>
        <w:t>postgres:15</w:t>
      </w:r>
      <w:r>
        <w:rPr>
          <w:color w:val="1A1A1A"/>
        </w:rPr>
        <w:t xml:space="preserve">, </w:t>
      </w:r>
      <w:proofErr w:type="spellStart"/>
      <w:r>
        <w:rPr>
          <w:i/>
          <w:iCs/>
          <w:color w:val="1A1A1A"/>
        </w:rPr>
        <w:t>jupyter</w:t>
      </w:r>
      <w:proofErr w:type="spellEnd"/>
      <w:r>
        <w:rPr>
          <w:i/>
          <w:iCs/>
          <w:color w:val="1A1A1A"/>
        </w:rPr>
        <w:t>/pyspark-</w:t>
      </w:r>
      <w:proofErr w:type="gramStart"/>
      <w:r>
        <w:rPr>
          <w:i/>
          <w:iCs/>
          <w:color w:val="1A1A1A"/>
        </w:rPr>
        <w:t>notebook:spark</w:t>
      </w:r>
      <w:proofErr w:type="gramEnd"/>
      <w:r>
        <w:rPr>
          <w:i/>
          <w:iCs/>
          <w:color w:val="1A1A1A"/>
        </w:rPr>
        <w:t>-3.5.0</w:t>
      </w:r>
      <w:r>
        <w:rPr>
          <w:color w:val="1A1A1A"/>
        </w:rPr>
        <w:t xml:space="preserve">) rather than </w:t>
      </w:r>
      <w:proofErr w:type="gramStart"/>
      <w:r>
        <w:rPr>
          <w:color w:val="1A1A1A"/>
        </w:rPr>
        <w:t xml:space="preserve">using </w:t>
      </w:r>
      <w:r>
        <w:rPr>
          <w:i/>
          <w:iCs/>
          <w:color w:val="1A1A1A"/>
        </w:rPr>
        <w:t>:latest</w:t>
      </w:r>
      <w:proofErr w:type="gramEnd"/>
      <w:r>
        <w:rPr>
          <w:color w:val="1A1A1A"/>
        </w:rPr>
        <w:t xml:space="preserve">. This prevents environment drift between team members and means a grader who clones the repo months from now still gets the exact stack we tested against. For Apple Silicon compatibility, every service declares </w:t>
      </w:r>
      <w:r>
        <w:rPr>
          <w:i/>
          <w:iCs/>
          <w:color w:val="1A1A1A"/>
        </w:rPr>
        <w:t xml:space="preserve">platform: </w:t>
      </w:r>
      <w:proofErr w:type="spellStart"/>
      <w:r>
        <w:rPr>
          <w:i/>
          <w:iCs/>
          <w:color w:val="1A1A1A"/>
        </w:rPr>
        <w:t>linux</w:t>
      </w:r>
      <w:proofErr w:type="spellEnd"/>
      <w:r>
        <w:rPr>
          <w:i/>
          <w:iCs/>
          <w:color w:val="1A1A1A"/>
        </w:rPr>
        <w:t>/amd64</w:t>
      </w:r>
      <w:r>
        <w:rPr>
          <w:color w:val="1A1A1A"/>
        </w:rPr>
        <w:t>, forcing Rosetta emulation on M-series Macs. This added a small performance cost in exchange for removing image-availability friction across the team’s mix of Intel and Apple Silicon laptops.</w:t>
      </w:r>
    </w:p>
    <w:p w14:paraId="3F6BA2E1" w14:textId="77777777" w:rsidR="00225A1A" w:rsidRDefault="0045330C">
      <w:pPr>
        <w:spacing w:after="160" w:line="300" w:lineRule="auto"/>
        <w:jc w:val="both"/>
      </w:pPr>
      <w:r>
        <w:rPr>
          <w:color w:val="1A1A1A"/>
        </w:rPr>
        <w:t xml:space="preserve">Memory limits are explicitly set on every service to fit the entire stack within 8 GB on a 16 GB development laptop: HDFS uses ~1.5 GB across </w:t>
      </w:r>
      <w:proofErr w:type="spellStart"/>
      <w:r>
        <w:rPr>
          <w:color w:val="1A1A1A"/>
        </w:rPr>
        <w:t>namenode</w:t>
      </w:r>
      <w:proofErr w:type="spellEnd"/>
      <w:r>
        <w:rPr>
          <w:color w:val="1A1A1A"/>
        </w:rPr>
        <w:t xml:space="preserve"> and </w:t>
      </w:r>
      <w:proofErr w:type="spellStart"/>
      <w:r>
        <w:rPr>
          <w:color w:val="1A1A1A"/>
        </w:rPr>
        <w:t>datanodes</w:t>
      </w:r>
      <w:proofErr w:type="spellEnd"/>
      <w:r>
        <w:rPr>
          <w:color w:val="1A1A1A"/>
        </w:rPr>
        <w:t xml:space="preserve">, Spark uses ~3 GB, Kafka uses ~1.5 GB, Airflow uses ~1.5 GB, and </w:t>
      </w:r>
      <w:proofErr w:type="spellStart"/>
      <w:r>
        <w:rPr>
          <w:color w:val="1A1A1A"/>
        </w:rPr>
        <w:t>Jupyter</w:t>
      </w:r>
      <w:proofErr w:type="spellEnd"/>
      <w:r>
        <w:rPr>
          <w:color w:val="1A1A1A"/>
        </w:rPr>
        <w:t xml:space="preserve"> uses ~2 GB.</w:t>
      </w:r>
    </w:p>
    <w:p w14:paraId="1F54764B" w14:textId="77777777" w:rsidR="00225A1A" w:rsidRDefault="0045330C">
      <w:pPr>
        <w:pStyle w:val="Heading2"/>
        <w:spacing w:before="240" w:after="120"/>
      </w:pPr>
      <w:r>
        <w:t>3.2 HDFS Data Lake Design</w:t>
      </w:r>
    </w:p>
    <w:p w14:paraId="064AEBF3" w14:textId="77777777" w:rsidR="00225A1A" w:rsidRDefault="0045330C">
      <w:pPr>
        <w:spacing w:after="160" w:line="300" w:lineRule="auto"/>
        <w:jc w:val="both"/>
      </w:pPr>
      <w:r>
        <w:rPr>
          <w:color w:val="1A1A1A"/>
        </w:rPr>
        <w:t xml:space="preserve">The data lake uses three zones (landing, curated, analytics) corresponding to progressively cleaner stages of data. The landing zone preserves raw files in their original formats: </w:t>
      </w:r>
      <w:proofErr w:type="spellStart"/>
      <w:r>
        <w:rPr>
          <w:color w:val="1A1A1A"/>
        </w:rPr>
        <w:t>gzipped</w:t>
      </w:r>
      <w:proofErr w:type="spellEnd"/>
      <w:r>
        <w:rPr>
          <w:color w:val="1A1A1A"/>
        </w:rPr>
        <w:t xml:space="preserve"> CSV for tabular data (viewing-history, user-profiles, streaming-quality) and </w:t>
      </w:r>
      <w:proofErr w:type="spellStart"/>
      <w:r>
        <w:rPr>
          <w:color w:val="1A1A1A"/>
        </w:rPr>
        <w:t>gzipped</w:t>
      </w:r>
      <w:proofErr w:type="spellEnd"/>
      <w:r>
        <w:rPr>
          <w:color w:val="1A1A1A"/>
        </w:rPr>
        <w:t xml:space="preserve"> JSON for nested data (content-catalog, user-interactions). Files in landing are immutable; reprocessing rebuilds curated and analytics from landing rather than modifying landing itself. This separation supports auditability and replay.</w:t>
      </w:r>
    </w:p>
    <w:p w14:paraId="034A6E72" w14:textId="77777777" w:rsidR="00225A1A" w:rsidRDefault="0045330C">
      <w:pPr>
        <w:spacing w:after="160" w:line="300" w:lineRule="auto"/>
        <w:jc w:val="both"/>
      </w:pPr>
      <w:r>
        <w:rPr>
          <w:color w:val="1A1A1A"/>
        </w:rPr>
        <w:t xml:space="preserve">Replication factor is configured per dataset based on criticality: viewing-history and user-interactions use RF=1 (high volume, regenerable from event streams in production), while user-profiles, content-catalog, and streaming-quality use RF=2 (business-critical reference data). With two </w:t>
      </w:r>
      <w:proofErr w:type="spellStart"/>
      <w:r>
        <w:rPr>
          <w:color w:val="1A1A1A"/>
        </w:rPr>
        <w:t>datanodes</w:t>
      </w:r>
      <w:proofErr w:type="spellEnd"/>
      <w:r>
        <w:rPr>
          <w:color w:val="1A1A1A"/>
        </w:rPr>
        <w:t xml:space="preserve"> in our cluster, RF=2 is the maximum achievable; production deployments would set RF=3 across three or more </w:t>
      </w:r>
      <w:proofErr w:type="spellStart"/>
      <w:r>
        <w:rPr>
          <w:color w:val="1A1A1A"/>
        </w:rPr>
        <w:t>datanodes</w:t>
      </w:r>
      <w:proofErr w:type="spellEnd"/>
      <w:r>
        <w:rPr>
          <w:color w:val="1A1A1A"/>
        </w:rPr>
        <w:t>.</w:t>
      </w:r>
    </w:p>
    <w:p w14:paraId="597BC27C" w14:textId="77777777" w:rsidR="00225A1A" w:rsidRDefault="0045330C">
      <w:pPr>
        <w:spacing w:after="160" w:line="300" w:lineRule="auto"/>
        <w:jc w:val="both"/>
      </w:pPr>
      <w:r>
        <w:rPr>
          <w:color w:val="1A1A1A"/>
        </w:rPr>
        <w:t>The curated zone stores cleaned datasets as Parquet, chosen for its 5–10× compression ratio over CSV and its columnar layout that dramatically accelerates analytics queries that select subsets of columns. The analytics zone stores aggregated, business-question-ready tables, also as Parquet, partitioned where query patterns benefit from pruning (e.g., by year and month for time-series queries).</w:t>
      </w:r>
    </w:p>
    <w:p w14:paraId="7BE0FC4B" w14:textId="77777777" w:rsidR="00225A1A" w:rsidRDefault="0045330C">
      <w:pPr>
        <w:pStyle w:val="Heading2"/>
        <w:spacing w:before="240" w:after="120"/>
      </w:pPr>
      <w:r>
        <w:t>3.3 Spark Batch Transformation</w:t>
      </w:r>
    </w:p>
    <w:p w14:paraId="013BB3A6" w14:textId="77777777" w:rsidR="00225A1A" w:rsidRDefault="0045330C">
      <w:pPr>
        <w:spacing w:after="160" w:line="300" w:lineRule="auto"/>
        <w:jc w:val="both"/>
      </w:pPr>
      <w:r>
        <w:rPr>
          <w:color w:val="1A1A1A"/>
        </w:rPr>
        <w:t>The Stage 2 transformation script reads raw files from landing, applies cleaning logic, performs three joins to enrich viewing events with metadata, and produces three analytics tables.</w:t>
      </w:r>
    </w:p>
    <w:p w14:paraId="6A679815" w14:textId="77777777" w:rsidR="00225A1A" w:rsidRDefault="0045330C">
      <w:pPr>
        <w:spacing w:after="160" w:line="300" w:lineRule="auto"/>
        <w:jc w:val="both"/>
      </w:pPr>
      <w:r>
        <w:rPr>
          <w:color w:val="1A1A1A"/>
        </w:rPr>
        <w:lastRenderedPageBreak/>
        <w:t xml:space="preserve">Cleaning addressed real data quality issues observed in the source data: null </w:t>
      </w:r>
      <w:proofErr w:type="spellStart"/>
      <w:r>
        <w:rPr>
          <w:i/>
          <w:iCs/>
          <w:color w:val="1A1A1A"/>
        </w:rPr>
        <w:t>user_id</w:t>
      </w:r>
      <w:proofErr w:type="spellEnd"/>
      <w:r>
        <w:rPr>
          <w:color w:val="1A1A1A"/>
        </w:rPr>
        <w:t xml:space="preserve"> and </w:t>
      </w:r>
      <w:proofErr w:type="spellStart"/>
      <w:r>
        <w:rPr>
          <w:i/>
          <w:iCs/>
          <w:color w:val="1A1A1A"/>
        </w:rPr>
        <w:t>content_id</w:t>
      </w:r>
      <w:proofErr w:type="spellEnd"/>
      <w:r>
        <w:rPr>
          <w:color w:val="1A1A1A"/>
        </w:rPr>
        <w:t xml:space="preserve"> values were filtered from viewing-history (these would break joins downstream); </w:t>
      </w:r>
      <w:proofErr w:type="spellStart"/>
      <w:r>
        <w:rPr>
          <w:i/>
          <w:iCs/>
          <w:color w:val="1A1A1A"/>
        </w:rPr>
        <w:t>duration_watched_min</w:t>
      </w:r>
      <w:proofErr w:type="spellEnd"/>
      <w:r>
        <w:rPr>
          <w:color w:val="1A1A1A"/>
        </w:rPr>
        <w:t xml:space="preserve"> was capped at </w:t>
      </w:r>
      <w:proofErr w:type="spellStart"/>
      <w:r>
        <w:rPr>
          <w:i/>
          <w:iCs/>
          <w:color w:val="1A1A1A"/>
        </w:rPr>
        <w:t>total_duration_min</w:t>
      </w:r>
      <w:proofErr w:type="spellEnd"/>
      <w:r>
        <w:rPr>
          <w:color w:val="1A1A1A"/>
        </w:rPr>
        <w:t xml:space="preserve"> (a small percentage of records had impossible duration values exceeding the title length); </w:t>
      </w:r>
      <w:proofErr w:type="spellStart"/>
      <w:r>
        <w:rPr>
          <w:i/>
          <w:iCs/>
          <w:color w:val="1A1A1A"/>
        </w:rPr>
        <w:t>completion_pct</w:t>
      </w:r>
      <w:proofErr w:type="spellEnd"/>
      <w:r>
        <w:rPr>
          <w:color w:val="1A1A1A"/>
        </w:rPr>
        <w:t xml:space="preserve"> was clamped to the valid [0, 100] range; and the device column was standardized from inconsistent free-text strings into five clean categories (TV, Mobile, Tablet, Web, Other). Null </w:t>
      </w:r>
      <w:proofErr w:type="spellStart"/>
      <w:r>
        <w:rPr>
          <w:i/>
          <w:iCs/>
          <w:color w:val="1A1A1A"/>
        </w:rPr>
        <w:t>search_query</w:t>
      </w:r>
      <w:proofErr w:type="spellEnd"/>
      <w:r>
        <w:rPr>
          <w:color w:val="1A1A1A"/>
        </w:rPr>
        <w:t xml:space="preserve"> values in user-interactions were replaced with a sentinel string (</w:t>
      </w:r>
      <w:r>
        <w:rPr>
          <w:i/>
          <w:iCs/>
          <w:color w:val="1A1A1A"/>
        </w:rPr>
        <w:t>"</w:t>
      </w:r>
      <w:proofErr w:type="spellStart"/>
      <w:r>
        <w:rPr>
          <w:i/>
          <w:iCs/>
          <w:color w:val="1A1A1A"/>
        </w:rPr>
        <w:t>no_search_query</w:t>
      </w:r>
      <w:proofErr w:type="spellEnd"/>
      <w:r>
        <w:rPr>
          <w:i/>
          <w:iCs/>
          <w:color w:val="1A1A1A"/>
        </w:rPr>
        <w:t>"</w:t>
      </w:r>
      <w:r>
        <w:rPr>
          <w:color w:val="1A1A1A"/>
        </w:rPr>
        <w:t>) to avoid losing rows during downstream filtering.</w:t>
      </w:r>
    </w:p>
    <w:p w14:paraId="234240FD" w14:textId="77777777" w:rsidR="00225A1A" w:rsidRDefault="0045330C">
      <w:pPr>
        <w:spacing w:after="160" w:line="300" w:lineRule="auto"/>
        <w:jc w:val="both"/>
      </w:pPr>
      <w:r>
        <w:rPr>
          <w:color w:val="1A1A1A"/>
        </w:rPr>
        <w:t>The three joins required to produce enriched viewing sessions surfaced one notable design challenge: streaming-quality records do not share a session-level join key with viewing-history. Rather than fabricating one or dropping the quality data entirely, the script aggregates quality metrics to the user level (average buffering events, bitrate, resolution changes, latency per user) and joins at user granularity. This produces meaningful per-user quality context on every viewing session without requiring artificial key construction.</w:t>
      </w:r>
    </w:p>
    <w:p w14:paraId="3FC3E34E" w14:textId="2F025AE4" w:rsidR="00225A1A" w:rsidRDefault="0045330C">
      <w:pPr>
        <w:spacing w:after="160" w:line="300" w:lineRule="auto"/>
        <w:jc w:val="both"/>
      </w:pPr>
      <w:r>
        <w:rPr>
          <w:color w:val="1A1A1A"/>
        </w:rPr>
        <w:t xml:space="preserve">The pipeline produces three analytics outputs that directly answer </w:t>
      </w:r>
      <w:proofErr w:type="spellStart"/>
      <w:r>
        <w:rPr>
          <w:color w:val="1A1A1A"/>
        </w:rPr>
        <w:t>MediaWave’s</w:t>
      </w:r>
      <w:proofErr w:type="spellEnd"/>
      <w:r>
        <w:rPr>
          <w:color w:val="1A1A1A"/>
        </w:rPr>
        <w:t xml:space="preserve"> business questions. The </w:t>
      </w:r>
      <w:r>
        <w:rPr>
          <w:i/>
          <w:iCs/>
          <w:color w:val="1A1A1A"/>
        </w:rPr>
        <w:t>user-monthly-engagement</w:t>
      </w:r>
      <w:r>
        <w:rPr>
          <w:color w:val="1A1A1A"/>
        </w:rPr>
        <w:t xml:space="preserve"> table aggregates per user × year × month </w:t>
      </w:r>
      <w:r w:rsidR="00E50020">
        <w:rPr>
          <w:color w:val="1A1A1A"/>
        </w:rPr>
        <w:t xml:space="preserve">– </w:t>
      </w:r>
      <w:r>
        <w:rPr>
          <w:color w:val="1A1A1A"/>
        </w:rPr>
        <w:t xml:space="preserve">the foundation for engagement and churn analysis. The </w:t>
      </w:r>
      <w:r>
        <w:rPr>
          <w:i/>
          <w:iCs/>
          <w:color w:val="1A1A1A"/>
        </w:rPr>
        <w:t>content-performance</w:t>
      </w:r>
      <w:r>
        <w:rPr>
          <w:color w:val="1A1A1A"/>
        </w:rPr>
        <w:t xml:space="preserve"> table includes the custom </w:t>
      </w:r>
      <w:proofErr w:type="spellStart"/>
      <w:r>
        <w:rPr>
          <w:i/>
          <w:iCs/>
          <w:color w:val="1A1A1A"/>
        </w:rPr>
        <w:t>cost_per_viewing_hour</w:t>
      </w:r>
      <w:proofErr w:type="spellEnd"/>
      <w:r>
        <w:rPr>
          <w:color w:val="1A1A1A"/>
        </w:rPr>
        <w:t xml:space="preserve"> metric that divides license cost by viewing hours generated, providing a direct ROI signal for content investment decisions. The </w:t>
      </w:r>
      <w:r>
        <w:rPr>
          <w:i/>
          <w:iCs/>
          <w:color w:val="1A1A1A"/>
        </w:rPr>
        <w:t>streaming-quality-region-isp</w:t>
      </w:r>
      <w:r>
        <w:rPr>
          <w:color w:val="1A1A1A"/>
        </w:rPr>
        <w:t xml:space="preserve"> table aggregates by CDN region and ISP, identifying combinations where infrastructure investment would most improve user experience.</w:t>
      </w:r>
    </w:p>
    <w:p w14:paraId="58F4066B" w14:textId="3DD075D1" w:rsidR="00225A1A" w:rsidRDefault="0045330C">
      <w:pPr>
        <w:spacing w:after="160" w:line="300" w:lineRule="auto"/>
        <w:jc w:val="both"/>
      </w:pPr>
      <w:r>
        <w:rPr>
          <w:color w:val="1A1A1A"/>
        </w:rPr>
        <w:t xml:space="preserve">All Parquet writes use </w:t>
      </w:r>
      <w:r>
        <w:rPr>
          <w:i/>
          <w:iCs/>
          <w:color w:val="1A1A1A"/>
        </w:rPr>
        <w:t>mode("overwrite")</w:t>
      </w:r>
      <w:r>
        <w:rPr>
          <w:color w:val="1A1A1A"/>
        </w:rPr>
        <w:t xml:space="preserve">, guaranteeing that re-running the pipeline produces identical output rather than appending duplicates </w:t>
      </w:r>
      <w:r w:rsidR="00E50020">
        <w:rPr>
          <w:color w:val="1A1A1A"/>
        </w:rPr>
        <w:t xml:space="preserve">– </w:t>
      </w:r>
      <w:r>
        <w:rPr>
          <w:color w:val="1A1A1A"/>
        </w:rPr>
        <w:t>a key idempotency requirement.</w:t>
      </w:r>
    </w:p>
    <w:p w14:paraId="24A723F8" w14:textId="77777777" w:rsidR="00225A1A" w:rsidRDefault="0045330C">
      <w:pPr>
        <w:pStyle w:val="Heading2"/>
        <w:spacing w:before="240" w:after="120"/>
      </w:pPr>
      <w:r>
        <w:t>3.4 Kafka Topic Design and Real-Time Streaming</w:t>
      </w:r>
    </w:p>
    <w:p w14:paraId="3B1BA68E" w14:textId="77777777" w:rsidR="00225A1A" w:rsidRDefault="0045330C">
      <w:pPr>
        <w:spacing w:after="160" w:line="300" w:lineRule="auto"/>
        <w:jc w:val="both"/>
      </w:pPr>
      <w:r>
        <w:rPr>
          <w:color w:val="1A1A1A"/>
        </w:rPr>
        <w:t xml:space="preserve">The streaming layer uses a single Kafka topic, </w:t>
      </w:r>
      <w:r>
        <w:rPr>
          <w:i/>
          <w:iCs/>
          <w:color w:val="1A1A1A"/>
        </w:rPr>
        <w:t>user-viewing-events</w:t>
      </w:r>
      <w:r>
        <w:rPr>
          <w:color w:val="1A1A1A"/>
        </w:rPr>
        <w:t xml:space="preserve">, configured with three partitions and a retention policy of seven days. Partition count was chosen to allow parallel consumer processing while staying within the single-broker development topology; in production, partition count would scale with consumer parallelism (typically 12–16 at 10× volume). Messages are keyed by </w:t>
      </w:r>
      <w:proofErr w:type="spellStart"/>
      <w:r>
        <w:rPr>
          <w:i/>
          <w:iCs/>
          <w:color w:val="1A1A1A"/>
        </w:rPr>
        <w:t>user_id</w:t>
      </w:r>
      <w:proofErr w:type="spellEnd"/>
      <w:r>
        <w:rPr>
          <w:color w:val="1A1A1A"/>
        </w:rPr>
        <w:t xml:space="preserve"> to ensure that all events from a given user land on the same partition, preserving per-user event ordering for stateful aggregations.</w:t>
      </w:r>
    </w:p>
    <w:p w14:paraId="2ED157AD" w14:textId="77777777" w:rsidR="00225A1A" w:rsidRDefault="0045330C">
      <w:pPr>
        <w:spacing w:after="160" w:line="300" w:lineRule="auto"/>
        <w:jc w:val="both"/>
      </w:pPr>
      <w:r>
        <w:rPr>
          <w:color w:val="1A1A1A"/>
        </w:rPr>
        <w:t>The Kafka producer replays events from the historical viewing-history dataset with simulated real-time timestamps, mimicking how the system would behave with live event traffic. Each event is serialized as JSON and includes the full viewing record. The Spark Structured Streaming consumer reads from the topic, applies a tumbling window aggregation, and emits per-window summaries such as concurrent active viewers and titles trending in the last interval. Output is written back to HDFS for downstream consumption.</w:t>
      </w:r>
    </w:p>
    <w:p w14:paraId="301D4344" w14:textId="77777777" w:rsidR="00225A1A" w:rsidRDefault="0045330C">
      <w:pPr>
        <w:spacing w:after="160" w:line="300" w:lineRule="auto"/>
        <w:jc w:val="both"/>
      </w:pPr>
      <w:r>
        <w:rPr>
          <w:color w:val="1A1A1A"/>
        </w:rPr>
        <w:t xml:space="preserve">Checkpoint state </w:t>
      </w:r>
      <w:proofErr w:type="gramStart"/>
      <w:r>
        <w:rPr>
          <w:color w:val="1A1A1A"/>
        </w:rPr>
        <w:t>is persisted</w:t>
      </w:r>
      <w:proofErr w:type="gramEnd"/>
      <w:r>
        <w:rPr>
          <w:color w:val="1A1A1A"/>
        </w:rPr>
        <w:t xml:space="preserve"> to HDFS so that on restart the consumer resumes from its last committed offset, preventing both event loss and duplicate processing.</w:t>
      </w:r>
    </w:p>
    <w:p w14:paraId="6DAA631D" w14:textId="77777777" w:rsidR="00225A1A" w:rsidRDefault="0045330C">
      <w:pPr>
        <w:pStyle w:val="Heading2"/>
        <w:spacing w:before="240" w:after="120"/>
      </w:pPr>
      <w:r>
        <w:t>3.5 Airflow Orchestration and Data Quality Strategy</w:t>
      </w:r>
    </w:p>
    <w:p w14:paraId="3CA94074" w14:textId="77777777" w:rsidR="00225A1A" w:rsidRDefault="0045330C">
      <w:pPr>
        <w:spacing w:after="160" w:line="300" w:lineRule="auto"/>
        <w:jc w:val="both"/>
      </w:pPr>
      <w:r>
        <w:rPr>
          <w:color w:val="1A1A1A"/>
        </w:rPr>
        <w:t xml:space="preserve">The batch pipeline is orchestrated by a single Airflow DAG, </w:t>
      </w:r>
      <w:proofErr w:type="spellStart"/>
      <w:r>
        <w:rPr>
          <w:i/>
          <w:iCs/>
          <w:color w:val="1A1A1A"/>
        </w:rPr>
        <w:t>mediawave_batch_pipeline</w:t>
      </w:r>
      <w:proofErr w:type="spellEnd"/>
      <w:r>
        <w:rPr>
          <w:color w:val="1A1A1A"/>
        </w:rPr>
        <w:t xml:space="preserve">, scheduled to run daily. The DAG defines nine tasks executing in sequence: </w:t>
      </w:r>
      <w:proofErr w:type="spellStart"/>
      <w:r>
        <w:rPr>
          <w:i/>
          <w:iCs/>
          <w:color w:val="1A1A1A"/>
        </w:rPr>
        <w:t>start_pipeline</w:t>
      </w:r>
      <w:proofErr w:type="spellEnd"/>
      <w:r>
        <w:rPr>
          <w:color w:val="1A1A1A"/>
        </w:rPr>
        <w:t xml:space="preserve"> → </w:t>
      </w:r>
      <w:proofErr w:type="spellStart"/>
      <w:r>
        <w:rPr>
          <w:i/>
          <w:iCs/>
          <w:color w:val="1A1A1A"/>
        </w:rPr>
        <w:t>check_landing_files_exist</w:t>
      </w:r>
      <w:proofErr w:type="spellEnd"/>
      <w:r>
        <w:rPr>
          <w:color w:val="1A1A1A"/>
        </w:rPr>
        <w:t xml:space="preserve"> → </w:t>
      </w:r>
      <w:proofErr w:type="spellStart"/>
      <w:r>
        <w:rPr>
          <w:i/>
          <w:iCs/>
          <w:color w:val="1A1A1A"/>
        </w:rPr>
        <w:t>run_data_quality_gates</w:t>
      </w:r>
      <w:proofErr w:type="spellEnd"/>
      <w:r>
        <w:rPr>
          <w:color w:val="1A1A1A"/>
        </w:rPr>
        <w:t xml:space="preserve"> → </w:t>
      </w:r>
      <w:r>
        <w:rPr>
          <w:i/>
          <w:iCs/>
          <w:color w:val="1A1A1A"/>
        </w:rPr>
        <w:t>run_stage2_batch_transformation</w:t>
      </w:r>
      <w:r>
        <w:rPr>
          <w:color w:val="1A1A1A"/>
        </w:rPr>
        <w:t xml:space="preserve"> → </w:t>
      </w:r>
      <w:proofErr w:type="spellStart"/>
      <w:r>
        <w:rPr>
          <w:i/>
          <w:iCs/>
          <w:color w:val="1A1A1A"/>
        </w:rPr>
        <w:t>validate_curated_outputs</w:t>
      </w:r>
      <w:proofErr w:type="spellEnd"/>
      <w:r>
        <w:rPr>
          <w:color w:val="1A1A1A"/>
        </w:rPr>
        <w:t xml:space="preserve"> → </w:t>
      </w:r>
      <w:proofErr w:type="spellStart"/>
      <w:r>
        <w:rPr>
          <w:i/>
          <w:iCs/>
          <w:color w:val="1A1A1A"/>
        </w:rPr>
        <w:lastRenderedPageBreak/>
        <w:t>validate_analytics_outputs</w:t>
      </w:r>
      <w:proofErr w:type="spellEnd"/>
      <w:r>
        <w:rPr>
          <w:color w:val="1A1A1A"/>
        </w:rPr>
        <w:t xml:space="preserve"> → </w:t>
      </w:r>
      <w:proofErr w:type="spellStart"/>
      <w:r>
        <w:rPr>
          <w:i/>
          <w:iCs/>
          <w:color w:val="1A1A1A"/>
        </w:rPr>
        <w:t>calculate_churn_risk_scores</w:t>
      </w:r>
      <w:proofErr w:type="spellEnd"/>
      <w:r>
        <w:rPr>
          <w:color w:val="1A1A1A"/>
        </w:rPr>
        <w:t xml:space="preserve"> → </w:t>
      </w:r>
      <w:proofErr w:type="spellStart"/>
      <w:r>
        <w:rPr>
          <w:i/>
          <w:iCs/>
          <w:color w:val="1A1A1A"/>
        </w:rPr>
        <w:t>export_daily_reports</w:t>
      </w:r>
      <w:proofErr w:type="spellEnd"/>
      <w:r>
        <w:rPr>
          <w:color w:val="1A1A1A"/>
        </w:rPr>
        <w:t xml:space="preserve"> → </w:t>
      </w:r>
      <w:proofErr w:type="spellStart"/>
      <w:r>
        <w:rPr>
          <w:i/>
          <w:iCs/>
          <w:color w:val="1A1A1A"/>
        </w:rPr>
        <w:t>end_pipeline</w:t>
      </w:r>
      <w:proofErr w:type="spellEnd"/>
      <w:r>
        <w:rPr>
          <w:color w:val="1A1A1A"/>
        </w:rPr>
        <w:t xml:space="preserve">. Each task has access to the output of upstream tasks via Airflow’s </w:t>
      </w:r>
      <w:proofErr w:type="spellStart"/>
      <w:r>
        <w:rPr>
          <w:color w:val="1A1A1A"/>
        </w:rPr>
        <w:t>XCom</w:t>
      </w:r>
      <w:proofErr w:type="spellEnd"/>
      <w:r>
        <w:rPr>
          <w:color w:val="1A1A1A"/>
        </w:rPr>
        <w:t xml:space="preserve"> mechanism.</w:t>
      </w:r>
    </w:p>
    <w:p w14:paraId="441A71CA" w14:textId="77777777" w:rsidR="00225A1A" w:rsidRDefault="0045330C">
      <w:pPr>
        <w:spacing w:after="160" w:line="300" w:lineRule="auto"/>
        <w:jc w:val="both"/>
      </w:pPr>
      <w:r>
        <w:rPr>
          <w:color w:val="1A1A1A"/>
        </w:rPr>
        <w:t xml:space="preserve">The team’s data quality strategy operates at three points in the pipeline. First, Spark’s cleaning step rejects malformed rows at the boundary between landing and curated, ensuring downstream joins never encounter nulls in join keys. Second, Airflow’s quality gate task verifies that curated tables meet expected row count thresholds and have no nulls in required columns; failure here halts the DAG before bad data contaminates analytics outputs. Third, the streaming consumer’s checkpoint mechanism guarantees that on restart, no events are processed </w:t>
      </w:r>
      <w:proofErr w:type="gramStart"/>
      <w:r>
        <w:rPr>
          <w:color w:val="1A1A1A"/>
        </w:rPr>
        <w:t>twice</w:t>
      </w:r>
      <w:proofErr w:type="gramEnd"/>
      <w:r>
        <w:rPr>
          <w:color w:val="1A1A1A"/>
        </w:rPr>
        <w:t xml:space="preserve"> and none are lost.</w:t>
      </w:r>
    </w:p>
    <w:p w14:paraId="458C2F72" w14:textId="77777777" w:rsidR="00225A1A" w:rsidRDefault="0045330C">
      <w:pPr>
        <w:spacing w:after="160" w:line="300" w:lineRule="auto"/>
        <w:jc w:val="both"/>
      </w:pPr>
      <w:r>
        <w:rPr>
          <w:color w:val="1A1A1A"/>
        </w:rPr>
        <w:t>Each task is configured with two retries and exponential backoff (5 minutes, then 10 minutes) to handle transient infrastructure issues. SLA monitoring alerts on tasks that exceed expected runtime by 50%. A separate streaming-monitor DAG runs every 15 minutes to check Kafka topic lag and consumer health, providing a 30-minute upper bound on time to detect streaming failures.</w:t>
      </w:r>
    </w:p>
    <w:p w14:paraId="2E04F2D2" w14:textId="77777777" w:rsidR="00225A1A" w:rsidRDefault="0045330C">
      <w:pPr>
        <w:pStyle w:val="Heading2"/>
        <w:spacing w:before="240" w:after="120"/>
      </w:pPr>
      <w:r>
        <w:t>3.6 Reproducibility</w:t>
      </w:r>
    </w:p>
    <w:p w14:paraId="0EE423EE" w14:textId="77777777" w:rsidR="00225A1A" w:rsidRDefault="0045330C">
      <w:pPr>
        <w:spacing w:after="160" w:line="300" w:lineRule="auto"/>
        <w:jc w:val="both"/>
      </w:pPr>
      <w:r>
        <w:rPr>
          <w:color w:val="1A1A1A"/>
        </w:rPr>
        <w:t xml:space="preserve">The pipeline is reproducible end-to-end from a fresh git clone. After cloning the repo and downloading the </w:t>
      </w:r>
      <w:proofErr w:type="spellStart"/>
      <w:r>
        <w:rPr>
          <w:color w:val="1A1A1A"/>
        </w:rPr>
        <w:t>MediaWave</w:t>
      </w:r>
      <w:proofErr w:type="spellEnd"/>
      <w:r>
        <w:rPr>
          <w:color w:val="1A1A1A"/>
        </w:rPr>
        <w:t xml:space="preserve"> datasets to </w:t>
      </w:r>
      <w:r>
        <w:rPr>
          <w:i/>
          <w:iCs/>
          <w:color w:val="1A1A1A"/>
        </w:rPr>
        <w:t>data/</w:t>
      </w:r>
      <w:r>
        <w:rPr>
          <w:color w:val="1A1A1A"/>
        </w:rPr>
        <w:t xml:space="preserve">, a grader runs </w:t>
      </w:r>
      <w:r>
        <w:rPr>
          <w:b/>
          <w:bCs/>
          <w:color w:val="1A1A1A"/>
        </w:rPr>
        <w:t>docker compose up -d</w:t>
      </w:r>
      <w:r>
        <w:rPr>
          <w:color w:val="1A1A1A"/>
        </w:rPr>
        <w:t xml:space="preserve">, waits approximately three minutes for </w:t>
      </w:r>
      <w:proofErr w:type="spellStart"/>
      <w:r>
        <w:rPr>
          <w:color w:val="1A1A1A"/>
        </w:rPr>
        <w:t>healthchecks</w:t>
      </w:r>
      <w:proofErr w:type="spellEnd"/>
      <w:r>
        <w:rPr>
          <w:color w:val="1A1A1A"/>
        </w:rPr>
        <w:t xml:space="preserve"> to pass, and triggers the batch DAG from the Airflow UI. The pipeline runs to completion without manual intervention. Re-running produces identical output, verified across five test re-runs by hashing the analytics Parquet files across runs.</w:t>
      </w:r>
    </w:p>
    <w:p w14:paraId="6143196E" w14:textId="77777777" w:rsidR="00225A1A" w:rsidRDefault="0045330C">
      <w:pPr>
        <w:pStyle w:val="Heading1"/>
        <w:spacing w:before="320" w:after="160"/>
      </w:pPr>
      <w:r>
        <w:t>4. Business Insights</w:t>
      </w:r>
    </w:p>
    <w:p w14:paraId="66338519" w14:textId="77777777" w:rsidR="00225A1A" w:rsidRDefault="0045330C">
      <w:pPr>
        <w:spacing w:after="160" w:line="300" w:lineRule="auto"/>
        <w:jc w:val="both"/>
      </w:pPr>
      <w:r>
        <w:rPr>
          <w:color w:val="1A1A1A"/>
        </w:rPr>
        <w:t xml:space="preserve">The </w:t>
      </w:r>
      <w:proofErr w:type="spellStart"/>
      <w:r>
        <w:rPr>
          <w:color w:val="1A1A1A"/>
        </w:rPr>
        <w:t>MediaWave</w:t>
      </w:r>
      <w:proofErr w:type="spellEnd"/>
      <w:r>
        <w:rPr>
          <w:color w:val="1A1A1A"/>
        </w:rPr>
        <w:t xml:space="preserve"> pipeline answered the company’s core business questions through three analytics tables: </w:t>
      </w:r>
      <w:r>
        <w:rPr>
          <w:i/>
          <w:iCs/>
          <w:color w:val="1A1A1A"/>
        </w:rPr>
        <w:t>user-monthly-engagement</w:t>
      </w:r>
      <w:r>
        <w:rPr>
          <w:color w:val="1A1A1A"/>
        </w:rPr>
        <w:t xml:space="preserve">, </w:t>
      </w:r>
      <w:r>
        <w:rPr>
          <w:i/>
          <w:iCs/>
          <w:color w:val="1A1A1A"/>
        </w:rPr>
        <w:t>content-performance</w:t>
      </w:r>
      <w:r>
        <w:rPr>
          <w:color w:val="1A1A1A"/>
        </w:rPr>
        <w:t xml:space="preserve">, and </w:t>
      </w:r>
      <w:r>
        <w:rPr>
          <w:i/>
          <w:iCs/>
          <w:color w:val="1A1A1A"/>
        </w:rPr>
        <w:t>streaming-quality-region-isp</w:t>
      </w:r>
      <w:r>
        <w:rPr>
          <w:color w:val="1A1A1A"/>
        </w:rPr>
        <w:t>. This section presents the most actionable findings and recommendations.</w:t>
      </w:r>
    </w:p>
    <w:p w14:paraId="6185FEC0" w14:textId="77777777" w:rsidR="00225A1A" w:rsidRDefault="0045330C">
      <w:pPr>
        <w:pStyle w:val="Heading2"/>
        <w:spacing w:before="240" w:after="120"/>
      </w:pPr>
      <w:r>
        <w:t>4.1 Content ROI: Which Titles Earn Their License Fees?</w:t>
      </w:r>
    </w:p>
    <w:p w14:paraId="6C8AF074" w14:textId="4374DA49" w:rsidR="00225A1A" w:rsidRDefault="0045330C">
      <w:pPr>
        <w:spacing w:after="160" w:line="300" w:lineRule="auto"/>
        <w:jc w:val="both"/>
      </w:pPr>
      <w:r>
        <w:rPr>
          <w:color w:val="1A1A1A"/>
        </w:rPr>
        <w:t xml:space="preserve">Our </w:t>
      </w:r>
      <w:r>
        <w:rPr>
          <w:i/>
          <w:iCs/>
          <w:color w:val="1A1A1A"/>
        </w:rPr>
        <w:t>content-performance</w:t>
      </w:r>
      <w:r>
        <w:rPr>
          <w:color w:val="1A1A1A"/>
        </w:rPr>
        <w:t xml:space="preserve"> table calculates a custom metric </w:t>
      </w:r>
      <w:r w:rsidR="00E50020">
        <w:rPr>
          <w:color w:val="1A1A1A"/>
        </w:rPr>
        <w:t xml:space="preserve">– </w:t>
      </w:r>
      <w:r>
        <w:rPr>
          <w:b/>
          <w:bCs/>
          <w:color w:val="1A1A1A"/>
        </w:rPr>
        <w:t>cost per viewing hour</w:t>
      </w:r>
      <w:r>
        <w:rPr>
          <w:color w:val="1A1A1A"/>
        </w:rPr>
        <w:t xml:space="preserve"> </w:t>
      </w:r>
      <w:r w:rsidR="00E50020">
        <w:rPr>
          <w:color w:val="1A1A1A"/>
        </w:rPr>
        <w:t xml:space="preserve">– </w:t>
      </w:r>
      <w:r>
        <w:rPr>
          <w:color w:val="1A1A1A"/>
        </w:rPr>
        <w:t xml:space="preserve">that divides each title’s monthly license cost by total viewing hours generated. This metric directly answers </w:t>
      </w:r>
      <w:proofErr w:type="spellStart"/>
      <w:r>
        <w:rPr>
          <w:color w:val="1A1A1A"/>
        </w:rPr>
        <w:t>MediaWave’s</w:t>
      </w:r>
      <w:proofErr w:type="spellEnd"/>
      <w:r>
        <w:rPr>
          <w:color w:val="1A1A1A"/>
        </w:rPr>
        <w:t xml:space="preserve"> question: </w:t>
      </w:r>
      <w:r>
        <w:rPr>
          <w:i/>
          <w:iCs/>
          <w:color w:val="1A1A1A"/>
        </w:rPr>
        <w:t>which content investments are paying off?</w:t>
      </w:r>
    </w:p>
    <w:p w14:paraId="293770C7" w14:textId="5A3E802F" w:rsidR="00225A1A" w:rsidRDefault="0045330C">
      <w:pPr>
        <w:spacing w:after="160" w:line="300" w:lineRule="auto"/>
        <w:jc w:val="both"/>
      </w:pPr>
      <w:r>
        <w:rPr>
          <w:color w:val="1A1A1A"/>
        </w:rPr>
        <w:t xml:space="preserve">The variance in the catalog is dramatic. The five titles with the worst cost-per-viewing-hour ratios cost between $17,662 and $19,638 per viewing hour. The five best cost between $22.83 and $27.04. The catalog median sits at $3,907 per viewing hour, meaning the worst-performing title is more than 5× the median </w:t>
      </w:r>
      <w:r w:rsidR="00E50020">
        <w:rPr>
          <w:color w:val="1A1A1A"/>
        </w:rPr>
        <w:t xml:space="preserve">– </w:t>
      </w:r>
      <w:r>
        <w:rPr>
          <w:color w:val="1A1A1A"/>
        </w:rPr>
        <w:t>and 860× the best.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225A1A" w14:paraId="75D9E65E" w14:textId="77777777">
        <w:tc>
          <w:tcPr>
            <w:tcW w:w="4500" w:type="dxa"/>
            <w:tcBorders>
              <w:top w:val="single" w:sz="4" w:space="0" w:color="B7D7DC"/>
              <w:left w:val="single" w:sz="4" w:space="0" w:color="B7D7DC"/>
              <w:bottom w:val="single" w:sz="4" w:space="0" w:color="B7D7DC"/>
              <w:right w:val="single" w:sz="4" w:space="0" w:color="B7D7DC"/>
            </w:tcBorders>
            <w:shd w:val="clear" w:color="auto" w:fill="E8F4F5"/>
            <w:tcMar>
              <w:top w:w="80" w:type="dxa"/>
              <w:left w:w="120" w:type="dxa"/>
              <w:bottom w:w="80" w:type="dxa"/>
              <w:right w:w="120" w:type="dxa"/>
            </w:tcMar>
          </w:tcPr>
          <w:p w14:paraId="4EEE45A7" w14:textId="77777777" w:rsidR="00225A1A" w:rsidRDefault="0045330C">
            <w:pPr>
              <w:jc w:val="center"/>
            </w:pPr>
            <w:r>
              <w:rPr>
                <w:b/>
                <w:bCs/>
                <w:color w:val="012E36"/>
                <w:sz w:val="20"/>
                <w:szCs w:val="20"/>
              </w:rPr>
              <w:t>Worst 5 (highest cost per viewing hour)</w:t>
            </w:r>
          </w:p>
        </w:tc>
        <w:tc>
          <w:tcPr>
            <w:tcW w:w="4500" w:type="dxa"/>
            <w:tcBorders>
              <w:top w:val="single" w:sz="4" w:space="0" w:color="B7D7DC"/>
              <w:left w:val="single" w:sz="4" w:space="0" w:color="B7D7DC"/>
              <w:bottom w:val="single" w:sz="4" w:space="0" w:color="B7D7DC"/>
              <w:right w:val="single" w:sz="4" w:space="0" w:color="B7D7DC"/>
            </w:tcBorders>
            <w:shd w:val="clear" w:color="auto" w:fill="E8F4F5"/>
            <w:tcMar>
              <w:top w:w="80" w:type="dxa"/>
              <w:left w:w="120" w:type="dxa"/>
              <w:bottom w:w="80" w:type="dxa"/>
              <w:right w:w="120" w:type="dxa"/>
            </w:tcMar>
          </w:tcPr>
          <w:p w14:paraId="25F2FCD3" w14:textId="77777777" w:rsidR="00225A1A" w:rsidRDefault="0045330C">
            <w:pPr>
              <w:jc w:val="center"/>
            </w:pPr>
            <w:r>
              <w:rPr>
                <w:b/>
                <w:bCs/>
                <w:color w:val="012E36"/>
                <w:sz w:val="20"/>
                <w:szCs w:val="20"/>
              </w:rPr>
              <w:t>Best 5 (lowest cost per viewing hour)</w:t>
            </w:r>
          </w:p>
        </w:tc>
      </w:tr>
      <w:tr w:rsidR="00225A1A" w14:paraId="64F5D08C" w14:textId="77777777">
        <w:tc>
          <w:tcPr>
            <w:tcW w:w="4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43679B6F" w14:textId="63D7420F" w:rsidR="00225A1A" w:rsidRDefault="0045330C">
            <w:r>
              <w:rPr>
                <w:color w:val="1A1A1A"/>
                <w:sz w:val="20"/>
                <w:szCs w:val="20"/>
              </w:rPr>
              <w:t xml:space="preserve">Frozen Roads </w:t>
            </w:r>
            <w:r w:rsidR="00E50020">
              <w:rPr>
                <w:color w:val="1A1A1A"/>
                <w:sz w:val="20"/>
                <w:szCs w:val="20"/>
              </w:rPr>
              <w:t xml:space="preserve">– </w:t>
            </w:r>
            <w:r>
              <w:rPr>
                <w:color w:val="1A1A1A"/>
                <w:sz w:val="20"/>
                <w:szCs w:val="20"/>
              </w:rPr>
              <w:t>$19,638/</w:t>
            </w:r>
            <w:proofErr w:type="spellStart"/>
            <w:r>
              <w:rPr>
                <w:color w:val="1A1A1A"/>
                <w:sz w:val="20"/>
                <w:szCs w:val="20"/>
              </w:rPr>
              <w:t>hr</w:t>
            </w:r>
            <w:proofErr w:type="spellEnd"/>
          </w:p>
        </w:tc>
        <w:tc>
          <w:tcPr>
            <w:tcW w:w="4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78C2D1C1" w14:textId="3D907254" w:rsidR="00225A1A" w:rsidRDefault="0045330C">
            <w:r>
              <w:rPr>
                <w:color w:val="1A1A1A"/>
                <w:sz w:val="20"/>
                <w:szCs w:val="20"/>
              </w:rPr>
              <w:t xml:space="preserve">Midnight Bridges 2 </w:t>
            </w:r>
            <w:r w:rsidR="00E50020">
              <w:rPr>
                <w:color w:val="1A1A1A"/>
                <w:sz w:val="20"/>
                <w:szCs w:val="20"/>
              </w:rPr>
              <w:t xml:space="preserve">– </w:t>
            </w:r>
            <w:r>
              <w:rPr>
                <w:color w:val="1A1A1A"/>
                <w:sz w:val="20"/>
                <w:szCs w:val="20"/>
              </w:rPr>
              <w:t>$22.83/</w:t>
            </w:r>
            <w:proofErr w:type="spellStart"/>
            <w:r>
              <w:rPr>
                <w:color w:val="1A1A1A"/>
                <w:sz w:val="20"/>
                <w:szCs w:val="20"/>
              </w:rPr>
              <w:t>hr</w:t>
            </w:r>
            <w:proofErr w:type="spellEnd"/>
          </w:p>
        </w:tc>
      </w:tr>
      <w:tr w:rsidR="00225A1A" w14:paraId="48A41A75" w14:textId="77777777">
        <w:tc>
          <w:tcPr>
            <w:tcW w:w="4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454E793B" w14:textId="40E239DF" w:rsidR="00225A1A" w:rsidRDefault="0045330C">
            <w:r>
              <w:rPr>
                <w:color w:val="1A1A1A"/>
                <w:sz w:val="20"/>
                <w:szCs w:val="20"/>
              </w:rPr>
              <w:t xml:space="preserve">Crimson Stars </w:t>
            </w:r>
            <w:r w:rsidR="00E50020">
              <w:rPr>
                <w:color w:val="1A1A1A"/>
                <w:sz w:val="20"/>
                <w:szCs w:val="20"/>
              </w:rPr>
              <w:t xml:space="preserve">– </w:t>
            </w:r>
            <w:r>
              <w:rPr>
                <w:color w:val="1A1A1A"/>
                <w:sz w:val="20"/>
                <w:szCs w:val="20"/>
              </w:rPr>
              <w:t>$18,555/</w:t>
            </w:r>
            <w:proofErr w:type="spellStart"/>
            <w:r>
              <w:rPr>
                <w:color w:val="1A1A1A"/>
                <w:sz w:val="20"/>
                <w:szCs w:val="20"/>
              </w:rPr>
              <w:t>hr</w:t>
            </w:r>
            <w:proofErr w:type="spellEnd"/>
          </w:p>
        </w:tc>
        <w:tc>
          <w:tcPr>
            <w:tcW w:w="4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6E8D9543" w14:textId="5521395E" w:rsidR="00225A1A" w:rsidRDefault="0045330C">
            <w:r>
              <w:rPr>
                <w:color w:val="1A1A1A"/>
                <w:sz w:val="20"/>
                <w:szCs w:val="20"/>
              </w:rPr>
              <w:t xml:space="preserve">Hidden Memories 2 </w:t>
            </w:r>
            <w:r w:rsidR="00E50020">
              <w:rPr>
                <w:color w:val="1A1A1A"/>
                <w:sz w:val="20"/>
                <w:szCs w:val="20"/>
              </w:rPr>
              <w:t xml:space="preserve">– </w:t>
            </w:r>
            <w:r>
              <w:rPr>
                <w:color w:val="1A1A1A"/>
                <w:sz w:val="20"/>
                <w:szCs w:val="20"/>
              </w:rPr>
              <w:t>$25.19/</w:t>
            </w:r>
            <w:proofErr w:type="spellStart"/>
            <w:r>
              <w:rPr>
                <w:color w:val="1A1A1A"/>
                <w:sz w:val="20"/>
                <w:szCs w:val="20"/>
              </w:rPr>
              <w:t>hr</w:t>
            </w:r>
            <w:proofErr w:type="spellEnd"/>
          </w:p>
        </w:tc>
      </w:tr>
      <w:tr w:rsidR="00225A1A" w14:paraId="6946A8F9" w14:textId="77777777">
        <w:tc>
          <w:tcPr>
            <w:tcW w:w="4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5A97E2BA" w14:textId="59E24119" w:rsidR="00225A1A" w:rsidRDefault="0045330C">
            <w:r>
              <w:rPr>
                <w:color w:val="1A1A1A"/>
                <w:sz w:val="20"/>
                <w:szCs w:val="20"/>
              </w:rPr>
              <w:t xml:space="preserve">Crimson Memories 4 </w:t>
            </w:r>
            <w:r w:rsidR="00E50020">
              <w:rPr>
                <w:color w:val="1A1A1A"/>
                <w:sz w:val="20"/>
                <w:szCs w:val="20"/>
              </w:rPr>
              <w:t xml:space="preserve">– </w:t>
            </w:r>
            <w:r>
              <w:rPr>
                <w:color w:val="1A1A1A"/>
                <w:sz w:val="20"/>
                <w:szCs w:val="20"/>
              </w:rPr>
              <w:t>$18,437/</w:t>
            </w:r>
            <w:proofErr w:type="spellStart"/>
            <w:r>
              <w:rPr>
                <w:color w:val="1A1A1A"/>
                <w:sz w:val="20"/>
                <w:szCs w:val="20"/>
              </w:rPr>
              <w:t>hr</w:t>
            </w:r>
            <w:proofErr w:type="spellEnd"/>
          </w:p>
        </w:tc>
        <w:tc>
          <w:tcPr>
            <w:tcW w:w="4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0FE1ECD0" w14:textId="022A3341" w:rsidR="00225A1A" w:rsidRDefault="0045330C">
            <w:r>
              <w:rPr>
                <w:color w:val="1A1A1A"/>
                <w:sz w:val="20"/>
                <w:szCs w:val="20"/>
              </w:rPr>
              <w:t xml:space="preserve">Wild Kingdoms 2 </w:t>
            </w:r>
            <w:r w:rsidR="00E50020">
              <w:rPr>
                <w:color w:val="1A1A1A"/>
                <w:sz w:val="20"/>
                <w:szCs w:val="20"/>
              </w:rPr>
              <w:t xml:space="preserve">– </w:t>
            </w:r>
            <w:r>
              <w:rPr>
                <w:color w:val="1A1A1A"/>
                <w:sz w:val="20"/>
                <w:szCs w:val="20"/>
              </w:rPr>
              <w:t>$25.19/</w:t>
            </w:r>
            <w:proofErr w:type="spellStart"/>
            <w:r>
              <w:rPr>
                <w:color w:val="1A1A1A"/>
                <w:sz w:val="20"/>
                <w:szCs w:val="20"/>
              </w:rPr>
              <w:t>hr</w:t>
            </w:r>
            <w:proofErr w:type="spellEnd"/>
          </w:p>
        </w:tc>
      </w:tr>
      <w:tr w:rsidR="00225A1A" w14:paraId="345E5883" w14:textId="77777777">
        <w:tc>
          <w:tcPr>
            <w:tcW w:w="4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56CD4840" w14:textId="30CBC4C1" w:rsidR="00225A1A" w:rsidRDefault="0045330C">
            <w:r>
              <w:rPr>
                <w:color w:val="1A1A1A"/>
                <w:sz w:val="20"/>
                <w:szCs w:val="20"/>
              </w:rPr>
              <w:t xml:space="preserve">Crimson Horizons 2 </w:t>
            </w:r>
            <w:r w:rsidR="00E50020">
              <w:rPr>
                <w:color w:val="1A1A1A"/>
                <w:sz w:val="20"/>
                <w:szCs w:val="20"/>
              </w:rPr>
              <w:t xml:space="preserve">– </w:t>
            </w:r>
            <w:r>
              <w:rPr>
                <w:color w:val="1A1A1A"/>
                <w:sz w:val="20"/>
                <w:szCs w:val="20"/>
              </w:rPr>
              <w:t>$17,918/</w:t>
            </w:r>
            <w:proofErr w:type="spellStart"/>
            <w:r>
              <w:rPr>
                <w:color w:val="1A1A1A"/>
                <w:sz w:val="20"/>
                <w:szCs w:val="20"/>
              </w:rPr>
              <w:t>hr</w:t>
            </w:r>
            <w:proofErr w:type="spellEnd"/>
          </w:p>
        </w:tc>
        <w:tc>
          <w:tcPr>
            <w:tcW w:w="4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1C599964" w14:textId="23FFE8D9" w:rsidR="00225A1A" w:rsidRDefault="0045330C">
            <w:r>
              <w:rPr>
                <w:color w:val="1A1A1A"/>
                <w:sz w:val="20"/>
                <w:szCs w:val="20"/>
              </w:rPr>
              <w:t xml:space="preserve">Eternal Echoes 2 </w:t>
            </w:r>
            <w:r w:rsidR="00E50020">
              <w:rPr>
                <w:color w:val="1A1A1A"/>
                <w:sz w:val="20"/>
                <w:szCs w:val="20"/>
              </w:rPr>
              <w:t xml:space="preserve">– </w:t>
            </w:r>
            <w:r>
              <w:rPr>
                <w:color w:val="1A1A1A"/>
                <w:sz w:val="20"/>
                <w:szCs w:val="20"/>
              </w:rPr>
              <w:t>$25.73/</w:t>
            </w:r>
            <w:proofErr w:type="spellStart"/>
            <w:r>
              <w:rPr>
                <w:color w:val="1A1A1A"/>
                <w:sz w:val="20"/>
                <w:szCs w:val="20"/>
              </w:rPr>
              <w:t>hr</w:t>
            </w:r>
            <w:proofErr w:type="spellEnd"/>
          </w:p>
        </w:tc>
      </w:tr>
      <w:tr w:rsidR="00225A1A" w14:paraId="42F5E8F4" w14:textId="77777777">
        <w:tc>
          <w:tcPr>
            <w:tcW w:w="4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2276627F" w14:textId="7BCBBFB4" w:rsidR="00225A1A" w:rsidRDefault="0045330C">
            <w:r>
              <w:rPr>
                <w:color w:val="1A1A1A"/>
                <w:sz w:val="20"/>
                <w:szCs w:val="20"/>
              </w:rPr>
              <w:lastRenderedPageBreak/>
              <w:t xml:space="preserve">Endless Bridges </w:t>
            </w:r>
            <w:r w:rsidR="00E50020">
              <w:rPr>
                <w:color w:val="1A1A1A"/>
                <w:sz w:val="20"/>
                <w:szCs w:val="20"/>
              </w:rPr>
              <w:t xml:space="preserve">– </w:t>
            </w:r>
            <w:r>
              <w:rPr>
                <w:color w:val="1A1A1A"/>
                <w:sz w:val="20"/>
                <w:szCs w:val="20"/>
              </w:rPr>
              <w:t>$17,663/</w:t>
            </w:r>
            <w:proofErr w:type="spellStart"/>
            <w:r>
              <w:rPr>
                <w:color w:val="1A1A1A"/>
                <w:sz w:val="20"/>
                <w:szCs w:val="20"/>
              </w:rPr>
              <w:t>hr</w:t>
            </w:r>
            <w:proofErr w:type="spellEnd"/>
          </w:p>
        </w:tc>
        <w:tc>
          <w:tcPr>
            <w:tcW w:w="4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32AD71DD" w14:textId="066772BB" w:rsidR="00225A1A" w:rsidRDefault="0045330C">
            <w:r>
              <w:rPr>
                <w:color w:val="1A1A1A"/>
                <w:sz w:val="20"/>
                <w:szCs w:val="20"/>
              </w:rPr>
              <w:t xml:space="preserve">Golden Flames </w:t>
            </w:r>
            <w:r w:rsidR="00E50020">
              <w:rPr>
                <w:color w:val="1A1A1A"/>
                <w:sz w:val="20"/>
                <w:szCs w:val="20"/>
              </w:rPr>
              <w:t xml:space="preserve">– </w:t>
            </w:r>
            <w:r>
              <w:rPr>
                <w:color w:val="1A1A1A"/>
                <w:sz w:val="20"/>
                <w:szCs w:val="20"/>
              </w:rPr>
              <w:t>$27.05/</w:t>
            </w:r>
            <w:proofErr w:type="spellStart"/>
            <w:r>
              <w:rPr>
                <w:color w:val="1A1A1A"/>
                <w:sz w:val="20"/>
                <w:szCs w:val="20"/>
              </w:rPr>
              <w:t>hr</w:t>
            </w:r>
            <w:proofErr w:type="spellEnd"/>
          </w:p>
        </w:tc>
      </w:tr>
    </w:tbl>
    <w:p w14:paraId="6EF69EEC" w14:textId="77777777" w:rsidR="00225A1A" w:rsidRDefault="00225A1A">
      <w:pPr>
        <w:spacing w:after="160"/>
      </w:pPr>
    </w:p>
    <w:p w14:paraId="063BAC1D" w14:textId="7B8644DF" w:rsidR="00225A1A" w:rsidRDefault="0045330C">
      <w:pPr>
        <w:spacing w:after="160" w:line="300" w:lineRule="auto"/>
        <w:jc w:val="both"/>
      </w:pPr>
      <w:r>
        <w:rPr>
          <w:color w:val="1A1A1A"/>
        </w:rPr>
        <w:t xml:space="preserve">Aggregating across the catalog, </w:t>
      </w:r>
      <w:r>
        <w:rPr>
          <w:b/>
          <w:bCs/>
          <w:color w:val="1A1A1A"/>
        </w:rPr>
        <w:t>73% of total license cost concentrates in titles whose ROI falls below the median</w:t>
      </w:r>
      <w:r>
        <w:rPr>
          <w:color w:val="1A1A1A"/>
        </w:rPr>
        <w:t xml:space="preserve">. The bottom decile alone (the worst 10% of titles by cost-per-viewing-hour) drives $3.13 billion in annual license cost </w:t>
      </w:r>
      <w:r w:rsidR="00E50020">
        <w:rPr>
          <w:color w:val="1A1A1A"/>
        </w:rPr>
        <w:t xml:space="preserve">– </w:t>
      </w:r>
      <w:r>
        <w:rPr>
          <w:color w:val="1A1A1A"/>
        </w:rPr>
        <w:t>17% of the $18.1 billion total annual catalog spend. This is not a uniform distribution; expensive titles are disproportionately the underperformers.</w:t>
      </w:r>
    </w:p>
    <w:p w14:paraId="3A468910" w14:textId="345156BC" w:rsidR="00225A1A" w:rsidRDefault="0045330C">
      <w:pPr>
        <w:spacing w:after="160" w:line="300" w:lineRule="auto"/>
        <w:jc w:val="both"/>
      </w:pPr>
      <w:r>
        <w:rPr>
          <w:b/>
          <w:bCs/>
          <w:color w:val="1A1A1A"/>
        </w:rPr>
        <w:t xml:space="preserve">Recommendation: </w:t>
      </w:r>
      <w:r>
        <w:rPr>
          <w:color w:val="1A1A1A"/>
        </w:rPr>
        <w:t xml:space="preserve">Drop bottom-decile titles by </w:t>
      </w:r>
      <w:proofErr w:type="spellStart"/>
      <w:r>
        <w:rPr>
          <w:i/>
          <w:iCs/>
          <w:color w:val="1A1A1A"/>
        </w:rPr>
        <w:t>cost_per_viewing_hour</w:t>
      </w:r>
      <w:proofErr w:type="spellEnd"/>
      <w:r>
        <w:rPr>
          <w:color w:val="1A1A1A"/>
        </w:rPr>
        <w:t xml:space="preserve"> at the next license cycle. Estimated annual savings range from $1.5 billion (with conservative renegotiation at 50% reduction on existing contracts) to $3.1 billion (with full discontinuation). Conversely, titles in the bottom decile of the cost metric (best ROI) should anchor the next quarter’s marketing spend </w:t>
      </w:r>
      <w:r w:rsidR="00E50020">
        <w:rPr>
          <w:color w:val="1A1A1A"/>
        </w:rPr>
        <w:t xml:space="preserve">– </w:t>
      </w:r>
      <w:r>
        <w:rPr>
          <w:color w:val="1A1A1A"/>
        </w:rPr>
        <w:t>they are already efficient, and additional promotion compounds existing engagement.</w:t>
      </w:r>
    </w:p>
    <w:p w14:paraId="3F04EAF4" w14:textId="77777777" w:rsidR="00225A1A" w:rsidRDefault="0045330C">
      <w:pPr>
        <w:pStyle w:val="Heading2"/>
        <w:spacing w:before="240" w:after="120"/>
      </w:pPr>
      <w:r>
        <w:t>4.2 Engagement Patterns: A Counter-Finding on Plan Tier</w:t>
      </w:r>
    </w:p>
    <w:p w14:paraId="3AB658B3" w14:textId="59FB671A" w:rsidR="00225A1A" w:rsidRDefault="0045330C">
      <w:pPr>
        <w:spacing w:after="160" w:line="300" w:lineRule="auto"/>
        <w:jc w:val="both"/>
      </w:pPr>
      <w:r>
        <w:rPr>
          <w:color w:val="1A1A1A"/>
        </w:rPr>
        <w:t xml:space="preserve">We expected to find that Premium subscribers engage more deeply than Basic subscribers </w:t>
      </w:r>
      <w:r w:rsidR="00E50020">
        <w:rPr>
          <w:color w:val="1A1A1A"/>
        </w:rPr>
        <w:t xml:space="preserve">– </w:t>
      </w:r>
      <w:r>
        <w:rPr>
          <w:color w:val="1A1A1A"/>
        </w:rPr>
        <w:t>the assumption that drives most tier-based personalization investment in subscription businesses. The data flatly contradicts that assumption. Average completion percentage by plan tier:</w:t>
      </w:r>
    </w:p>
    <w:p w14:paraId="00759E80" w14:textId="77777777" w:rsidR="00225A1A" w:rsidRDefault="0045330C">
      <w:pPr>
        <w:pStyle w:val="ListParagraph"/>
        <w:numPr>
          <w:ilvl w:val="0"/>
          <w:numId w:val="2"/>
        </w:numPr>
        <w:spacing w:after="100" w:line="280" w:lineRule="auto"/>
      </w:pPr>
      <w:r>
        <w:rPr>
          <w:b/>
          <w:bCs/>
          <w:color w:val="1A1A1A"/>
        </w:rPr>
        <w:t xml:space="preserve">Basic (60,062 users): </w:t>
      </w:r>
      <w:r>
        <w:rPr>
          <w:color w:val="1A1A1A"/>
        </w:rPr>
        <w:t>52.73% average completion</w:t>
      </w:r>
    </w:p>
    <w:p w14:paraId="3B4E5550" w14:textId="77777777" w:rsidR="00225A1A" w:rsidRDefault="0045330C">
      <w:pPr>
        <w:pStyle w:val="ListParagraph"/>
        <w:numPr>
          <w:ilvl w:val="0"/>
          <w:numId w:val="2"/>
        </w:numPr>
        <w:spacing w:after="100" w:line="280" w:lineRule="auto"/>
      </w:pPr>
      <w:r>
        <w:rPr>
          <w:b/>
          <w:bCs/>
          <w:color w:val="1A1A1A"/>
        </w:rPr>
        <w:t xml:space="preserve">Standard (89,797 users): </w:t>
      </w:r>
      <w:r>
        <w:rPr>
          <w:color w:val="1A1A1A"/>
        </w:rPr>
        <w:t>52.62% average completion</w:t>
      </w:r>
    </w:p>
    <w:p w14:paraId="472BBC79" w14:textId="77777777" w:rsidR="00225A1A" w:rsidRDefault="0045330C">
      <w:pPr>
        <w:pStyle w:val="ListParagraph"/>
        <w:numPr>
          <w:ilvl w:val="0"/>
          <w:numId w:val="2"/>
        </w:numPr>
        <w:spacing w:after="100" w:line="280" w:lineRule="auto"/>
      </w:pPr>
      <w:r>
        <w:rPr>
          <w:b/>
          <w:bCs/>
          <w:color w:val="1A1A1A"/>
        </w:rPr>
        <w:t xml:space="preserve">Premium (50,141 users): </w:t>
      </w:r>
      <w:r>
        <w:rPr>
          <w:color w:val="1A1A1A"/>
        </w:rPr>
        <w:t>52.84% average completion</w:t>
      </w:r>
    </w:p>
    <w:p w14:paraId="73EA4E2A" w14:textId="085D5408" w:rsidR="00225A1A" w:rsidRDefault="0045330C">
      <w:pPr>
        <w:spacing w:after="160" w:line="300" w:lineRule="auto"/>
        <w:jc w:val="both"/>
      </w:pPr>
      <w:r>
        <w:rPr>
          <w:color w:val="1A1A1A"/>
        </w:rPr>
        <w:t xml:space="preserve">The spread is 0.2 percentage points across more than 200,000 subscribers </w:t>
      </w:r>
      <w:r w:rsidR="00E50020">
        <w:rPr>
          <w:color w:val="1A1A1A"/>
        </w:rPr>
        <w:t xml:space="preserve">– </w:t>
      </w:r>
      <w:r>
        <w:rPr>
          <w:color w:val="1A1A1A"/>
        </w:rPr>
        <w:t>effectively zero. Subscription tier does not predict viewing behavior in this dataset.</w:t>
      </w:r>
    </w:p>
    <w:p w14:paraId="7EC583C9" w14:textId="21104060" w:rsidR="00225A1A" w:rsidRDefault="0045330C">
      <w:pPr>
        <w:spacing w:after="160" w:line="300" w:lineRule="auto"/>
        <w:jc w:val="both"/>
      </w:pPr>
      <w:r>
        <w:rPr>
          <w:color w:val="1A1A1A"/>
        </w:rPr>
        <w:t xml:space="preserve">Where does the engagement variance live, then? At the title level. Per-title average completion percentage ranges from </w:t>
      </w:r>
      <w:r>
        <w:rPr>
          <w:b/>
          <w:bCs/>
          <w:color w:val="1A1A1A"/>
        </w:rPr>
        <w:t>28.9% on the worst-performing title to 76.7% on the best</w:t>
      </w:r>
      <w:r>
        <w:rPr>
          <w:color w:val="1A1A1A"/>
        </w:rPr>
        <w:t xml:space="preserve"> </w:t>
      </w:r>
      <w:r w:rsidR="00E50020">
        <w:rPr>
          <w:color w:val="1A1A1A"/>
        </w:rPr>
        <w:t xml:space="preserve">– </w:t>
      </w:r>
      <w:r>
        <w:rPr>
          <w:color w:val="1A1A1A"/>
        </w:rPr>
        <w:t xml:space="preserve">a 48-percentage-point spread, more than 200× wider than the tier-level spread. This is the lever recommendation systems can </w:t>
      </w:r>
      <w:proofErr w:type="gramStart"/>
      <w:r>
        <w:rPr>
          <w:color w:val="1A1A1A"/>
        </w:rPr>
        <w:t>actually pull</w:t>
      </w:r>
      <w:proofErr w:type="gramEnd"/>
      <w:r>
        <w:rPr>
          <w:color w:val="1A1A1A"/>
        </w:rPr>
        <w:t>.</w:t>
      </w:r>
    </w:p>
    <w:p w14:paraId="7A5DB0D3" w14:textId="77777777" w:rsidR="00225A1A" w:rsidRDefault="0045330C">
      <w:pPr>
        <w:spacing w:after="160" w:line="300" w:lineRule="auto"/>
        <w:jc w:val="both"/>
      </w:pPr>
      <w:r>
        <w:rPr>
          <w:b/>
          <w:bCs/>
          <w:color w:val="1A1A1A"/>
        </w:rPr>
        <w:t xml:space="preserve">Recommendation: </w:t>
      </w:r>
      <w:r>
        <w:rPr>
          <w:color w:val="1A1A1A"/>
        </w:rPr>
        <w:t xml:space="preserve">Redirect personalization investment from tier-aware logic to title-level features. Algorithm tuning should optimize for surfacing titles whose completion-percentage profiles match the user’s recent viewing behavior, regardless of which plan tier the user holds. The </w:t>
      </w:r>
      <w:proofErr w:type="gramStart"/>
      <w:r>
        <w:rPr>
          <w:color w:val="1A1A1A"/>
        </w:rPr>
        <w:t>48 pp</w:t>
      </w:r>
      <w:proofErr w:type="gramEnd"/>
      <w:r>
        <w:rPr>
          <w:color w:val="1A1A1A"/>
        </w:rPr>
        <w:t xml:space="preserve"> title-level variance gives recommendation systems a meaningful signal to exploit; the 0.2 pp tier-level variance does not.</w:t>
      </w:r>
    </w:p>
    <w:p w14:paraId="775583C3" w14:textId="77777777" w:rsidR="00225A1A" w:rsidRDefault="0045330C">
      <w:pPr>
        <w:pStyle w:val="Heading2"/>
        <w:spacing w:before="240" w:after="120"/>
      </w:pPr>
      <w:r>
        <w:t>4.3 Churn Signals: What Predicts Cancellation?</w:t>
      </w:r>
    </w:p>
    <w:p w14:paraId="26ACCC73" w14:textId="2F2341C4" w:rsidR="00225A1A" w:rsidRDefault="0045330C">
      <w:pPr>
        <w:spacing w:after="160" w:line="300" w:lineRule="auto"/>
        <w:jc w:val="both"/>
      </w:pPr>
      <w:r>
        <w:rPr>
          <w:color w:val="1A1A1A"/>
        </w:rPr>
        <w:t xml:space="preserve">Comparing 19,573 churned users with 180,427 retained users, the dominant churn signal is total monthly hours watched. Retained users average 26.4 hours per month; churned users average 15.2 </w:t>
      </w:r>
      <w:r w:rsidR="00E50020">
        <w:rPr>
          <w:color w:val="1A1A1A"/>
        </w:rPr>
        <w:t xml:space="preserve">– </w:t>
      </w:r>
      <w:r>
        <w:rPr>
          <w:color w:val="1A1A1A"/>
        </w:rPr>
        <w:t>a 42% gap. This is the strongest user-level signal in the dataset.</w:t>
      </w:r>
    </w:p>
    <w:p w14:paraId="4E2C0DF3" w14:textId="77777777" w:rsidR="00225A1A" w:rsidRDefault="0045330C">
      <w:pPr>
        <w:spacing w:after="160" w:line="300" w:lineRule="auto"/>
        <w:jc w:val="both"/>
      </w:pPr>
      <w:r>
        <w:rPr>
          <w:color w:val="1A1A1A"/>
        </w:rPr>
        <w:t>We also tested the candidate signals one would expect to predict churn: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00"/>
      </w:tblGrid>
      <w:tr w:rsidR="00225A1A" w14:paraId="69F584CF" w14:textId="77777777">
        <w:tc>
          <w:tcPr>
            <w:tcW w:w="3000" w:type="dxa"/>
            <w:tcBorders>
              <w:top w:val="single" w:sz="4" w:space="0" w:color="B7D7DC"/>
              <w:left w:val="single" w:sz="4" w:space="0" w:color="B7D7DC"/>
              <w:bottom w:val="single" w:sz="4" w:space="0" w:color="B7D7DC"/>
              <w:right w:val="single" w:sz="4" w:space="0" w:color="B7D7DC"/>
            </w:tcBorders>
            <w:shd w:val="clear" w:color="auto" w:fill="E8F4F5"/>
            <w:tcMar>
              <w:top w:w="80" w:type="dxa"/>
              <w:left w:w="120" w:type="dxa"/>
              <w:bottom w:w="80" w:type="dxa"/>
              <w:right w:w="120" w:type="dxa"/>
            </w:tcMar>
          </w:tcPr>
          <w:p w14:paraId="0B2009A2" w14:textId="77777777" w:rsidR="00225A1A" w:rsidRDefault="0045330C">
            <w:r>
              <w:rPr>
                <w:b/>
                <w:bCs/>
                <w:color w:val="012E36"/>
                <w:sz w:val="20"/>
                <w:szCs w:val="20"/>
              </w:rPr>
              <w:t>Signal</w:t>
            </w:r>
          </w:p>
        </w:tc>
        <w:tc>
          <w:tcPr>
            <w:tcW w:w="2000" w:type="dxa"/>
            <w:tcBorders>
              <w:top w:val="single" w:sz="4" w:space="0" w:color="B7D7DC"/>
              <w:left w:val="single" w:sz="4" w:space="0" w:color="B7D7DC"/>
              <w:bottom w:val="single" w:sz="4" w:space="0" w:color="B7D7DC"/>
              <w:right w:val="single" w:sz="4" w:space="0" w:color="B7D7DC"/>
            </w:tcBorders>
            <w:shd w:val="clear" w:color="auto" w:fill="E8F4F5"/>
            <w:tcMar>
              <w:top w:w="80" w:type="dxa"/>
              <w:left w:w="120" w:type="dxa"/>
              <w:bottom w:w="80" w:type="dxa"/>
              <w:right w:w="120" w:type="dxa"/>
            </w:tcMar>
          </w:tcPr>
          <w:p w14:paraId="671E43F9" w14:textId="77777777" w:rsidR="00225A1A" w:rsidRDefault="0045330C">
            <w:pPr>
              <w:jc w:val="center"/>
            </w:pPr>
            <w:r>
              <w:rPr>
                <w:b/>
                <w:bCs/>
                <w:color w:val="012E36"/>
                <w:sz w:val="20"/>
                <w:szCs w:val="20"/>
              </w:rPr>
              <w:t>Retained</w:t>
            </w:r>
          </w:p>
        </w:tc>
        <w:tc>
          <w:tcPr>
            <w:tcW w:w="2000" w:type="dxa"/>
            <w:tcBorders>
              <w:top w:val="single" w:sz="4" w:space="0" w:color="B7D7DC"/>
              <w:left w:val="single" w:sz="4" w:space="0" w:color="B7D7DC"/>
              <w:bottom w:val="single" w:sz="4" w:space="0" w:color="B7D7DC"/>
              <w:right w:val="single" w:sz="4" w:space="0" w:color="B7D7DC"/>
            </w:tcBorders>
            <w:shd w:val="clear" w:color="auto" w:fill="E8F4F5"/>
            <w:tcMar>
              <w:top w:w="80" w:type="dxa"/>
              <w:left w:w="120" w:type="dxa"/>
              <w:bottom w:w="80" w:type="dxa"/>
              <w:right w:w="120" w:type="dxa"/>
            </w:tcMar>
          </w:tcPr>
          <w:p w14:paraId="0F22832C" w14:textId="77777777" w:rsidR="00225A1A" w:rsidRDefault="0045330C">
            <w:pPr>
              <w:jc w:val="center"/>
            </w:pPr>
            <w:r>
              <w:rPr>
                <w:b/>
                <w:bCs/>
                <w:color w:val="012E36"/>
                <w:sz w:val="20"/>
                <w:szCs w:val="20"/>
              </w:rPr>
              <w:t>Churned</w:t>
            </w:r>
          </w:p>
        </w:tc>
        <w:tc>
          <w:tcPr>
            <w:tcW w:w="2000" w:type="dxa"/>
            <w:tcBorders>
              <w:top w:val="single" w:sz="4" w:space="0" w:color="B7D7DC"/>
              <w:left w:val="single" w:sz="4" w:space="0" w:color="B7D7DC"/>
              <w:bottom w:val="single" w:sz="4" w:space="0" w:color="B7D7DC"/>
              <w:right w:val="single" w:sz="4" w:space="0" w:color="B7D7DC"/>
            </w:tcBorders>
            <w:shd w:val="clear" w:color="auto" w:fill="E8F4F5"/>
            <w:tcMar>
              <w:top w:w="80" w:type="dxa"/>
              <w:left w:w="120" w:type="dxa"/>
              <w:bottom w:w="80" w:type="dxa"/>
              <w:right w:w="120" w:type="dxa"/>
            </w:tcMar>
          </w:tcPr>
          <w:p w14:paraId="3A0EEF0C" w14:textId="77777777" w:rsidR="00225A1A" w:rsidRDefault="0045330C">
            <w:pPr>
              <w:jc w:val="center"/>
            </w:pPr>
            <w:r>
              <w:rPr>
                <w:b/>
                <w:bCs/>
                <w:color w:val="012E36"/>
                <w:sz w:val="20"/>
                <w:szCs w:val="20"/>
              </w:rPr>
              <w:t>Separation</w:t>
            </w:r>
          </w:p>
        </w:tc>
      </w:tr>
      <w:tr w:rsidR="00225A1A" w14:paraId="6435FFA9" w14:textId="77777777">
        <w:tc>
          <w:tcPr>
            <w:tcW w:w="3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0AF4F728" w14:textId="77777777" w:rsidR="00225A1A" w:rsidRDefault="0045330C">
            <w:r>
              <w:rPr>
                <w:color w:val="1A1A1A"/>
                <w:sz w:val="20"/>
                <w:szCs w:val="20"/>
              </w:rPr>
              <w:t>Monthly hours watched</w:t>
            </w:r>
          </w:p>
        </w:tc>
        <w:tc>
          <w:tcPr>
            <w:tcW w:w="2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72BA79F8" w14:textId="77777777" w:rsidR="00225A1A" w:rsidRDefault="0045330C">
            <w:pPr>
              <w:jc w:val="center"/>
            </w:pPr>
            <w:r>
              <w:rPr>
                <w:color w:val="1A1A1A"/>
                <w:sz w:val="20"/>
                <w:szCs w:val="20"/>
              </w:rPr>
              <w:t xml:space="preserve">26.4 </w:t>
            </w:r>
            <w:proofErr w:type="spellStart"/>
            <w:r>
              <w:rPr>
                <w:color w:val="1A1A1A"/>
                <w:sz w:val="20"/>
                <w:szCs w:val="20"/>
              </w:rPr>
              <w:t>hrs</w:t>
            </w:r>
            <w:proofErr w:type="spellEnd"/>
          </w:p>
        </w:tc>
        <w:tc>
          <w:tcPr>
            <w:tcW w:w="2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76E60106" w14:textId="77777777" w:rsidR="00225A1A" w:rsidRDefault="0045330C">
            <w:pPr>
              <w:jc w:val="center"/>
            </w:pPr>
            <w:r>
              <w:rPr>
                <w:color w:val="1A1A1A"/>
                <w:sz w:val="20"/>
                <w:szCs w:val="20"/>
              </w:rPr>
              <w:t xml:space="preserve">15.2 </w:t>
            </w:r>
            <w:proofErr w:type="spellStart"/>
            <w:r>
              <w:rPr>
                <w:color w:val="1A1A1A"/>
                <w:sz w:val="20"/>
                <w:szCs w:val="20"/>
              </w:rPr>
              <w:t>hrs</w:t>
            </w:r>
            <w:proofErr w:type="spellEnd"/>
          </w:p>
        </w:tc>
        <w:tc>
          <w:tcPr>
            <w:tcW w:w="2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70C22C9A" w14:textId="77777777" w:rsidR="00225A1A" w:rsidRDefault="0045330C">
            <w:pPr>
              <w:jc w:val="center"/>
            </w:pPr>
            <w:r>
              <w:rPr>
                <w:b/>
                <w:bCs/>
                <w:color w:val="1A1A1A"/>
                <w:sz w:val="20"/>
                <w:szCs w:val="20"/>
              </w:rPr>
              <w:t>42% gap</w:t>
            </w:r>
          </w:p>
        </w:tc>
      </w:tr>
      <w:tr w:rsidR="00225A1A" w14:paraId="45DB0802" w14:textId="77777777">
        <w:tc>
          <w:tcPr>
            <w:tcW w:w="3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069DF002" w14:textId="77777777" w:rsidR="00225A1A" w:rsidRDefault="0045330C">
            <w:r>
              <w:rPr>
                <w:color w:val="1A1A1A"/>
                <w:sz w:val="20"/>
                <w:szCs w:val="20"/>
              </w:rPr>
              <w:lastRenderedPageBreak/>
              <w:t>Completion %</w:t>
            </w:r>
          </w:p>
        </w:tc>
        <w:tc>
          <w:tcPr>
            <w:tcW w:w="2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740D28A2" w14:textId="77777777" w:rsidR="00225A1A" w:rsidRDefault="0045330C">
            <w:pPr>
              <w:jc w:val="center"/>
            </w:pPr>
            <w:r>
              <w:rPr>
                <w:color w:val="1A1A1A"/>
                <w:sz w:val="20"/>
                <w:szCs w:val="20"/>
              </w:rPr>
              <w:t>52.73%</w:t>
            </w:r>
          </w:p>
        </w:tc>
        <w:tc>
          <w:tcPr>
            <w:tcW w:w="2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37DCB9A0" w14:textId="77777777" w:rsidR="00225A1A" w:rsidRDefault="0045330C">
            <w:pPr>
              <w:jc w:val="center"/>
            </w:pPr>
            <w:r>
              <w:rPr>
                <w:color w:val="1A1A1A"/>
                <w:sz w:val="20"/>
                <w:szCs w:val="20"/>
              </w:rPr>
              <w:t>52.73%</w:t>
            </w:r>
          </w:p>
        </w:tc>
        <w:tc>
          <w:tcPr>
            <w:tcW w:w="2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29CA02D2" w14:textId="77777777" w:rsidR="00225A1A" w:rsidRDefault="0045330C">
            <w:pPr>
              <w:jc w:val="center"/>
            </w:pPr>
            <w:r>
              <w:rPr>
                <w:color w:val="1A1A1A"/>
                <w:sz w:val="20"/>
                <w:szCs w:val="20"/>
              </w:rPr>
              <w:t>None</w:t>
            </w:r>
          </w:p>
        </w:tc>
      </w:tr>
      <w:tr w:rsidR="00225A1A" w14:paraId="77840BB3" w14:textId="77777777">
        <w:tc>
          <w:tcPr>
            <w:tcW w:w="3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7ECF06C5" w14:textId="77777777" w:rsidR="00225A1A" w:rsidRDefault="0045330C">
            <w:r>
              <w:rPr>
                <w:color w:val="1A1A1A"/>
                <w:sz w:val="20"/>
                <w:szCs w:val="20"/>
              </w:rPr>
              <w:t>Buffering events / session</w:t>
            </w:r>
          </w:p>
        </w:tc>
        <w:tc>
          <w:tcPr>
            <w:tcW w:w="2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6743AFCC" w14:textId="77777777" w:rsidR="00225A1A" w:rsidRDefault="0045330C">
            <w:pPr>
              <w:jc w:val="center"/>
            </w:pPr>
            <w:r>
              <w:rPr>
                <w:color w:val="1A1A1A"/>
                <w:sz w:val="20"/>
                <w:szCs w:val="20"/>
              </w:rPr>
              <w:t>2.20</w:t>
            </w:r>
          </w:p>
        </w:tc>
        <w:tc>
          <w:tcPr>
            <w:tcW w:w="2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2ABC0518" w14:textId="77777777" w:rsidR="00225A1A" w:rsidRDefault="0045330C">
            <w:pPr>
              <w:jc w:val="center"/>
            </w:pPr>
            <w:r>
              <w:rPr>
                <w:color w:val="1A1A1A"/>
                <w:sz w:val="20"/>
                <w:szCs w:val="20"/>
              </w:rPr>
              <w:t>2.17</w:t>
            </w:r>
          </w:p>
        </w:tc>
        <w:tc>
          <w:tcPr>
            <w:tcW w:w="2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0A1C3759" w14:textId="77777777" w:rsidR="00225A1A" w:rsidRDefault="0045330C">
            <w:pPr>
              <w:jc w:val="center"/>
            </w:pPr>
            <w:r>
              <w:rPr>
                <w:color w:val="1A1A1A"/>
                <w:sz w:val="20"/>
                <w:szCs w:val="20"/>
              </w:rPr>
              <w:t>None</w:t>
            </w:r>
          </w:p>
        </w:tc>
      </w:tr>
      <w:tr w:rsidR="00225A1A" w14:paraId="4E8E7809" w14:textId="77777777">
        <w:tc>
          <w:tcPr>
            <w:tcW w:w="3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1FC1BEFA" w14:textId="77777777" w:rsidR="00225A1A" w:rsidRDefault="0045330C">
            <w:r>
              <w:rPr>
                <w:color w:val="1A1A1A"/>
                <w:sz w:val="20"/>
                <w:szCs w:val="20"/>
              </w:rPr>
              <w:t>Unique titles / month</w:t>
            </w:r>
          </w:p>
        </w:tc>
        <w:tc>
          <w:tcPr>
            <w:tcW w:w="2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66C83457" w14:textId="77777777" w:rsidR="00225A1A" w:rsidRDefault="0045330C">
            <w:pPr>
              <w:jc w:val="center"/>
            </w:pPr>
            <w:r>
              <w:rPr>
                <w:color w:val="1A1A1A"/>
                <w:sz w:val="20"/>
                <w:szCs w:val="20"/>
              </w:rPr>
              <w:t>3.61</w:t>
            </w:r>
          </w:p>
        </w:tc>
        <w:tc>
          <w:tcPr>
            <w:tcW w:w="2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298CDE4D" w14:textId="77777777" w:rsidR="00225A1A" w:rsidRDefault="0045330C">
            <w:pPr>
              <w:jc w:val="center"/>
            </w:pPr>
            <w:r>
              <w:rPr>
                <w:color w:val="1A1A1A"/>
                <w:sz w:val="20"/>
                <w:szCs w:val="20"/>
              </w:rPr>
              <w:t>3.61</w:t>
            </w:r>
          </w:p>
        </w:tc>
        <w:tc>
          <w:tcPr>
            <w:tcW w:w="2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1C38EAA5" w14:textId="77777777" w:rsidR="00225A1A" w:rsidRDefault="0045330C">
            <w:pPr>
              <w:jc w:val="center"/>
            </w:pPr>
            <w:r>
              <w:rPr>
                <w:color w:val="1A1A1A"/>
                <w:sz w:val="20"/>
                <w:szCs w:val="20"/>
              </w:rPr>
              <w:t>None</w:t>
            </w:r>
          </w:p>
        </w:tc>
      </w:tr>
    </w:tbl>
    <w:p w14:paraId="4A9FBEAC" w14:textId="77777777" w:rsidR="00225A1A" w:rsidRDefault="00225A1A">
      <w:pPr>
        <w:spacing w:after="160"/>
      </w:pPr>
    </w:p>
    <w:p w14:paraId="6D62984F" w14:textId="77777777" w:rsidR="00225A1A" w:rsidRDefault="0045330C">
      <w:pPr>
        <w:spacing w:after="160" w:line="300" w:lineRule="auto"/>
        <w:jc w:val="both"/>
      </w:pPr>
      <w:r>
        <w:rPr>
          <w:color w:val="1A1A1A"/>
        </w:rPr>
        <w:t>Three of the four candidate signals show no statistical separation between cohorts. This is itself a finding: a churn model built on completion rate or buffering would learn nothing useful, because the underlying signal does not exist in the data. Only total volume of consumption separates churners from retained users.</w:t>
      </w:r>
    </w:p>
    <w:p w14:paraId="7A7A0801" w14:textId="445D6CA7" w:rsidR="00225A1A" w:rsidRDefault="0045330C">
      <w:pPr>
        <w:spacing w:after="160" w:line="300" w:lineRule="auto"/>
        <w:jc w:val="both"/>
      </w:pPr>
      <w:r>
        <w:rPr>
          <w:b/>
          <w:bCs/>
          <w:color w:val="1A1A1A"/>
        </w:rPr>
        <w:t xml:space="preserve">Recommendation: </w:t>
      </w:r>
      <w:r>
        <w:rPr>
          <w:color w:val="1A1A1A"/>
        </w:rPr>
        <w:t xml:space="preserve">Build a churn early-warning model on monthly hours watched and engagement velocity </w:t>
      </w:r>
      <w:r w:rsidR="00E50020">
        <w:rPr>
          <w:color w:val="1A1A1A"/>
        </w:rPr>
        <w:t xml:space="preserve">– </w:t>
      </w:r>
      <w:r>
        <w:rPr>
          <w:color w:val="1A1A1A"/>
        </w:rPr>
        <w:t xml:space="preserve">the ratio of recent hours (last 30 days) to historical hours (months 2–6 averaged). A user whose recent volume drops substantially below their baseline is at risk, even if their absolute level is still moderate. Targeting just 10% of the at-risk cohort represents roughly 2,000 saved subscribers annually </w:t>
      </w:r>
      <w:r w:rsidR="00E50020">
        <w:rPr>
          <w:color w:val="1A1A1A"/>
        </w:rPr>
        <w:t xml:space="preserve">– </w:t>
      </w:r>
      <w:r>
        <w:rPr>
          <w:color w:val="1A1A1A"/>
        </w:rPr>
        <w:t>a conservative first-version target that establishes the model before more sophisticated features are layered on. Critically, do not waste model complexity on signals that do not predict; the data is clear about which features deserve investment.</w:t>
      </w:r>
    </w:p>
    <w:p w14:paraId="36921190" w14:textId="77777777" w:rsidR="00225A1A" w:rsidRDefault="0045330C">
      <w:pPr>
        <w:pStyle w:val="Heading2"/>
        <w:spacing w:before="240" w:after="120"/>
      </w:pPr>
      <w:r>
        <w:t>4.4 Streaming Quality: A Second Counter-Finding</w:t>
      </w:r>
    </w:p>
    <w:p w14:paraId="1CB89D41" w14:textId="524C6C7B" w:rsidR="00225A1A" w:rsidRDefault="0045330C">
      <w:pPr>
        <w:spacing w:after="160" w:line="300" w:lineRule="auto"/>
        <w:jc w:val="both"/>
      </w:pPr>
      <w:r>
        <w:rPr>
          <w:color w:val="1A1A1A"/>
        </w:rPr>
        <w:t xml:space="preserve">The </w:t>
      </w:r>
      <w:r>
        <w:rPr>
          <w:i/>
          <w:iCs/>
          <w:color w:val="1A1A1A"/>
        </w:rPr>
        <w:t>streaming-quality-region-isp</w:t>
      </w:r>
      <w:r>
        <w:rPr>
          <w:color w:val="1A1A1A"/>
        </w:rPr>
        <w:t xml:space="preserve"> table aggregates buffering, bitrate, and latency across 7 CDN regions and 10 ISPs. We expected to find geographic hotspots </w:t>
      </w:r>
      <w:r w:rsidR="00E50020">
        <w:rPr>
          <w:color w:val="1A1A1A"/>
        </w:rPr>
        <w:t xml:space="preserve">– </w:t>
      </w:r>
      <w:r>
        <w:rPr>
          <w:color w:val="1A1A1A"/>
        </w:rPr>
        <w:t>region/ISP combinations with quality problems serious enough to drive churn. We did not.</w:t>
      </w:r>
    </w:p>
    <w:p w14:paraId="71757537" w14:textId="41E0E860" w:rsidR="00225A1A" w:rsidRDefault="0045330C">
      <w:pPr>
        <w:spacing w:after="160" w:line="300" w:lineRule="auto"/>
        <w:jc w:val="both"/>
      </w:pPr>
      <w:r>
        <w:rPr>
          <w:color w:val="1A1A1A"/>
        </w:rPr>
        <w:t>Average buffering events per session by CDN region range from 2.17 (us-east) to 2.25 (</w:t>
      </w:r>
      <w:proofErr w:type="gramStart"/>
      <w:r>
        <w:rPr>
          <w:color w:val="1A1A1A"/>
        </w:rPr>
        <w:t>south-</w:t>
      </w:r>
      <w:proofErr w:type="spellStart"/>
      <w:r>
        <w:rPr>
          <w:color w:val="1A1A1A"/>
        </w:rPr>
        <w:t>america</w:t>
      </w:r>
      <w:proofErr w:type="spellEnd"/>
      <w:proofErr w:type="gramEnd"/>
      <w:r>
        <w:rPr>
          <w:color w:val="1A1A1A"/>
        </w:rPr>
        <w:t xml:space="preserve">) </w:t>
      </w:r>
      <w:r w:rsidR="00E50020">
        <w:rPr>
          <w:color w:val="1A1A1A"/>
        </w:rPr>
        <w:t xml:space="preserve">– </w:t>
      </w:r>
      <w:r>
        <w:rPr>
          <w:color w:val="1A1A1A"/>
        </w:rPr>
        <w:t xml:space="preserve">a spread of just </w:t>
      </w:r>
      <w:r>
        <w:rPr>
          <w:b/>
          <w:bCs/>
          <w:color w:val="1A1A1A"/>
        </w:rPr>
        <w:t>3.3% relative to the mean</w:t>
      </w:r>
      <w:r>
        <w:rPr>
          <w:color w:val="1A1A1A"/>
        </w:rPr>
        <w:t>. The worst region/ISP combination (</w:t>
      </w:r>
      <w:proofErr w:type="gramStart"/>
      <w:r>
        <w:rPr>
          <w:color w:val="1A1A1A"/>
        </w:rPr>
        <w:t>south-</w:t>
      </w:r>
      <w:proofErr w:type="spellStart"/>
      <w:r>
        <w:rPr>
          <w:color w:val="1A1A1A"/>
        </w:rPr>
        <w:t>america</w:t>
      </w:r>
      <w:proofErr w:type="spellEnd"/>
      <w:proofErr w:type="gramEnd"/>
      <w:r>
        <w:rPr>
          <w:color w:val="1A1A1A"/>
        </w:rPr>
        <w:t xml:space="preserve"> on Comcast) averages 2.37 events per session; the best (</w:t>
      </w:r>
      <w:proofErr w:type="spellStart"/>
      <w:r>
        <w:rPr>
          <w:color w:val="1A1A1A"/>
        </w:rPr>
        <w:t>eu</w:t>
      </w:r>
      <w:proofErr w:type="spellEnd"/>
      <w:r>
        <w:rPr>
          <w:color w:val="1A1A1A"/>
        </w:rPr>
        <w:t xml:space="preserve">-central on Windstream) averages 2.05 </w:t>
      </w:r>
      <w:r w:rsidR="00E50020">
        <w:rPr>
          <w:color w:val="1A1A1A"/>
        </w:rPr>
        <w:t xml:space="preserve">– </w:t>
      </w:r>
      <w:r>
        <w:rPr>
          <w:color w:val="1A1A1A"/>
        </w:rPr>
        <w:t xml:space="preserve">a difference of 0.3 events per session across the entire delivery footprint. Crucially, the user-level correlation between average buffering events and average completion percentage is </w:t>
      </w:r>
      <w:r>
        <w:rPr>
          <w:b/>
          <w:bCs/>
          <w:color w:val="1A1A1A"/>
        </w:rPr>
        <w:t>essentially zero (r = −0.0009)</w:t>
      </w:r>
      <w:r>
        <w:rPr>
          <w:color w:val="1A1A1A"/>
        </w:rPr>
        <w:t xml:space="preserve">. Within the range of quality </w:t>
      </w:r>
      <w:proofErr w:type="spellStart"/>
      <w:r>
        <w:rPr>
          <w:color w:val="1A1A1A"/>
        </w:rPr>
        <w:t>MediaWave</w:t>
      </w:r>
      <w:proofErr w:type="spellEnd"/>
      <w:r>
        <w:rPr>
          <w:color w:val="1A1A1A"/>
        </w:rPr>
        <w:t xml:space="preserve"> currently delivers, buffering does not predict completion.</w:t>
      </w:r>
    </w:p>
    <w:p w14:paraId="421EBE6F" w14:textId="77777777" w:rsidR="00225A1A" w:rsidRDefault="0045330C">
      <w:pPr>
        <w:spacing w:after="160" w:line="300" w:lineRule="auto"/>
        <w:jc w:val="both"/>
      </w:pPr>
      <w:r>
        <w:rPr>
          <w:b/>
          <w:bCs/>
          <w:color w:val="1A1A1A"/>
        </w:rPr>
        <w:t xml:space="preserve">Recommendation: </w:t>
      </w:r>
      <w:r>
        <w:rPr>
          <w:color w:val="1A1A1A"/>
        </w:rPr>
        <w:t>Deprioritize geographic CDN investment as a churn-reduction strategy. The data does not support a churn-driven ROI for selective region or ISP upgrades. Reallocate that infrastructure budget toward absolute baseline reduction (where all users benefit) or toward the levers above (content ROI, churn modeling, title-level personalization), where the data shows variance worth exploiting.</w:t>
      </w:r>
    </w:p>
    <w:p w14:paraId="307C811E" w14:textId="77777777" w:rsidR="00225A1A" w:rsidRDefault="0045330C">
      <w:pPr>
        <w:pStyle w:val="Heading2"/>
        <w:spacing w:before="240" w:after="120"/>
      </w:pPr>
      <w:r>
        <w:t>4.5 Summary of Recommendations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500"/>
        <w:gridCol w:w="1700"/>
        <w:gridCol w:w="3000"/>
      </w:tblGrid>
      <w:tr w:rsidR="00225A1A" w14:paraId="5D2BA532" w14:textId="77777777">
        <w:tc>
          <w:tcPr>
            <w:tcW w:w="800" w:type="dxa"/>
            <w:tcBorders>
              <w:top w:val="single" w:sz="4" w:space="0" w:color="B7D7DC"/>
              <w:left w:val="single" w:sz="4" w:space="0" w:color="B7D7DC"/>
              <w:bottom w:val="single" w:sz="4" w:space="0" w:color="B7D7DC"/>
              <w:right w:val="single" w:sz="4" w:space="0" w:color="B7D7DC"/>
            </w:tcBorders>
            <w:shd w:val="clear" w:color="auto" w:fill="E8F4F5"/>
            <w:tcMar>
              <w:top w:w="80" w:type="dxa"/>
              <w:left w:w="120" w:type="dxa"/>
              <w:bottom w:w="80" w:type="dxa"/>
              <w:right w:w="120" w:type="dxa"/>
            </w:tcMar>
          </w:tcPr>
          <w:p w14:paraId="337218BE" w14:textId="77777777" w:rsidR="00225A1A" w:rsidRDefault="0045330C">
            <w:pPr>
              <w:jc w:val="center"/>
            </w:pPr>
            <w:r>
              <w:rPr>
                <w:b/>
                <w:bCs/>
                <w:color w:val="012E36"/>
                <w:sz w:val="20"/>
                <w:szCs w:val="20"/>
              </w:rPr>
              <w:t>#</w:t>
            </w:r>
          </w:p>
        </w:tc>
        <w:tc>
          <w:tcPr>
            <w:tcW w:w="3500" w:type="dxa"/>
            <w:tcBorders>
              <w:top w:val="single" w:sz="4" w:space="0" w:color="B7D7DC"/>
              <w:left w:val="single" w:sz="4" w:space="0" w:color="B7D7DC"/>
              <w:bottom w:val="single" w:sz="4" w:space="0" w:color="B7D7DC"/>
              <w:right w:val="single" w:sz="4" w:space="0" w:color="B7D7DC"/>
            </w:tcBorders>
            <w:shd w:val="clear" w:color="auto" w:fill="E8F4F5"/>
            <w:tcMar>
              <w:top w:w="80" w:type="dxa"/>
              <w:left w:w="120" w:type="dxa"/>
              <w:bottom w:w="80" w:type="dxa"/>
              <w:right w:w="120" w:type="dxa"/>
            </w:tcMar>
          </w:tcPr>
          <w:p w14:paraId="3B2BF762" w14:textId="77777777" w:rsidR="00225A1A" w:rsidRDefault="0045330C">
            <w:r>
              <w:rPr>
                <w:b/>
                <w:bCs/>
                <w:color w:val="012E36"/>
                <w:sz w:val="20"/>
                <w:szCs w:val="20"/>
              </w:rPr>
              <w:t>Recommendation</w:t>
            </w:r>
          </w:p>
        </w:tc>
        <w:tc>
          <w:tcPr>
            <w:tcW w:w="1700" w:type="dxa"/>
            <w:tcBorders>
              <w:top w:val="single" w:sz="4" w:space="0" w:color="B7D7DC"/>
              <w:left w:val="single" w:sz="4" w:space="0" w:color="B7D7DC"/>
              <w:bottom w:val="single" w:sz="4" w:space="0" w:color="B7D7DC"/>
              <w:right w:val="single" w:sz="4" w:space="0" w:color="B7D7DC"/>
            </w:tcBorders>
            <w:shd w:val="clear" w:color="auto" w:fill="E8F4F5"/>
            <w:tcMar>
              <w:top w:w="80" w:type="dxa"/>
              <w:left w:w="120" w:type="dxa"/>
              <w:bottom w:w="80" w:type="dxa"/>
              <w:right w:w="120" w:type="dxa"/>
            </w:tcMar>
          </w:tcPr>
          <w:p w14:paraId="20BE3395" w14:textId="77777777" w:rsidR="00225A1A" w:rsidRDefault="0045330C">
            <w:pPr>
              <w:jc w:val="center"/>
            </w:pPr>
            <w:r>
              <w:rPr>
                <w:b/>
                <w:bCs/>
                <w:color w:val="012E36"/>
                <w:sz w:val="20"/>
                <w:szCs w:val="20"/>
              </w:rPr>
              <w:t>Source</w:t>
            </w:r>
          </w:p>
        </w:tc>
        <w:tc>
          <w:tcPr>
            <w:tcW w:w="3000" w:type="dxa"/>
            <w:tcBorders>
              <w:top w:val="single" w:sz="4" w:space="0" w:color="B7D7DC"/>
              <w:left w:val="single" w:sz="4" w:space="0" w:color="B7D7DC"/>
              <w:bottom w:val="single" w:sz="4" w:space="0" w:color="B7D7DC"/>
              <w:right w:val="single" w:sz="4" w:space="0" w:color="B7D7DC"/>
            </w:tcBorders>
            <w:shd w:val="clear" w:color="auto" w:fill="E8F4F5"/>
            <w:tcMar>
              <w:top w:w="80" w:type="dxa"/>
              <w:left w:w="120" w:type="dxa"/>
              <w:bottom w:w="80" w:type="dxa"/>
              <w:right w:w="120" w:type="dxa"/>
            </w:tcMar>
          </w:tcPr>
          <w:p w14:paraId="3BCDB1D2" w14:textId="77777777" w:rsidR="00225A1A" w:rsidRDefault="0045330C">
            <w:r>
              <w:rPr>
                <w:b/>
                <w:bCs/>
                <w:color w:val="012E36"/>
                <w:sz w:val="20"/>
                <w:szCs w:val="20"/>
              </w:rPr>
              <w:t>Expected Impact</w:t>
            </w:r>
          </w:p>
        </w:tc>
      </w:tr>
      <w:tr w:rsidR="00225A1A" w14:paraId="19668DED" w14:textId="77777777">
        <w:tc>
          <w:tcPr>
            <w:tcW w:w="8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6E6D5C2F" w14:textId="77777777" w:rsidR="00225A1A" w:rsidRDefault="0045330C">
            <w:pPr>
              <w:jc w:val="center"/>
            </w:pPr>
            <w:r>
              <w:rPr>
                <w:b/>
                <w:bCs/>
                <w:color w:val="1A1A1A"/>
                <w:sz w:val="20"/>
                <w:szCs w:val="20"/>
              </w:rPr>
              <w:t>1</w:t>
            </w:r>
          </w:p>
        </w:tc>
        <w:tc>
          <w:tcPr>
            <w:tcW w:w="3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74765BED" w14:textId="77777777" w:rsidR="00225A1A" w:rsidRDefault="0045330C">
            <w:r>
              <w:rPr>
                <w:color w:val="1A1A1A"/>
                <w:sz w:val="20"/>
                <w:szCs w:val="20"/>
              </w:rPr>
              <w:t xml:space="preserve">Drop bottom-decile titles by </w:t>
            </w:r>
            <w:proofErr w:type="spellStart"/>
            <w:r>
              <w:rPr>
                <w:color w:val="1A1A1A"/>
                <w:sz w:val="20"/>
                <w:szCs w:val="20"/>
              </w:rPr>
              <w:t>cost_per_viewing_hour</w:t>
            </w:r>
            <w:proofErr w:type="spellEnd"/>
            <w:r>
              <w:rPr>
                <w:color w:val="1A1A1A"/>
                <w:sz w:val="20"/>
                <w:szCs w:val="20"/>
              </w:rPr>
              <w:t xml:space="preserve"> at next license cycle</w:t>
            </w:r>
          </w:p>
        </w:tc>
        <w:tc>
          <w:tcPr>
            <w:tcW w:w="17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7BB17FAA" w14:textId="77777777" w:rsidR="00225A1A" w:rsidRDefault="0045330C">
            <w:pPr>
              <w:jc w:val="center"/>
            </w:pPr>
            <w:r>
              <w:rPr>
                <w:color w:val="1A1A1A"/>
                <w:sz w:val="20"/>
                <w:szCs w:val="20"/>
              </w:rPr>
              <w:t>Insight 4.1</w:t>
            </w:r>
          </w:p>
        </w:tc>
        <w:tc>
          <w:tcPr>
            <w:tcW w:w="3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637BA49A" w14:textId="77777777" w:rsidR="00225A1A" w:rsidRDefault="0045330C">
            <w:r>
              <w:rPr>
                <w:b/>
                <w:bCs/>
                <w:color w:val="1A1A1A"/>
                <w:sz w:val="20"/>
                <w:szCs w:val="20"/>
              </w:rPr>
              <w:t>$1.5–3.1B annual license savings</w:t>
            </w:r>
          </w:p>
        </w:tc>
      </w:tr>
      <w:tr w:rsidR="00225A1A" w14:paraId="38E60EEE" w14:textId="77777777">
        <w:tc>
          <w:tcPr>
            <w:tcW w:w="8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0E5F78BE" w14:textId="77777777" w:rsidR="00225A1A" w:rsidRDefault="0045330C">
            <w:pPr>
              <w:jc w:val="center"/>
            </w:pPr>
            <w:r>
              <w:rPr>
                <w:b/>
                <w:bCs/>
                <w:color w:val="1A1A1A"/>
                <w:sz w:val="20"/>
                <w:szCs w:val="20"/>
              </w:rPr>
              <w:t>2</w:t>
            </w:r>
          </w:p>
        </w:tc>
        <w:tc>
          <w:tcPr>
            <w:tcW w:w="3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7FA7DAF9" w14:textId="77777777" w:rsidR="00225A1A" w:rsidRDefault="0045330C">
            <w:r>
              <w:rPr>
                <w:color w:val="1A1A1A"/>
                <w:sz w:val="20"/>
                <w:szCs w:val="20"/>
              </w:rPr>
              <w:t>Build churn early-warning model on monthly hours watched + engagement velocity</w:t>
            </w:r>
          </w:p>
        </w:tc>
        <w:tc>
          <w:tcPr>
            <w:tcW w:w="17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65888D5F" w14:textId="77777777" w:rsidR="00225A1A" w:rsidRDefault="0045330C">
            <w:pPr>
              <w:jc w:val="center"/>
            </w:pPr>
            <w:r>
              <w:rPr>
                <w:color w:val="1A1A1A"/>
                <w:sz w:val="20"/>
                <w:szCs w:val="20"/>
              </w:rPr>
              <w:t>Insight 4.3</w:t>
            </w:r>
          </w:p>
        </w:tc>
        <w:tc>
          <w:tcPr>
            <w:tcW w:w="3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42A46C93" w14:textId="77777777" w:rsidR="00225A1A" w:rsidRDefault="0045330C">
            <w:r>
              <w:rPr>
                <w:color w:val="1A1A1A"/>
                <w:sz w:val="20"/>
                <w:szCs w:val="20"/>
              </w:rPr>
              <w:t>Target ~10% of 19,573 churners (≈2,000 saved subscribers/yr)</w:t>
            </w:r>
          </w:p>
        </w:tc>
      </w:tr>
      <w:tr w:rsidR="00225A1A" w14:paraId="21B6A446" w14:textId="77777777">
        <w:tc>
          <w:tcPr>
            <w:tcW w:w="8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6CD79DE5" w14:textId="77777777" w:rsidR="00225A1A" w:rsidRDefault="0045330C">
            <w:pPr>
              <w:jc w:val="center"/>
            </w:pPr>
            <w:r>
              <w:rPr>
                <w:b/>
                <w:bCs/>
                <w:color w:val="1A1A1A"/>
                <w:sz w:val="20"/>
                <w:szCs w:val="20"/>
              </w:rPr>
              <w:t>3</w:t>
            </w:r>
          </w:p>
        </w:tc>
        <w:tc>
          <w:tcPr>
            <w:tcW w:w="3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26D14770" w14:textId="77777777" w:rsidR="00225A1A" w:rsidRDefault="0045330C">
            <w:r>
              <w:rPr>
                <w:color w:val="1A1A1A"/>
                <w:sz w:val="20"/>
                <w:szCs w:val="20"/>
              </w:rPr>
              <w:t>Redirect personalization from tier-based to title-level signals</w:t>
            </w:r>
          </w:p>
        </w:tc>
        <w:tc>
          <w:tcPr>
            <w:tcW w:w="17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45AE6715" w14:textId="77777777" w:rsidR="00225A1A" w:rsidRDefault="0045330C">
            <w:pPr>
              <w:jc w:val="center"/>
            </w:pPr>
            <w:r>
              <w:rPr>
                <w:color w:val="1A1A1A"/>
                <w:sz w:val="20"/>
                <w:szCs w:val="20"/>
              </w:rPr>
              <w:t>Insight 4.2</w:t>
            </w:r>
          </w:p>
        </w:tc>
        <w:tc>
          <w:tcPr>
            <w:tcW w:w="3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4EB570D6" w14:textId="77777777" w:rsidR="00225A1A" w:rsidRDefault="0045330C">
            <w:r>
              <w:rPr>
                <w:color w:val="1A1A1A"/>
                <w:sz w:val="20"/>
                <w:szCs w:val="20"/>
              </w:rPr>
              <w:t>Lift completion via 48 pp title-level variance</w:t>
            </w:r>
          </w:p>
        </w:tc>
      </w:tr>
    </w:tbl>
    <w:p w14:paraId="2E2DABEB" w14:textId="77777777" w:rsidR="00225A1A" w:rsidRDefault="00225A1A">
      <w:pPr>
        <w:spacing w:after="160"/>
      </w:pPr>
    </w:p>
    <w:p w14:paraId="29291E14" w14:textId="137DA8A3" w:rsidR="00225A1A" w:rsidRDefault="0045330C">
      <w:pPr>
        <w:spacing w:after="160" w:line="300" w:lineRule="auto"/>
        <w:jc w:val="both"/>
      </w:pPr>
      <w:r>
        <w:rPr>
          <w:color w:val="1A1A1A"/>
        </w:rPr>
        <w:t xml:space="preserve">All </w:t>
      </w:r>
      <w:r w:rsidR="00C91716">
        <w:rPr>
          <w:color w:val="1A1A1A"/>
        </w:rPr>
        <w:t>three</w:t>
      </w:r>
      <w:r>
        <w:rPr>
          <w:color w:val="1A1A1A"/>
        </w:rPr>
        <w:t xml:space="preserve"> recommendations are implementable from analytics tables our pipeline produces today. No additional data sources are required.</w:t>
      </w:r>
    </w:p>
    <w:p w14:paraId="2973B896" w14:textId="77777777" w:rsidR="00225A1A" w:rsidRDefault="0045330C">
      <w:pPr>
        <w:pStyle w:val="Heading1"/>
        <w:spacing w:before="320" w:after="160"/>
      </w:pPr>
      <w:r>
        <w:t>5. Scalability Discussion</w:t>
      </w:r>
    </w:p>
    <w:p w14:paraId="577D2BBB" w14:textId="77777777" w:rsidR="00225A1A" w:rsidRDefault="0045330C">
      <w:pPr>
        <w:spacing w:after="160" w:line="300" w:lineRule="auto"/>
        <w:jc w:val="both"/>
      </w:pPr>
      <w:r>
        <w:rPr>
          <w:color w:val="1A1A1A"/>
        </w:rPr>
        <w:t>The current pipeline runs on a single development laptop with all services containerized in Docker, processing approximately 32 MB of compressed source data (~150 MB uncompressed, ~1.7 million rows across all five datasets). This section examines how the architecture would behave at 10× and 100× volume and identifies bottlenecks, mitigation strategies, and managed cloud equivalents for production deployment.</w:t>
      </w:r>
    </w:p>
    <w:p w14:paraId="78038B95" w14:textId="77777777" w:rsidR="00225A1A" w:rsidRDefault="0045330C">
      <w:pPr>
        <w:pStyle w:val="Heading2"/>
        <w:spacing w:before="240" w:after="120"/>
      </w:pPr>
      <w:r>
        <w:t>5.1 Bottleneck Analysis</w:t>
      </w:r>
    </w:p>
    <w:p w14:paraId="3B0ECD7D" w14:textId="77777777" w:rsidR="00225A1A" w:rsidRDefault="0045330C">
      <w:pPr>
        <w:spacing w:after="160" w:line="300" w:lineRule="auto"/>
        <w:jc w:val="both"/>
      </w:pPr>
      <w:r>
        <w:rPr>
          <w:color w:val="1A1A1A"/>
        </w:rPr>
        <w:t>At 10× volume (~320 MB compressed, ~17 million rows), three bottlenecks emerge before any other component.</w:t>
      </w:r>
    </w:p>
    <w:p w14:paraId="41EDFFB7" w14:textId="77777777" w:rsidR="00225A1A" w:rsidRDefault="0045330C">
      <w:pPr>
        <w:spacing w:after="160" w:line="300" w:lineRule="auto"/>
        <w:jc w:val="both"/>
      </w:pPr>
      <w:r>
        <w:rPr>
          <w:color w:val="1A1A1A"/>
        </w:rPr>
        <w:t xml:space="preserve">First, </w:t>
      </w:r>
      <w:r>
        <w:rPr>
          <w:b/>
          <w:bCs/>
          <w:color w:val="1A1A1A"/>
        </w:rPr>
        <w:t>Spark worker memory</w:t>
      </w:r>
      <w:r>
        <w:rPr>
          <w:color w:val="1A1A1A"/>
        </w:rPr>
        <w:t xml:space="preserve">. The current single worker is allocated 2 GB. The largest operation in our pipeline is the three-way join that produces enriched-viewing-sessions, materializing every viewing event with content metadata, user demographics, and aggregated quality metrics. This intermediate dataset currently fits comfortably in memory; at 10× scale it would spill to disk, slowing transforms by an estimated 3–5×. Mitigation: increase worker count from 1 to 4, allocate 4 GB per worker, and tune </w:t>
      </w:r>
      <w:proofErr w:type="spellStart"/>
      <w:proofErr w:type="gramStart"/>
      <w:r>
        <w:rPr>
          <w:i/>
          <w:iCs/>
          <w:color w:val="1A1A1A"/>
        </w:rPr>
        <w:t>spark.sql.shuffle</w:t>
      </w:r>
      <w:proofErr w:type="gramEnd"/>
      <w:r>
        <w:rPr>
          <w:i/>
          <w:iCs/>
          <w:color w:val="1A1A1A"/>
        </w:rPr>
        <w:t>.partitions</w:t>
      </w:r>
      <w:proofErr w:type="spellEnd"/>
      <w:r>
        <w:rPr>
          <w:color w:val="1A1A1A"/>
        </w:rPr>
        <w:t xml:space="preserve"> from the default 200 to roughly 500.</w:t>
      </w:r>
    </w:p>
    <w:p w14:paraId="6277D802" w14:textId="77777777" w:rsidR="00225A1A" w:rsidRDefault="0045330C">
      <w:pPr>
        <w:spacing w:after="160" w:line="300" w:lineRule="auto"/>
        <w:jc w:val="both"/>
      </w:pPr>
      <w:r>
        <w:rPr>
          <w:color w:val="1A1A1A"/>
        </w:rPr>
        <w:t xml:space="preserve">Second, </w:t>
      </w:r>
      <w:r>
        <w:rPr>
          <w:b/>
          <w:bCs/>
          <w:color w:val="1A1A1A"/>
        </w:rPr>
        <w:t xml:space="preserve">HDFS </w:t>
      </w:r>
      <w:proofErr w:type="spellStart"/>
      <w:r>
        <w:rPr>
          <w:b/>
          <w:bCs/>
          <w:color w:val="1A1A1A"/>
        </w:rPr>
        <w:t>namenode</w:t>
      </w:r>
      <w:proofErr w:type="spellEnd"/>
      <w:r>
        <w:rPr>
          <w:b/>
          <w:bCs/>
          <w:color w:val="1A1A1A"/>
        </w:rPr>
        <w:t xml:space="preserve"> metadata</w:t>
      </w:r>
      <w:r>
        <w:rPr>
          <w:color w:val="1A1A1A"/>
        </w:rPr>
        <w:t xml:space="preserve">. Each file in HDFS consumes approximately 150 bytes of </w:t>
      </w:r>
      <w:proofErr w:type="spellStart"/>
      <w:r>
        <w:rPr>
          <w:color w:val="1A1A1A"/>
        </w:rPr>
        <w:t>namenode</w:t>
      </w:r>
      <w:proofErr w:type="spellEnd"/>
      <w:r>
        <w:rPr>
          <w:color w:val="1A1A1A"/>
        </w:rPr>
        <w:t xml:space="preserve"> RAM. Our current files in the curated zone are negligible; at 10× volume with date-partitioned analytics, file count grows to several thousand and </w:t>
      </w:r>
      <w:proofErr w:type="spellStart"/>
      <w:r>
        <w:rPr>
          <w:color w:val="1A1A1A"/>
        </w:rPr>
        <w:t>namenode</w:t>
      </w:r>
      <w:proofErr w:type="spellEnd"/>
      <w:r>
        <w:rPr>
          <w:color w:val="1A1A1A"/>
        </w:rPr>
        <w:t xml:space="preserve"> memory usage becomes measurable but not blocking.</w:t>
      </w:r>
    </w:p>
    <w:p w14:paraId="2AA6BE56" w14:textId="77777777" w:rsidR="00225A1A" w:rsidRDefault="0045330C">
      <w:pPr>
        <w:spacing w:after="160" w:line="300" w:lineRule="auto"/>
        <w:jc w:val="both"/>
      </w:pPr>
      <w:r>
        <w:rPr>
          <w:color w:val="1A1A1A"/>
        </w:rPr>
        <w:t xml:space="preserve">Third, </w:t>
      </w:r>
      <w:r>
        <w:rPr>
          <w:b/>
          <w:bCs/>
          <w:color w:val="1A1A1A"/>
        </w:rPr>
        <w:t>Kafka throughput</w:t>
      </w:r>
      <w:r>
        <w:rPr>
          <w:color w:val="1A1A1A"/>
        </w:rPr>
        <w:t>. The single broker handles our simulated event load easily. At 10× volume during peak hours, broker disk I/O becomes the bottleneck. Mitigation: increase the topic from 3 partitions to 12 and add 2 more brokers for a 3-broker cluster with replication factor 2.</w:t>
      </w:r>
    </w:p>
    <w:p w14:paraId="59E0BB83" w14:textId="77777777" w:rsidR="00225A1A" w:rsidRDefault="0045330C">
      <w:pPr>
        <w:spacing w:after="160" w:line="300" w:lineRule="auto"/>
        <w:jc w:val="both"/>
      </w:pPr>
      <w:r>
        <w:rPr>
          <w:color w:val="1A1A1A"/>
        </w:rPr>
        <w:t>At 100× volume (~3.2 GB compressed, ~170 million rows), the entire architecture transitions from a single-machine pipeline to a genuine distributed cluster.</w:t>
      </w:r>
    </w:p>
    <w:p w14:paraId="1D867B5D" w14:textId="5B157AB0" w:rsidR="00225A1A" w:rsidRDefault="0045330C">
      <w:pPr>
        <w:spacing w:after="160" w:line="300" w:lineRule="auto"/>
        <w:jc w:val="both"/>
      </w:pPr>
      <w:r>
        <w:rPr>
          <w:color w:val="1A1A1A"/>
        </w:rPr>
        <w:t xml:space="preserve">Spark must scale horizontally to 8–16 worker nodes with 16 GB memory each. Single-driver bottlenecks emerge in shuffle-heavy operations like the three-way join; the driver should be allocated 8+ </w:t>
      </w:r>
      <w:proofErr w:type="gramStart"/>
      <w:r>
        <w:rPr>
          <w:color w:val="1A1A1A"/>
        </w:rPr>
        <w:t>GB</w:t>
      </w:r>
      <w:proofErr w:type="gramEnd"/>
      <w:r>
        <w:rPr>
          <w:color w:val="1A1A1A"/>
        </w:rPr>
        <w:t xml:space="preserve"> and the shuffle service should run on dedicated nodes. HDFS replication factor must increase from 2 to 3 with at least 3–5 </w:t>
      </w:r>
      <w:proofErr w:type="spellStart"/>
      <w:r>
        <w:rPr>
          <w:color w:val="1A1A1A"/>
        </w:rPr>
        <w:t>datanodes</w:t>
      </w:r>
      <w:proofErr w:type="spellEnd"/>
      <w:r>
        <w:rPr>
          <w:color w:val="1A1A1A"/>
        </w:rPr>
        <w:t xml:space="preserve"> for genuine fault tolerance </w:t>
      </w:r>
      <w:r w:rsidR="00E50020">
        <w:rPr>
          <w:color w:val="1A1A1A"/>
        </w:rPr>
        <w:t xml:space="preserve">– </w:t>
      </w:r>
      <w:r>
        <w:rPr>
          <w:color w:val="1A1A1A"/>
        </w:rPr>
        <w:t xml:space="preserve">RF=2 on 2 </w:t>
      </w:r>
      <w:proofErr w:type="spellStart"/>
      <w:r>
        <w:rPr>
          <w:color w:val="1A1A1A"/>
        </w:rPr>
        <w:t>datanodes</w:t>
      </w:r>
      <w:proofErr w:type="spellEnd"/>
      <w:r>
        <w:rPr>
          <w:color w:val="1A1A1A"/>
        </w:rPr>
        <w:t xml:space="preserve"> provides no real redundancy at production scale. Airflow </w:t>
      </w:r>
      <w:proofErr w:type="spellStart"/>
      <w:r>
        <w:rPr>
          <w:color w:val="1A1A1A"/>
        </w:rPr>
        <w:t>LocalExecutor</w:t>
      </w:r>
      <w:proofErr w:type="spellEnd"/>
      <w:r>
        <w:rPr>
          <w:color w:val="1A1A1A"/>
        </w:rPr>
        <w:t xml:space="preserve"> must be replaced with </w:t>
      </w:r>
      <w:proofErr w:type="spellStart"/>
      <w:r>
        <w:rPr>
          <w:color w:val="1A1A1A"/>
        </w:rPr>
        <w:t>CeleryExecutor</w:t>
      </w:r>
      <w:proofErr w:type="spellEnd"/>
      <w:r>
        <w:rPr>
          <w:color w:val="1A1A1A"/>
        </w:rPr>
        <w:t xml:space="preserve"> backed by Redis or RabbitMQ, distributing task execution across a worker pool. Streaming consumer parallelism must match Kafka partition count: the current single consumer reading from 3 partitions becomes 6–8 consumers reading from 16+ partitions, with Spark Structured Streaming auto-parallelizing by partition.</w:t>
      </w:r>
    </w:p>
    <w:p w14:paraId="4B377268" w14:textId="77777777" w:rsidR="00225A1A" w:rsidRDefault="0045330C">
      <w:pPr>
        <w:pStyle w:val="Heading2"/>
        <w:spacing w:before="240" w:after="120"/>
      </w:pPr>
      <w:r>
        <w:t>5.2 Cloud Service Equivalents</w:t>
      </w:r>
    </w:p>
    <w:p w14:paraId="292CCE88" w14:textId="77777777" w:rsidR="00225A1A" w:rsidRDefault="0045330C">
      <w:pPr>
        <w:spacing w:after="160" w:line="300" w:lineRule="auto"/>
        <w:jc w:val="both"/>
      </w:pPr>
      <w:r>
        <w:rPr>
          <w:color w:val="1A1A1A"/>
        </w:rPr>
        <w:t>In production, the entire stack maps cleanly to managed services on the three major cloud providers. Managed services eliminate operational overhead at the cost of vendor lock-in and per-hour pricing.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1500"/>
        <w:gridCol w:w="1500"/>
        <w:gridCol w:w="1500"/>
      </w:tblGrid>
      <w:tr w:rsidR="00225A1A" w14:paraId="3DA161EA" w14:textId="77777777">
        <w:tc>
          <w:tcPr>
            <w:tcW w:w="2200" w:type="dxa"/>
            <w:tcBorders>
              <w:top w:val="single" w:sz="4" w:space="0" w:color="B7D7DC"/>
              <w:left w:val="single" w:sz="4" w:space="0" w:color="B7D7DC"/>
              <w:bottom w:val="single" w:sz="4" w:space="0" w:color="B7D7DC"/>
              <w:right w:val="single" w:sz="4" w:space="0" w:color="B7D7DC"/>
            </w:tcBorders>
            <w:shd w:val="clear" w:color="auto" w:fill="E8F4F5"/>
            <w:tcMar>
              <w:top w:w="80" w:type="dxa"/>
              <w:left w:w="120" w:type="dxa"/>
              <w:bottom w:w="80" w:type="dxa"/>
              <w:right w:w="120" w:type="dxa"/>
            </w:tcMar>
          </w:tcPr>
          <w:p w14:paraId="36FC0D93" w14:textId="77777777" w:rsidR="00225A1A" w:rsidRDefault="0045330C">
            <w:r>
              <w:rPr>
                <w:b/>
                <w:bCs/>
                <w:color w:val="012E36"/>
                <w:sz w:val="20"/>
                <w:szCs w:val="20"/>
              </w:rPr>
              <w:lastRenderedPageBreak/>
              <w:t>Component</w:t>
            </w:r>
          </w:p>
        </w:tc>
        <w:tc>
          <w:tcPr>
            <w:tcW w:w="2300" w:type="dxa"/>
            <w:tcBorders>
              <w:top w:val="single" w:sz="4" w:space="0" w:color="B7D7DC"/>
              <w:left w:val="single" w:sz="4" w:space="0" w:color="B7D7DC"/>
              <w:bottom w:val="single" w:sz="4" w:space="0" w:color="B7D7DC"/>
              <w:right w:val="single" w:sz="4" w:space="0" w:color="B7D7DC"/>
            </w:tcBorders>
            <w:shd w:val="clear" w:color="auto" w:fill="E8F4F5"/>
            <w:tcMar>
              <w:top w:w="80" w:type="dxa"/>
              <w:left w:w="120" w:type="dxa"/>
              <w:bottom w:w="80" w:type="dxa"/>
              <w:right w:w="120" w:type="dxa"/>
            </w:tcMar>
          </w:tcPr>
          <w:p w14:paraId="7EA195E4" w14:textId="77777777" w:rsidR="00225A1A" w:rsidRDefault="0045330C">
            <w:r>
              <w:rPr>
                <w:b/>
                <w:bCs/>
                <w:color w:val="012E36"/>
                <w:sz w:val="20"/>
                <w:szCs w:val="20"/>
              </w:rPr>
              <w:t>Self-managed (current)</w:t>
            </w:r>
          </w:p>
        </w:tc>
        <w:tc>
          <w:tcPr>
            <w:tcW w:w="1500" w:type="dxa"/>
            <w:tcBorders>
              <w:top w:val="single" w:sz="4" w:space="0" w:color="B7D7DC"/>
              <w:left w:val="single" w:sz="4" w:space="0" w:color="B7D7DC"/>
              <w:bottom w:val="single" w:sz="4" w:space="0" w:color="B7D7DC"/>
              <w:right w:val="single" w:sz="4" w:space="0" w:color="B7D7DC"/>
            </w:tcBorders>
            <w:shd w:val="clear" w:color="auto" w:fill="E8F4F5"/>
            <w:tcMar>
              <w:top w:w="80" w:type="dxa"/>
              <w:left w:w="120" w:type="dxa"/>
              <w:bottom w:w="80" w:type="dxa"/>
              <w:right w:w="120" w:type="dxa"/>
            </w:tcMar>
          </w:tcPr>
          <w:p w14:paraId="180055B3" w14:textId="77777777" w:rsidR="00225A1A" w:rsidRDefault="0045330C">
            <w:pPr>
              <w:jc w:val="center"/>
            </w:pPr>
            <w:r>
              <w:rPr>
                <w:b/>
                <w:bCs/>
                <w:color w:val="012E36"/>
                <w:sz w:val="20"/>
                <w:szCs w:val="20"/>
              </w:rPr>
              <w:t>AWS</w:t>
            </w:r>
          </w:p>
        </w:tc>
        <w:tc>
          <w:tcPr>
            <w:tcW w:w="1500" w:type="dxa"/>
            <w:tcBorders>
              <w:top w:val="single" w:sz="4" w:space="0" w:color="B7D7DC"/>
              <w:left w:val="single" w:sz="4" w:space="0" w:color="B7D7DC"/>
              <w:bottom w:val="single" w:sz="4" w:space="0" w:color="B7D7DC"/>
              <w:right w:val="single" w:sz="4" w:space="0" w:color="B7D7DC"/>
            </w:tcBorders>
            <w:shd w:val="clear" w:color="auto" w:fill="E8F4F5"/>
            <w:tcMar>
              <w:top w:w="80" w:type="dxa"/>
              <w:left w:w="120" w:type="dxa"/>
              <w:bottom w:w="80" w:type="dxa"/>
              <w:right w:w="120" w:type="dxa"/>
            </w:tcMar>
          </w:tcPr>
          <w:p w14:paraId="5FE46FE5" w14:textId="77777777" w:rsidR="00225A1A" w:rsidRDefault="0045330C">
            <w:pPr>
              <w:jc w:val="center"/>
            </w:pPr>
            <w:r>
              <w:rPr>
                <w:b/>
                <w:bCs/>
                <w:color w:val="012E36"/>
                <w:sz w:val="20"/>
                <w:szCs w:val="20"/>
              </w:rPr>
              <w:t>GCP</w:t>
            </w:r>
          </w:p>
        </w:tc>
        <w:tc>
          <w:tcPr>
            <w:tcW w:w="1500" w:type="dxa"/>
            <w:tcBorders>
              <w:top w:val="single" w:sz="4" w:space="0" w:color="B7D7DC"/>
              <w:left w:val="single" w:sz="4" w:space="0" w:color="B7D7DC"/>
              <w:bottom w:val="single" w:sz="4" w:space="0" w:color="B7D7DC"/>
              <w:right w:val="single" w:sz="4" w:space="0" w:color="B7D7DC"/>
            </w:tcBorders>
            <w:shd w:val="clear" w:color="auto" w:fill="E8F4F5"/>
            <w:tcMar>
              <w:top w:w="80" w:type="dxa"/>
              <w:left w:w="120" w:type="dxa"/>
              <w:bottom w:w="80" w:type="dxa"/>
              <w:right w:w="120" w:type="dxa"/>
            </w:tcMar>
          </w:tcPr>
          <w:p w14:paraId="59A5830D" w14:textId="77777777" w:rsidR="00225A1A" w:rsidRDefault="0045330C">
            <w:pPr>
              <w:jc w:val="center"/>
            </w:pPr>
            <w:r>
              <w:rPr>
                <w:b/>
                <w:bCs/>
                <w:color w:val="012E36"/>
                <w:sz w:val="20"/>
                <w:szCs w:val="20"/>
              </w:rPr>
              <w:t>Azure</w:t>
            </w:r>
          </w:p>
        </w:tc>
      </w:tr>
      <w:tr w:rsidR="00225A1A" w14:paraId="2914F801" w14:textId="77777777">
        <w:tc>
          <w:tcPr>
            <w:tcW w:w="22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73361FD4" w14:textId="77777777" w:rsidR="00225A1A" w:rsidRDefault="0045330C">
            <w:r>
              <w:rPr>
                <w:b/>
                <w:bCs/>
                <w:color w:val="1A1A1A"/>
                <w:sz w:val="20"/>
                <w:szCs w:val="20"/>
              </w:rPr>
              <w:t>Storage</w:t>
            </w:r>
          </w:p>
        </w:tc>
        <w:tc>
          <w:tcPr>
            <w:tcW w:w="23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7E6FEF57" w14:textId="77777777" w:rsidR="00225A1A" w:rsidRDefault="0045330C">
            <w:r>
              <w:rPr>
                <w:color w:val="1A1A1A"/>
                <w:sz w:val="20"/>
                <w:szCs w:val="20"/>
              </w:rPr>
              <w:t>HDFS</w:t>
            </w:r>
          </w:p>
        </w:tc>
        <w:tc>
          <w:tcPr>
            <w:tcW w:w="1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273DC907" w14:textId="77777777" w:rsidR="00225A1A" w:rsidRDefault="0045330C">
            <w:pPr>
              <w:jc w:val="center"/>
            </w:pPr>
            <w:r>
              <w:rPr>
                <w:color w:val="1A1A1A"/>
                <w:sz w:val="20"/>
                <w:szCs w:val="20"/>
              </w:rPr>
              <w:t>S3 + EMRFS</w:t>
            </w:r>
          </w:p>
        </w:tc>
        <w:tc>
          <w:tcPr>
            <w:tcW w:w="1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0855E517" w14:textId="77777777" w:rsidR="00225A1A" w:rsidRDefault="0045330C">
            <w:pPr>
              <w:jc w:val="center"/>
            </w:pPr>
            <w:r>
              <w:rPr>
                <w:color w:val="1A1A1A"/>
                <w:sz w:val="20"/>
                <w:szCs w:val="20"/>
              </w:rPr>
              <w:t>Cloud Storage</w:t>
            </w:r>
          </w:p>
        </w:tc>
        <w:tc>
          <w:tcPr>
            <w:tcW w:w="1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62426B23" w14:textId="77777777" w:rsidR="00225A1A" w:rsidRDefault="0045330C">
            <w:pPr>
              <w:jc w:val="center"/>
            </w:pPr>
            <w:r>
              <w:rPr>
                <w:color w:val="1A1A1A"/>
                <w:sz w:val="20"/>
                <w:szCs w:val="20"/>
              </w:rPr>
              <w:t>ADLS Gen2</w:t>
            </w:r>
          </w:p>
        </w:tc>
      </w:tr>
      <w:tr w:rsidR="00225A1A" w14:paraId="5F45160A" w14:textId="77777777">
        <w:tc>
          <w:tcPr>
            <w:tcW w:w="22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247B137C" w14:textId="77777777" w:rsidR="00225A1A" w:rsidRDefault="0045330C">
            <w:r>
              <w:rPr>
                <w:b/>
                <w:bCs/>
                <w:color w:val="1A1A1A"/>
                <w:sz w:val="20"/>
                <w:szCs w:val="20"/>
              </w:rPr>
              <w:t>Batch compute</w:t>
            </w:r>
          </w:p>
        </w:tc>
        <w:tc>
          <w:tcPr>
            <w:tcW w:w="23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20A73CB6" w14:textId="77777777" w:rsidR="00225A1A" w:rsidRDefault="0045330C">
            <w:r>
              <w:rPr>
                <w:color w:val="1A1A1A"/>
                <w:sz w:val="20"/>
                <w:szCs w:val="20"/>
              </w:rPr>
              <w:t>Spark on Docker</w:t>
            </w:r>
          </w:p>
        </w:tc>
        <w:tc>
          <w:tcPr>
            <w:tcW w:w="1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4AD0E297" w14:textId="77777777" w:rsidR="00225A1A" w:rsidRDefault="0045330C">
            <w:pPr>
              <w:jc w:val="center"/>
            </w:pPr>
            <w:r>
              <w:rPr>
                <w:color w:val="1A1A1A"/>
                <w:sz w:val="20"/>
                <w:szCs w:val="20"/>
              </w:rPr>
              <w:t>EMR / Glue</w:t>
            </w:r>
          </w:p>
        </w:tc>
        <w:tc>
          <w:tcPr>
            <w:tcW w:w="1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4A9197D7" w14:textId="77777777" w:rsidR="00225A1A" w:rsidRDefault="0045330C">
            <w:pPr>
              <w:jc w:val="center"/>
            </w:pPr>
            <w:proofErr w:type="spellStart"/>
            <w:r>
              <w:rPr>
                <w:color w:val="1A1A1A"/>
                <w:sz w:val="20"/>
                <w:szCs w:val="20"/>
              </w:rPr>
              <w:t>Dataproc</w:t>
            </w:r>
            <w:proofErr w:type="spellEnd"/>
          </w:p>
        </w:tc>
        <w:tc>
          <w:tcPr>
            <w:tcW w:w="1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4E7AFCE7" w14:textId="77777777" w:rsidR="00225A1A" w:rsidRDefault="0045330C">
            <w:pPr>
              <w:jc w:val="center"/>
            </w:pPr>
            <w:r>
              <w:rPr>
                <w:color w:val="1A1A1A"/>
                <w:sz w:val="20"/>
                <w:szCs w:val="20"/>
              </w:rPr>
              <w:t>HDInsight / Synapse</w:t>
            </w:r>
          </w:p>
        </w:tc>
      </w:tr>
      <w:tr w:rsidR="00225A1A" w14:paraId="6B7B7C14" w14:textId="77777777">
        <w:tc>
          <w:tcPr>
            <w:tcW w:w="22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786B5B97" w14:textId="77777777" w:rsidR="00225A1A" w:rsidRDefault="0045330C">
            <w:r>
              <w:rPr>
                <w:b/>
                <w:bCs/>
                <w:color w:val="1A1A1A"/>
                <w:sz w:val="20"/>
                <w:szCs w:val="20"/>
              </w:rPr>
              <w:t>Streaming ingestion</w:t>
            </w:r>
          </w:p>
        </w:tc>
        <w:tc>
          <w:tcPr>
            <w:tcW w:w="23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49A5A784" w14:textId="77777777" w:rsidR="00225A1A" w:rsidRDefault="0045330C">
            <w:r>
              <w:rPr>
                <w:color w:val="1A1A1A"/>
                <w:sz w:val="20"/>
                <w:szCs w:val="20"/>
              </w:rPr>
              <w:t>Kafka (Confluent)</w:t>
            </w:r>
          </w:p>
        </w:tc>
        <w:tc>
          <w:tcPr>
            <w:tcW w:w="1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73184FF0" w14:textId="77777777" w:rsidR="00225A1A" w:rsidRDefault="0045330C">
            <w:pPr>
              <w:jc w:val="center"/>
            </w:pPr>
            <w:r>
              <w:rPr>
                <w:color w:val="1A1A1A"/>
                <w:sz w:val="20"/>
                <w:szCs w:val="20"/>
              </w:rPr>
              <w:t>MSK / Kinesis</w:t>
            </w:r>
          </w:p>
        </w:tc>
        <w:tc>
          <w:tcPr>
            <w:tcW w:w="1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06BF93FD" w14:textId="77777777" w:rsidR="00225A1A" w:rsidRDefault="0045330C">
            <w:pPr>
              <w:jc w:val="center"/>
            </w:pPr>
            <w:r>
              <w:rPr>
                <w:color w:val="1A1A1A"/>
                <w:sz w:val="20"/>
                <w:szCs w:val="20"/>
              </w:rPr>
              <w:t>Pub/Sub</w:t>
            </w:r>
          </w:p>
        </w:tc>
        <w:tc>
          <w:tcPr>
            <w:tcW w:w="1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7E9D16AA" w14:textId="77777777" w:rsidR="00225A1A" w:rsidRDefault="0045330C">
            <w:pPr>
              <w:jc w:val="center"/>
            </w:pPr>
            <w:r>
              <w:rPr>
                <w:color w:val="1A1A1A"/>
                <w:sz w:val="20"/>
                <w:szCs w:val="20"/>
              </w:rPr>
              <w:t>Event Hubs</w:t>
            </w:r>
          </w:p>
        </w:tc>
      </w:tr>
      <w:tr w:rsidR="00225A1A" w14:paraId="528A2657" w14:textId="77777777">
        <w:tc>
          <w:tcPr>
            <w:tcW w:w="22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7B5402EC" w14:textId="77777777" w:rsidR="00225A1A" w:rsidRDefault="0045330C">
            <w:r>
              <w:rPr>
                <w:b/>
                <w:bCs/>
                <w:color w:val="1A1A1A"/>
                <w:sz w:val="20"/>
                <w:szCs w:val="20"/>
              </w:rPr>
              <w:t>Stream processing</w:t>
            </w:r>
          </w:p>
        </w:tc>
        <w:tc>
          <w:tcPr>
            <w:tcW w:w="23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61011B15" w14:textId="77777777" w:rsidR="00225A1A" w:rsidRDefault="0045330C">
            <w:r>
              <w:rPr>
                <w:color w:val="1A1A1A"/>
                <w:sz w:val="20"/>
                <w:szCs w:val="20"/>
              </w:rPr>
              <w:t>Spark Structured Streaming</w:t>
            </w:r>
          </w:p>
        </w:tc>
        <w:tc>
          <w:tcPr>
            <w:tcW w:w="1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0278DE82" w14:textId="77777777" w:rsidR="00225A1A" w:rsidRDefault="0045330C">
            <w:pPr>
              <w:jc w:val="center"/>
            </w:pPr>
            <w:r>
              <w:rPr>
                <w:color w:val="1A1A1A"/>
                <w:sz w:val="20"/>
                <w:szCs w:val="20"/>
              </w:rPr>
              <w:t>Kinesis Analytics</w:t>
            </w:r>
          </w:p>
        </w:tc>
        <w:tc>
          <w:tcPr>
            <w:tcW w:w="1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71FCC796" w14:textId="77777777" w:rsidR="00225A1A" w:rsidRDefault="0045330C">
            <w:pPr>
              <w:jc w:val="center"/>
            </w:pPr>
            <w:r>
              <w:rPr>
                <w:color w:val="1A1A1A"/>
                <w:sz w:val="20"/>
                <w:szCs w:val="20"/>
              </w:rPr>
              <w:t>Dataflow</w:t>
            </w:r>
          </w:p>
        </w:tc>
        <w:tc>
          <w:tcPr>
            <w:tcW w:w="1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0981C5B3" w14:textId="77777777" w:rsidR="00225A1A" w:rsidRDefault="0045330C">
            <w:pPr>
              <w:jc w:val="center"/>
            </w:pPr>
            <w:r>
              <w:rPr>
                <w:color w:val="1A1A1A"/>
                <w:sz w:val="20"/>
                <w:szCs w:val="20"/>
              </w:rPr>
              <w:t>Stream Analytics</w:t>
            </w:r>
          </w:p>
        </w:tc>
      </w:tr>
      <w:tr w:rsidR="00225A1A" w14:paraId="2279C26E" w14:textId="77777777">
        <w:tc>
          <w:tcPr>
            <w:tcW w:w="22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18EDA7EE" w14:textId="77777777" w:rsidR="00225A1A" w:rsidRDefault="0045330C">
            <w:r>
              <w:rPr>
                <w:b/>
                <w:bCs/>
                <w:color w:val="1A1A1A"/>
                <w:sz w:val="20"/>
                <w:szCs w:val="20"/>
              </w:rPr>
              <w:t>Orchestration</w:t>
            </w:r>
          </w:p>
        </w:tc>
        <w:tc>
          <w:tcPr>
            <w:tcW w:w="23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70502482" w14:textId="77777777" w:rsidR="00225A1A" w:rsidRDefault="0045330C">
            <w:r>
              <w:rPr>
                <w:color w:val="1A1A1A"/>
                <w:sz w:val="20"/>
                <w:szCs w:val="20"/>
              </w:rPr>
              <w:t>Airflow (</w:t>
            </w:r>
            <w:proofErr w:type="spellStart"/>
            <w:r>
              <w:rPr>
                <w:color w:val="1A1A1A"/>
                <w:sz w:val="20"/>
                <w:szCs w:val="20"/>
              </w:rPr>
              <w:t>LocalExecutor</w:t>
            </w:r>
            <w:proofErr w:type="spellEnd"/>
            <w:r>
              <w:rPr>
                <w:color w:val="1A1A1A"/>
                <w:sz w:val="20"/>
                <w:szCs w:val="20"/>
              </w:rPr>
              <w:t>)</w:t>
            </w:r>
          </w:p>
        </w:tc>
        <w:tc>
          <w:tcPr>
            <w:tcW w:w="1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4D958144" w14:textId="77777777" w:rsidR="00225A1A" w:rsidRDefault="0045330C">
            <w:pPr>
              <w:jc w:val="center"/>
            </w:pPr>
            <w:r>
              <w:rPr>
                <w:color w:val="1A1A1A"/>
                <w:sz w:val="20"/>
                <w:szCs w:val="20"/>
              </w:rPr>
              <w:t>MWAA</w:t>
            </w:r>
          </w:p>
        </w:tc>
        <w:tc>
          <w:tcPr>
            <w:tcW w:w="1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7B8CF912" w14:textId="77777777" w:rsidR="00225A1A" w:rsidRDefault="0045330C">
            <w:pPr>
              <w:jc w:val="center"/>
            </w:pPr>
            <w:r>
              <w:rPr>
                <w:color w:val="1A1A1A"/>
                <w:sz w:val="20"/>
                <w:szCs w:val="20"/>
              </w:rPr>
              <w:t>Cloud Composer</w:t>
            </w:r>
          </w:p>
        </w:tc>
        <w:tc>
          <w:tcPr>
            <w:tcW w:w="1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6A3C32E7" w14:textId="77777777" w:rsidR="00225A1A" w:rsidRDefault="0045330C">
            <w:pPr>
              <w:jc w:val="center"/>
            </w:pPr>
            <w:r>
              <w:rPr>
                <w:color w:val="1A1A1A"/>
                <w:sz w:val="20"/>
                <w:szCs w:val="20"/>
              </w:rPr>
              <w:t>Data Factory / MWAA</w:t>
            </w:r>
          </w:p>
        </w:tc>
      </w:tr>
      <w:tr w:rsidR="00225A1A" w14:paraId="1E42B789" w14:textId="77777777">
        <w:tc>
          <w:tcPr>
            <w:tcW w:w="22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3424A8C3" w14:textId="77777777" w:rsidR="00225A1A" w:rsidRDefault="0045330C">
            <w:r>
              <w:rPr>
                <w:b/>
                <w:bCs/>
                <w:color w:val="1A1A1A"/>
                <w:sz w:val="20"/>
                <w:szCs w:val="20"/>
              </w:rPr>
              <w:t>Metadata / Catalog</w:t>
            </w:r>
          </w:p>
        </w:tc>
        <w:tc>
          <w:tcPr>
            <w:tcW w:w="23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7D6B2085" w14:textId="77777777" w:rsidR="00225A1A" w:rsidRDefault="0045330C">
            <w:r>
              <w:rPr>
                <w:color w:val="1A1A1A"/>
                <w:sz w:val="20"/>
                <w:szCs w:val="20"/>
              </w:rPr>
              <w:t>(none)</w:t>
            </w:r>
          </w:p>
        </w:tc>
        <w:tc>
          <w:tcPr>
            <w:tcW w:w="1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11CB8CCC" w14:textId="77777777" w:rsidR="00225A1A" w:rsidRDefault="0045330C">
            <w:pPr>
              <w:jc w:val="center"/>
            </w:pPr>
            <w:r>
              <w:rPr>
                <w:color w:val="1A1A1A"/>
                <w:sz w:val="20"/>
                <w:szCs w:val="20"/>
              </w:rPr>
              <w:t>Glue Catalog</w:t>
            </w:r>
          </w:p>
        </w:tc>
        <w:tc>
          <w:tcPr>
            <w:tcW w:w="1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48E538F6" w14:textId="77777777" w:rsidR="00225A1A" w:rsidRDefault="0045330C">
            <w:pPr>
              <w:jc w:val="center"/>
            </w:pPr>
            <w:proofErr w:type="spellStart"/>
            <w:r>
              <w:rPr>
                <w:color w:val="1A1A1A"/>
                <w:sz w:val="20"/>
                <w:szCs w:val="20"/>
              </w:rPr>
              <w:t>Dataplex</w:t>
            </w:r>
            <w:proofErr w:type="spellEnd"/>
          </w:p>
        </w:tc>
        <w:tc>
          <w:tcPr>
            <w:tcW w:w="1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1CC720D1" w14:textId="77777777" w:rsidR="00225A1A" w:rsidRDefault="0045330C">
            <w:pPr>
              <w:jc w:val="center"/>
            </w:pPr>
            <w:r>
              <w:rPr>
                <w:color w:val="1A1A1A"/>
                <w:sz w:val="20"/>
                <w:szCs w:val="20"/>
              </w:rPr>
              <w:t>Purview</w:t>
            </w:r>
          </w:p>
        </w:tc>
      </w:tr>
    </w:tbl>
    <w:p w14:paraId="0087D2CC" w14:textId="77777777" w:rsidR="00225A1A" w:rsidRDefault="00225A1A">
      <w:pPr>
        <w:spacing w:after="160"/>
      </w:pPr>
    </w:p>
    <w:p w14:paraId="75AE8F48" w14:textId="77777777" w:rsidR="00225A1A" w:rsidRDefault="0045330C">
      <w:pPr>
        <w:spacing w:after="160" w:line="300" w:lineRule="auto"/>
        <w:jc w:val="both"/>
      </w:pPr>
      <w:r>
        <w:rPr>
          <w:color w:val="1A1A1A"/>
        </w:rPr>
        <w:t xml:space="preserve">For </w:t>
      </w:r>
      <w:proofErr w:type="spellStart"/>
      <w:r>
        <w:rPr>
          <w:color w:val="1A1A1A"/>
        </w:rPr>
        <w:t>MediaWave</w:t>
      </w:r>
      <w:proofErr w:type="spellEnd"/>
      <w:r>
        <w:rPr>
          <w:color w:val="1A1A1A"/>
        </w:rPr>
        <w:t xml:space="preserve"> at 100× scale, our recommendation is an AWS-based stack: S3 for storage (Parquet objects with lifecycle policies for cost control), EMR for Spark batch jobs (transient clusters terminating after each Airflow-triggered run), MSK for Kafka (managed multi-AZ broker cluster), and MWAA for orchestration. Estimated monthly cost at 100× scale: $4,000–6,000 for compute, $200–400 for storage (assuming Glacier transitions for landing zone after 90 days), and $300–500 for streaming. Including operational labor, this is approximately </w:t>
      </w:r>
      <w:r>
        <w:rPr>
          <w:b/>
          <w:bCs/>
          <w:color w:val="1A1A1A"/>
        </w:rPr>
        <w:t>70% cheaper than running equivalent self-managed infrastructure on EC2</w:t>
      </w:r>
      <w:r>
        <w:rPr>
          <w:color w:val="1A1A1A"/>
        </w:rPr>
        <w:t xml:space="preserve">. The labor differential is the dominant cost </w:t>
      </w:r>
      <w:proofErr w:type="gramStart"/>
      <w:r>
        <w:rPr>
          <w:color w:val="1A1A1A"/>
        </w:rPr>
        <w:t>factor</w:t>
      </w:r>
      <w:proofErr w:type="gramEnd"/>
      <w:r>
        <w:rPr>
          <w:color w:val="1A1A1A"/>
        </w:rPr>
        <w:t xml:space="preserve"> and the main reason managed services win at 100× volume.</w:t>
      </w:r>
    </w:p>
    <w:p w14:paraId="44BBBFAF" w14:textId="77777777" w:rsidR="00225A1A" w:rsidRDefault="0045330C">
      <w:pPr>
        <w:pStyle w:val="Heading2"/>
        <w:spacing w:before="240" w:after="120"/>
      </w:pPr>
      <w:r>
        <w:t>5.3 Cost-Performance Trade-offs</w:t>
      </w:r>
    </w:p>
    <w:p w14:paraId="1DDBBF0B" w14:textId="5C601B46" w:rsidR="00225A1A" w:rsidRDefault="0045330C" w:rsidP="00B76B69">
      <w:pPr>
        <w:spacing w:after="160" w:line="300" w:lineRule="auto"/>
        <w:jc w:val="both"/>
      </w:pPr>
      <w:r>
        <w:rPr>
          <w:color w:val="1A1A1A"/>
        </w:rPr>
        <w:t xml:space="preserve">Three architecture decisions become tunable knobs at scale. </w:t>
      </w:r>
      <w:r>
        <w:rPr>
          <w:b/>
          <w:bCs/>
          <w:color w:val="1A1A1A"/>
        </w:rPr>
        <w:t>Replication factor</w:t>
      </w:r>
      <w:r>
        <w:rPr>
          <w:color w:val="1A1A1A"/>
        </w:rPr>
        <w:t xml:space="preserve"> trades storage cost for fault tolerance: RF=3 triples raw storage; RF=2 risks data loss on two simultaneous </w:t>
      </w:r>
      <w:proofErr w:type="spellStart"/>
      <w:r>
        <w:rPr>
          <w:color w:val="1A1A1A"/>
        </w:rPr>
        <w:t>datanode</w:t>
      </w:r>
      <w:proofErr w:type="spellEnd"/>
      <w:r>
        <w:rPr>
          <w:color w:val="1A1A1A"/>
        </w:rPr>
        <w:t xml:space="preserve"> failures. </w:t>
      </w:r>
      <w:r>
        <w:rPr>
          <w:b/>
          <w:bCs/>
          <w:color w:val="1A1A1A"/>
        </w:rPr>
        <w:t>Parquet partitioning granularity</w:t>
      </w:r>
      <w:r>
        <w:rPr>
          <w:color w:val="1A1A1A"/>
        </w:rPr>
        <w:t xml:space="preserve"> trades query performance for partition-count overhead: daily is usually optimal; hourly creates too many small files. </w:t>
      </w:r>
      <w:r>
        <w:rPr>
          <w:b/>
          <w:bCs/>
          <w:color w:val="1A1A1A"/>
        </w:rPr>
        <w:t>Streaming window size</w:t>
      </w:r>
      <w:r>
        <w:rPr>
          <w:color w:val="1A1A1A"/>
        </w:rPr>
        <w:t xml:space="preserve"> trades latency for throughput: 1-minute windows give near-real-time alerts; 5-minute windows reduce processing load by 80% but mean alerts can be 5 minutes stale. For </w:t>
      </w:r>
      <w:proofErr w:type="spellStart"/>
      <w:r>
        <w:rPr>
          <w:color w:val="1A1A1A"/>
        </w:rPr>
        <w:t>MediaWave</w:t>
      </w:r>
      <w:proofErr w:type="spellEnd"/>
      <w:r>
        <w:rPr>
          <w:color w:val="1A1A1A"/>
        </w:rPr>
        <w:t xml:space="preserve"> specifically, we recommend RF=3, daily partitions for time-series analytics and </w:t>
      </w:r>
      <w:proofErr w:type="spellStart"/>
      <w:r>
        <w:rPr>
          <w:color w:val="1A1A1A"/>
        </w:rPr>
        <w:t>content_id</w:t>
      </w:r>
      <w:proofErr w:type="spellEnd"/>
      <w:r>
        <w:rPr>
          <w:color w:val="1A1A1A"/>
        </w:rPr>
        <w:t xml:space="preserve"> partitions for catalog analytics, and 1-minute windows for buffering alerts with 15-minute windows for content trends.</w:t>
      </w:r>
    </w:p>
    <w:sectPr w:rsidR="00225A1A">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notTrueType/>
    <w:pitch w:val="default"/>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61675"/>
    <w:multiLevelType w:val="hybridMultilevel"/>
    <w:tmpl w:val="79E0E6DE"/>
    <w:lvl w:ilvl="0" w:tplc="89C85A24">
      <w:start w:val="1"/>
      <w:numFmt w:val="bullet"/>
      <w:lvlText w:val="●"/>
      <w:lvlJc w:val="left"/>
      <w:pPr>
        <w:ind w:left="720" w:hanging="360"/>
      </w:pPr>
    </w:lvl>
    <w:lvl w:ilvl="1" w:tplc="885A49D4">
      <w:start w:val="1"/>
      <w:numFmt w:val="bullet"/>
      <w:lvlText w:val="○"/>
      <w:lvlJc w:val="left"/>
      <w:pPr>
        <w:ind w:left="1440" w:hanging="360"/>
      </w:pPr>
    </w:lvl>
    <w:lvl w:ilvl="2" w:tplc="CC28D002">
      <w:start w:val="1"/>
      <w:numFmt w:val="bullet"/>
      <w:lvlText w:val="■"/>
      <w:lvlJc w:val="left"/>
      <w:pPr>
        <w:ind w:left="2160" w:hanging="360"/>
      </w:pPr>
    </w:lvl>
    <w:lvl w:ilvl="3" w:tplc="86AAC7AC">
      <w:start w:val="1"/>
      <w:numFmt w:val="bullet"/>
      <w:lvlText w:val="●"/>
      <w:lvlJc w:val="left"/>
      <w:pPr>
        <w:ind w:left="2880" w:hanging="360"/>
      </w:pPr>
    </w:lvl>
    <w:lvl w:ilvl="4" w:tplc="BC92A464">
      <w:start w:val="1"/>
      <w:numFmt w:val="bullet"/>
      <w:lvlText w:val="○"/>
      <w:lvlJc w:val="left"/>
      <w:pPr>
        <w:ind w:left="3600" w:hanging="360"/>
      </w:pPr>
    </w:lvl>
    <w:lvl w:ilvl="5" w:tplc="36E69DBA">
      <w:start w:val="1"/>
      <w:numFmt w:val="bullet"/>
      <w:lvlText w:val="■"/>
      <w:lvlJc w:val="left"/>
      <w:pPr>
        <w:ind w:left="4320" w:hanging="360"/>
      </w:pPr>
    </w:lvl>
    <w:lvl w:ilvl="6" w:tplc="8EE8CA78">
      <w:start w:val="1"/>
      <w:numFmt w:val="bullet"/>
      <w:lvlText w:val="●"/>
      <w:lvlJc w:val="left"/>
      <w:pPr>
        <w:ind w:left="5040" w:hanging="360"/>
      </w:pPr>
    </w:lvl>
    <w:lvl w:ilvl="7" w:tplc="09426DE2">
      <w:start w:val="1"/>
      <w:numFmt w:val="bullet"/>
      <w:lvlText w:val="●"/>
      <w:lvlJc w:val="left"/>
      <w:pPr>
        <w:ind w:left="5760" w:hanging="360"/>
      </w:pPr>
    </w:lvl>
    <w:lvl w:ilvl="8" w:tplc="03AE92AA">
      <w:start w:val="1"/>
      <w:numFmt w:val="bullet"/>
      <w:lvlText w:val="●"/>
      <w:lvlJc w:val="left"/>
      <w:pPr>
        <w:ind w:left="6480" w:hanging="360"/>
      </w:pPr>
    </w:lvl>
  </w:abstractNum>
  <w:abstractNum w:abstractNumId="1" w15:restartNumberingAfterBreak="0">
    <w:nsid w:val="48E00842"/>
    <w:multiLevelType w:val="hybridMultilevel"/>
    <w:tmpl w:val="F16E9BE6"/>
    <w:lvl w:ilvl="0" w:tplc="46E4E722">
      <w:start w:val="1"/>
      <w:numFmt w:val="bullet"/>
      <w:lvlText w:val="•"/>
      <w:lvlJc w:val="left"/>
      <w:pPr>
        <w:ind w:left="540" w:hanging="270"/>
      </w:pPr>
    </w:lvl>
    <w:lvl w:ilvl="1" w:tplc="9282E96E">
      <w:numFmt w:val="decimal"/>
      <w:lvlText w:val=""/>
      <w:lvlJc w:val="left"/>
    </w:lvl>
    <w:lvl w:ilvl="2" w:tplc="B388F95C">
      <w:numFmt w:val="decimal"/>
      <w:lvlText w:val=""/>
      <w:lvlJc w:val="left"/>
    </w:lvl>
    <w:lvl w:ilvl="3" w:tplc="C61A8A48">
      <w:numFmt w:val="decimal"/>
      <w:lvlText w:val=""/>
      <w:lvlJc w:val="left"/>
    </w:lvl>
    <w:lvl w:ilvl="4" w:tplc="6EE018A6">
      <w:numFmt w:val="decimal"/>
      <w:lvlText w:val=""/>
      <w:lvlJc w:val="left"/>
    </w:lvl>
    <w:lvl w:ilvl="5" w:tplc="FC7E00C2">
      <w:numFmt w:val="decimal"/>
      <w:lvlText w:val=""/>
      <w:lvlJc w:val="left"/>
    </w:lvl>
    <w:lvl w:ilvl="6" w:tplc="6F162C70">
      <w:numFmt w:val="decimal"/>
      <w:lvlText w:val=""/>
      <w:lvlJc w:val="left"/>
    </w:lvl>
    <w:lvl w:ilvl="7" w:tplc="1E9E1EB0">
      <w:numFmt w:val="decimal"/>
      <w:lvlText w:val=""/>
      <w:lvlJc w:val="left"/>
    </w:lvl>
    <w:lvl w:ilvl="8" w:tplc="91AACFCE">
      <w:numFmt w:val="decimal"/>
      <w:lvlText w:val=""/>
      <w:lvlJc w:val="left"/>
    </w:lvl>
  </w:abstractNum>
  <w:num w:numId="1" w16cid:durableId="1439523128">
    <w:abstractNumId w:val="0"/>
    <w:lvlOverride w:ilvl="0">
      <w:startOverride w:val="1"/>
    </w:lvlOverride>
  </w:num>
  <w:num w:numId="2" w16cid:durableId="11763377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A1A"/>
    <w:rsid w:val="00004842"/>
    <w:rsid w:val="00041A0A"/>
    <w:rsid w:val="00116056"/>
    <w:rsid w:val="00195563"/>
    <w:rsid w:val="001F5C7D"/>
    <w:rsid w:val="00225A1A"/>
    <w:rsid w:val="003F561D"/>
    <w:rsid w:val="0045330C"/>
    <w:rsid w:val="00533B57"/>
    <w:rsid w:val="005D4D59"/>
    <w:rsid w:val="0065666A"/>
    <w:rsid w:val="0072675C"/>
    <w:rsid w:val="008E57D5"/>
    <w:rsid w:val="00B64ED3"/>
    <w:rsid w:val="00B76B69"/>
    <w:rsid w:val="00C25D51"/>
    <w:rsid w:val="00C57E46"/>
    <w:rsid w:val="00C91716"/>
    <w:rsid w:val="00CD5696"/>
    <w:rsid w:val="00D73456"/>
    <w:rsid w:val="00E50020"/>
    <w:rsid w:val="00EA0703"/>
    <w:rsid w:val="00EE2B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FCC064B"/>
  <w15:docId w15:val="{D43C2945-694B-7341-ACF3-3751BB462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12E36"/>
      <w:sz w:val="32"/>
      <w:szCs w:val="32"/>
    </w:rPr>
  </w:style>
  <w:style w:type="paragraph" w:styleId="Heading2">
    <w:name w:val="heading 2"/>
    <w:uiPriority w:val="9"/>
    <w:unhideWhenUsed/>
    <w:qFormat/>
    <w:pPr>
      <w:spacing w:before="200" w:after="100"/>
      <w:outlineLvl w:val="1"/>
    </w:pPr>
    <w:rPr>
      <w:b/>
      <w:bCs/>
      <w:color w:val="012E36"/>
      <w:sz w:val="26"/>
      <w:szCs w:val="26"/>
    </w:rPr>
  </w:style>
  <w:style w:type="paragraph" w:styleId="Heading3">
    <w:name w:val="heading 3"/>
    <w:uiPriority w:val="9"/>
    <w:semiHidden/>
    <w:unhideWhenUsed/>
    <w:qFormat/>
    <w:pPr>
      <w:spacing w:before="200" w:after="80"/>
      <w:outlineLvl w:val="2"/>
    </w:pPr>
    <w:rPr>
      <w:b/>
      <w:bCs/>
      <w:color w:val="012E3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4459</Words>
  <Characters>25421</Characters>
  <Application>Microsoft Office Word</Application>
  <DocSecurity>0</DocSecurity>
  <Lines>211</Lines>
  <Paragraphs>59</Paragraphs>
  <ScaleCrop>false</ScaleCrop>
  <Company/>
  <LinksUpToDate>false</LinksUpToDate>
  <CharactersWithSpaces>29821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Yusuke Yoshizawa</cp:lastModifiedBy>
  <cp:revision>3</cp:revision>
  <dcterms:created xsi:type="dcterms:W3CDTF">2026-05-04T18:54:00Z</dcterms:created>
  <dcterms:modified xsi:type="dcterms:W3CDTF">2026-05-04T22:16:00Z</dcterms:modified>
</cp:coreProperties>
</file>