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Terms and Conditions</w:t>
      </w:r>
    </w:p>
    <w:p>
      <w:pPr>
        <w:spacing w:after="300"/>
        <w:jc w:val="center"/>
      </w:pPr>
      <w:r>
        <w:rPr>
          <w:i/>
          <w:iCs/>
          <w:color w:val="666666"/>
          <w:sz w:val="20"/>
          <w:szCs w:val="20"/>
        </w:rPr>
        <w:t xml:space="preserve">Master Policy Agreement — Version &lt;&lt;AgreementVersion&gt;&gt;</w:t>
      </w:r>
    </w:p>
    <w:p>
      <w:pPr>
        <w:sectPr>
          <w:pgSz w:w="12240" w:h="15840" w:orient="portrait"/>
          <w:pgMar w:top="1440" w:right="1440" w:bottom="1440" w:left="1440" w:header="708" w:footer="708" w:gutter="0"/>
          <w:pgNumType/>
          <w:docGrid w:linePitch="360"/>
        </w:sectPr>
      </w:pPr>
    </w:p>
    <w:p>
      <w:pPr>
        <w:pStyle w:val="Heading2"/>
      </w:pPr>
      <w:r>
        <w:t xml:space="preserve">1. Definitions</w:t>
      </w:r>
    </w:p>
    <w:p>
      <w:pPr>
        <w:pStyle w:val="ListParagraph"/>
        <w:numPr>
          <w:ilvl w:val="0"/>
          <w:numId w:val="2"/>
        </w:numPr>
      </w:pPr>
      <w:r>
        <w:t xml:space="preserve">“Insured” means the named policyholder and any additional parties</w:t>
      </w:r>
      <w:r>
        <w:rPr>
          <w:rStyle w:val="FootnoteReference"/>
        </w:rPr>
        <w:footnoteReference w:id="1"/>
      </w:r>
      <w:r>
        <w:t xml:space="preserve"> listed on the declarations page.</w:t>
      </w:r>
    </w:p>
    <w:p>
      <w:pPr>
        <w:pStyle w:val="ListParagraph"/>
        <w:numPr>
          <w:ilvl w:val="0"/>
          <w:numId w:val="2"/>
        </w:numPr>
      </w:pPr>
      <w:r>
        <w:t xml:space="preserve">“Premium” means the total consideration payable in exchange for coverage.</w:t>
      </w:r>
    </w:p>
    <w:p>
      <w:pPr>
        <w:pStyle w:val="ListParagraph"/>
        <w:numPr>
          <w:ilvl w:val="1"/>
          <w:numId w:val="2"/>
        </w:numPr>
      </w:pPr>
      <w:r>
        <w:t xml:space="preserve">payable annually in advance;</w:t>
      </w:r>
    </w:p>
    <w:p>
      <w:pPr>
        <w:pStyle w:val="ListParagraph"/>
        <w:numPr>
          <w:ilvl w:val="1"/>
          <w:numId w:val="2"/>
        </w:numPr>
      </w:pPr>
      <w:r>
        <w:t xml:space="preserve">subject to adjustment on renewal.</w:t>
      </w:r>
    </w:p>
    <w:p>
      <w:pPr>
        <w:pStyle w:val="ListParagraph"/>
        <w:numPr>
          <w:ilvl w:val="0"/>
          <w:numId w:val="2"/>
        </w:numPr>
      </w:pPr>
      <w:r>
        <w:t xml:space="preserve">“Schedule” means any annex, appendix, or endorsement incorporated by reference into this agreement.</w:t>
      </w:r>
    </w:p>
    <w:p>
      <w:pPr>
        <w:pStyle w:val="ListParagraph"/>
        <w:numPr>
          <w:ilvl w:val="0"/>
          <w:numId w:val="2"/>
        </w:numPr>
      </w:pPr>
      <w:r>
        <w:t xml:space="preserve">“Territory” means the geographic area identified as &lt;&lt;CoverageRegion&gt;&gt; on the declarations page.</w:t>
      </w:r>
    </w:p>
    <w:p>
      <w:pPr>
        <w:pStyle w:val="Heading2"/>
      </w:pPr>
      <w:r>
        <w:t xml:space="preserve">2. Coverage</w:t>
      </w:r>
    </w:p>
    <w:p>
      <w:r>
        <w:t xml:space="preserve">The insurer agrees to indemnify the Insured against loss arising from the perils enumerated in Schedule B, subject to the limits and deductibles stated therein. Coverage is territorial and applies only within &lt;&lt;CoverageRegion&gt;&gt;.</w:t>
      </w:r>
    </w:p>
    <w:p>
      <w:pPr>
        <w:pStyle w:val="ListParagraph"/>
        <w:numPr>
          <w:ilvl w:val="0"/>
          <w:numId w:val="2"/>
        </w:numPr>
      </w:pPr>
      <w:r>
        <w:t xml:space="preserve">Claims must be reported within &lt;&lt;ClaimWindowDays&gt;&gt; days.</w:t>
      </w:r>
    </w:p>
    <w:p>
      <w:pPr>
        <w:pStyle w:val="ListParagraph"/>
        <w:numPr>
          <w:ilvl w:val="2"/>
          <w:numId w:val="2"/>
        </w:numPr>
      </w:pPr>
      <w:r>
        <w:t xml:space="preserve">by written notice; or</w:t>
      </w:r>
    </w:p>
    <w:p>
      <w:pPr>
        <w:pStyle w:val="ListParagraph"/>
        <w:numPr>
          <w:ilvl w:val="2"/>
          <w:numId w:val="2"/>
        </w:numPr>
      </w:pPr>
      <w:r>
        <w:t xml:space="preserve">via the online portal.</w:t>
      </w:r>
    </w:p>
    <w:p>
      <w:r>
        <w:t xml:space="preserve">Coverage attaches only after the first premium instalment has been received and the declarations page has been issued. No cover is provided for any loss occurring before the effective date stated therein.</w:t>
      </w:r>
    </w:p>
    <w:p>
      <w:pPr>
        <w:pStyle w:val="Heading2"/>
      </w:pPr>
      <w:r>
        <w:t xml:space="preserve">3. Exclusions</w:t>
      </w:r>
    </w:p>
    <w:p>
      <w:r>
        <w:t xml:space="preserve">This policy does not cover loss, damage, or liability directly or indirectly arising from any of the following:</w:t>
      </w:r>
    </w:p>
    <w:p>
      <w:pPr>
        <w:pStyle w:val="ListParagraph"/>
        <w:numPr>
          <w:ilvl w:val="0"/>
          <w:numId w:val="2"/>
        </w:numPr>
      </w:pPr>
      <w:r>
        <w:t xml:space="preserve">war, invasion, or acts of foreign hostility, whether war be declared or not;</w:t>
      </w:r>
    </w:p>
    <w:p>
      <w:pPr>
        <w:pStyle w:val="ListParagraph"/>
        <w:numPr>
          <w:ilvl w:val="0"/>
          <w:numId w:val="2"/>
        </w:numPr>
      </w:pPr>
      <w:r>
        <w:t xml:space="preserve">nuclear reaction, radiation, or radioactive contamination;</w:t>
      </w:r>
    </w:p>
    <w:p>
      <w:pPr>
        <w:pStyle w:val="ListParagraph"/>
        <w:numPr>
          <w:ilvl w:val="0"/>
          <w:numId w:val="2"/>
        </w:numPr>
      </w:pPr>
      <w:r>
        <w:t xml:space="preserve">wilful or fraudulent acts committed by the Insured or any person acting on the Insured’s behalf;</w:t>
      </w:r>
    </w:p>
    <w:p>
      <w:pPr>
        <w:pStyle w:val="ListParagraph"/>
        <w:numPr>
          <w:ilvl w:val="0"/>
          <w:numId w:val="2"/>
        </w:numPr>
      </w:pPr>
      <w:r>
        <w:t xml:space="preserve">ordinary wear and tear, gradual deterioration, or inherent defect;</w:t>
      </w:r>
    </w:p>
    <w:p>
      <w:pPr>
        <w:pStyle w:val="ListParagraph"/>
        <w:numPr>
          <w:ilvl w:val="1"/>
          <w:numId w:val="2"/>
        </w:numPr>
      </w:pPr>
      <w:r>
        <w:t xml:space="preserve">save where such deterioration results directly from an insured peril;</w:t>
      </w:r>
    </w:p>
    <w:p>
      <w:pPr>
        <w:pStyle w:val="ListParagraph"/>
        <w:numPr>
          <w:ilvl w:val="1"/>
          <w:numId w:val="2"/>
        </w:numPr>
      </w:pPr>
      <w:r>
        <w:t xml:space="preserve">and subject always to the deductible stated in Schedule B.</w:t>
      </w:r>
    </w:p>
    <w:p>
      <w:pPr>
        <w:pStyle w:val="Heading2"/>
      </w:pPr>
      <w:r>
        <w:t xml:space="preserve">4. Premium and Payment</w:t>
      </w:r>
    </w:p>
    <w:p>
      <w:r>
        <w:t xml:space="preserve">The Premium is payable in the manner and at the intervals set out on the declarations page. Where the Insured elects to pay by instalments, a service charge may apply.</w:t>
      </w:r>
    </w:p>
    <w:p>
      <w:pPr>
        <w:pStyle w:val="ListParagraph"/>
        <w:numPr>
          <w:ilvl w:val="0"/>
          <w:numId w:val="2"/>
        </w:numPr>
      </w:pPr>
      <w:r>
        <w:t xml:space="preserve">Premiums are deemed paid only upon clearance of funds.</w:t>
      </w:r>
    </w:p>
    <w:p>
      <w:pPr>
        <w:pStyle w:val="ListParagraph"/>
        <w:numPr>
          <w:ilvl w:val="0"/>
          <w:numId w:val="2"/>
        </w:numPr>
      </w:pPr>
      <w:r>
        <w:t xml:space="preserve">If any instalment remains unpaid for more than fifteen (15) days after its due date, the insurer may suspend cover until payment is received.</w:t>
      </w:r>
    </w:p>
    <w:p>
      <w:r>
        <w:t xml:space="preserve">The insurer will provide written notice before any suspension takes effect. Reinstatement of a suspended policy is at the insurer’s sole discretion and may be subject to revised terms.</w:t>
      </w:r>
    </w:p>
    <w:p>
      <w:pPr>
        <w:pStyle w:val="Heading2"/>
      </w:pPr>
      <w:r>
        <w:t xml:space="preserve">5. Claims Procedure</w:t>
      </w:r>
    </w:p>
    <w:p>
      <w:r>
        <w:t xml:space="preserve">On the happening of any event likely to give rise to a claim, the Insured shall take all reasonable steps to minimise the loss and shall cooperate fully with the insurer’s investigation.</w:t>
      </w:r>
    </w:p>
    <w:p>
      <w:pPr>
        <w:pStyle w:val="ListParagraph"/>
        <w:numPr>
          <w:ilvl w:val="0"/>
          <w:numId w:val="2"/>
        </w:numPr>
      </w:pPr>
      <w:r>
        <w:t xml:space="preserve">The Insured shall submit a completed claim form together with supporting documentation within &lt;&lt;ClaimWindowDays&gt;&gt; days.</w:t>
      </w:r>
    </w:p>
    <w:p>
      <w:pPr>
        <w:pStyle w:val="ListParagraph"/>
        <w:numPr>
          <w:ilvl w:val="1"/>
          <w:numId w:val="2"/>
        </w:numPr>
      </w:pPr>
      <w:r>
        <w:t xml:space="preserve">proof of ownership or interest;</w:t>
      </w:r>
    </w:p>
    <w:p>
      <w:pPr>
        <w:pStyle w:val="ListParagraph"/>
        <w:numPr>
          <w:ilvl w:val="1"/>
          <w:numId w:val="2"/>
        </w:numPr>
      </w:pPr>
      <w:r>
        <w:t xml:space="preserve">evidence of the amount claimed;</w:t>
      </w:r>
    </w:p>
    <w:p>
      <w:pPr>
        <w:pStyle w:val="ListParagraph"/>
        <w:numPr>
          <w:ilvl w:val="1"/>
          <w:numId w:val="2"/>
        </w:numPr>
      </w:pPr>
      <w:r>
        <w:t xml:space="preserve">any police or incident report where applicable.</w:t>
      </w:r>
    </w:p>
    <w:p>
      <w:r>
        <w:t xml:space="preserve">The insurer shall acknowledge receipt of a claim within ten (10) business days and shall advise the Insured of its determination within thirty (30) days of receiving all requested information.</w:t>
      </w:r>
    </w:p>
    <w:p>
      <w:pPr>
        <w:pStyle w:val="Heading2"/>
      </w:pPr>
      <w:r>
        <w:t xml:space="preserve">6. Cancellation</w:t>
      </w:r>
    </w:p>
    <w:p>
      <w:r>
        <w:t xml:space="preserve">Either party may cancel this agreement</w:t>
      </w:r>
      <w:r>
        <w:rPr>
          <w:rStyle w:val="FootnoteReference"/>
        </w:rPr>
        <w:footnoteReference w:id="2"/>
      </w:r>
      <w:r>
        <w:t xml:space="preserve"> upon &lt;&lt;NoticePeriodDays&gt;&gt; days written notice. Refunds are calculated on a pro-rata basis, less any applicable administrative charges.</w:t>
      </w:r>
    </w:p>
    <w:p>
      <w:pPr>
        <w:pStyle w:val="ListParagraph"/>
        <w:numPr>
          <w:ilvl w:val="0"/>
          <w:numId w:val="2"/>
        </w:numPr>
      </w:pPr>
      <w:r>
        <w:t xml:space="preserve">The insurer may cancel for non-disclosure, misrepresentation, or non-payment of Premium.</w:t>
      </w:r>
    </w:p>
    <w:p>
      <w:pPr>
        <w:pStyle w:val="ListParagraph"/>
        <w:numPr>
          <w:ilvl w:val="0"/>
          <w:numId w:val="2"/>
        </w:numPr>
      </w:pPr>
      <w:r>
        <w:t xml:space="preserve">The Insured may cancel at any time by written request, subject to the minimum retained premium stated in Schedule A.</w:t>
      </w:r>
    </w:p>
    <w:p>
      <w:pPr>
        <w:pStyle w:val="Heading2"/>
      </w:pPr>
      <w:r>
        <w:t xml:space="preserve">7. Renewal</w:t>
      </w:r>
    </w:p>
    <w:p>
      <w:r>
        <w:t xml:space="preserve">This policy renews annually unless either party gives notice to the contrary. The insurer will issue a renewal invitation not less than twenty-one (21) days before the expiry date, setting out any revised terms or premium.</w:t>
      </w:r>
    </w:p>
    <w:p>
      <w:r>
        <w:t xml:space="preserve">Continued payment of Premium following receipt of a renewal invitation constitutes acceptance of the renewal terms.</w:t>
      </w:r>
    </w:p>
    <w:p>
      <w:pPr>
        <w:pStyle w:val="Heading2"/>
      </w:pPr>
      <w:r>
        <w:t xml:space="preserve">8. Governing Law and Disputes</w:t>
      </w:r>
    </w:p>
    <w:p>
      <w:r>
        <w:t xml:space="preserve">This agreement is governed by the laws applicable in &lt;&lt;CoverageRegion&gt;&gt;. Any dispute arising under it shall first be referred to good-faith negotiation between the parties.</w:t>
      </w:r>
    </w:p>
    <w:p>
      <w:pPr>
        <w:pStyle w:val="ListParagraph"/>
        <w:numPr>
          <w:ilvl w:val="0"/>
          <w:numId w:val="2"/>
        </w:numPr>
      </w:pPr>
      <w:r>
        <w:t xml:space="preserve">Failing resolution, the dispute shall be submitted to binding arbitration.</w:t>
      </w:r>
    </w:p>
    <w:p>
      <w:pPr>
        <w:pStyle w:val="ListParagraph"/>
        <w:numPr>
          <w:ilvl w:val="1"/>
          <w:numId w:val="2"/>
        </w:numPr>
      </w:pPr>
      <w:r>
        <w:t xml:space="preserve">conducted by a single arbitrator agreed between the parties;</w:t>
      </w:r>
    </w:p>
    <w:p>
      <w:pPr>
        <w:pStyle w:val="ListParagraph"/>
        <w:numPr>
          <w:ilvl w:val="1"/>
          <w:numId w:val="2"/>
        </w:numPr>
      </w:pPr>
      <w:r>
        <w:t xml:space="preserve">with each party bearing its own costs unless the arbitrator directs otherwise.</w:t>
      </w:r>
    </w:p>
    <w:p>
      <w:pPr>
        <w:pStyle w:val="Heading2"/>
      </w:pPr>
      <w:r>
        <w:t xml:space="preserve">9. Entire Agreement</w:t>
      </w:r>
    </w:p>
    <w:p>
      <w:r>
        <w:t xml:space="preserve">This agreement constitutes the entire understanding between the parties and supersedes all prior representations, whether oral or written. No variation is effective unless made in writing and signed by an authorised representative of the insurer.</w:t>
      </w:r>
    </w:p>
    <w:p>
      <w:r>
        <w:t xml:space="preserve">If any provision of this agreement is held to be invalid or unenforceable, the remaining provisions shall continue in full force and effect.</w:t>
      </w:r>
    </w:p>
    <w:p>
      <w:pPr>
        <w:spacing w:before="200"/>
      </w:pPr>
      <w:r>
        <w:rPr>
          <w:i/>
          <w:iCs/>
          <w:color w:val="555555"/>
        </w:rPr>
        <w:t xml:space="preserve">Acknowledged by &lt;&lt;FullName&gt;&gt; on &lt;&lt;LetterDate&gt;&gt;.</w:t>
      </w:r>
    </w:p>
    <w:sectPr>
      <w:pgSz w:w="12240" w:h="15840" w:orient="portrait"/>
      <w:pgMar w:top="1440" w:right="1440" w:bottom="1440" w:left="1440" w:header="708" w:footer="708" w:gutter="0"/>
      <w:pgNumType/>
      <w:cols w:space="340" w:num="2" w:sep="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Defined terms carry the meaning assigned in Schedule A of the master policy.</w:t>
      </w:r>
    </w:p>
  </w:footnote>
  <w:footnote w:id="2">
    <w:p>
      <w:r>
        <w:rPr>
          <w:rStyle w:val="FootnoteReference"/>
        </w:rPr>
        <w:footnoteRef/>
      </w:r>
      <w:r>
        <w:t xml:space="preserve">Statutory cooling-off periods vary by jurisdiction and may override this clause.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lvl w:ilvl="2" w15:tentative="1">
      <w:start w:val="1"/>
      <w:numFmt w:val="lowerRoman"/>
      <w:lvlText w:val="(%3)"/>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2026-09-03T08:27:55.702Z</dcterms:created>
  <dcterms:modified xsi:type="dcterms:W3CDTF">2026-09-03T08:27:55.702Z</dcterms:modified>
</cp:coreProperties>
</file>

<file path=docProps/custom.xml><?xml version="1.0" encoding="utf-8"?>
<Properties xmlns="http://schemas.openxmlformats.org/officeDocument/2006/custom-properties" xmlns:vt="http://schemas.openxmlformats.org/officeDocument/2006/docPropsVTypes"/>
</file>