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Space Engineering Pack: An AI-Augmented Framework for Spacecraft and Launch Vehicle Design</w:t>
      </w:r>
    </w:p>
    <w:p>
      <w:r>
        <w:rPr>
          <w:rFonts w:ascii="Times New Roman" w:hAnsi="Times New Roman"/>
          <w:b/>
          <w:sz w:val="22"/>
        </w:rPr>
        <w:t>Author:</w:t>
      </w:r>
      <w:r>
        <w:rPr>
          <w:rFonts w:ascii="Times New Roman" w:hAnsi="Times New Roman"/>
          <w:sz w:val="22"/>
        </w:rPr>
        <w:t xml:space="preserve"> RAAVI PRANEETH REDDY</w:t>
      </w:r>
    </w:p>
    <w:p>
      <w:r>
        <w:rPr>
          <w:rFonts w:ascii="Times New Roman" w:hAnsi="Times New Roman"/>
          <w:b/>
          <w:sz w:val="22"/>
        </w:rPr>
        <w:t>Institution:</w:t>
      </w:r>
      <w:r>
        <w:rPr>
          <w:rFonts w:ascii="Times New Roman" w:hAnsi="Times New Roman"/>
          <w:sz w:val="22"/>
        </w:rPr>
        <w:t xml:space="preserve"> SRM Institute of Science and Technology</w:t>
      </w:r>
    </w:p>
    <w:p>
      <w:r>
        <w:rPr>
          <w:rFonts w:ascii="Times New Roman" w:hAnsi="Times New Roman"/>
          <w:b/>
          <w:sz w:val="22"/>
        </w:rPr>
        <w:t>Repository:</w:t>
      </w:r>
      <w:r>
        <w:rPr>
          <w:rFonts w:ascii="Times New Roman" w:hAnsi="Times New Roman"/>
          <w:sz w:val="22"/>
        </w:rPr>
        <w:t xml:space="preserve"> https://github.com/quadratic1518/aerospace-team</w:t>
      </w:r>
    </w:p>
    <w:p>
      <w:r>
        <w:rPr>
          <w:rFonts w:ascii="Times New Roman" w:hAnsi="Times New Roman"/>
          <w:b/>
          <w:sz w:val="22"/>
        </w:rPr>
        <w:t>Date:</w:t>
      </w:r>
      <w:r>
        <w:rPr>
          <w:rFonts w:ascii="Times New Roman" w:hAnsi="Times New Roman"/>
          <w:sz w:val="22"/>
        </w:rPr>
        <w:t xml:space="preserve"> September 2026</w:t>
      </w:r>
    </w:p>
    <w:p>
      <w:r>
        <w:rPr>
          <w:rFonts w:ascii="Times New Roman" w:hAnsi="Times New Roman"/>
          <w:sz w:val="22"/>
        </w:rPr>
        <w:t xml:space="preserve">&gt; </w:t>
      </w:r>
      <w:r>
        <w:rPr>
          <w:rFonts w:ascii="Times New Roman" w:hAnsi="Times New Roman"/>
          <w:b/>
          <w:sz w:val="22"/>
        </w:rPr>
        <w:t>View online (no download):</w:t>
      </w:r>
      <w:r>
        <w:rPr>
          <w:rFonts w:ascii="Times New Roman" w:hAnsi="Times New Roman"/>
          <w:sz w:val="22"/>
        </w:rPr>
        <w:t xml:space="preserve"> [Read on GitHub](https://github.com/quadratic1518/aerospace-team/blob/main/RESEARCH_PAPER.md) · [Web version](https://quadratic1518.github.io/aerospace-team/)</w:t>
      </w:r>
    </w:p>
    <w:p/>
    <w:p>
      <w:pPr>
        <w:pStyle w:val="Heading1"/>
      </w:pPr>
      <w:r>
        <w:rPr>
          <w:rFonts w:ascii="Times New Roman" w:hAnsi="Times New Roman"/>
          <w:color w:val="000000"/>
        </w:rPr>
        <w:t>Abstract</w:t>
      </w:r>
    </w:p>
    <w:p>
      <w:r>
        <w:rPr>
          <w:rFonts w:ascii="Times New Roman" w:hAnsi="Times New Roman"/>
          <w:sz w:val="22"/>
        </w:rPr>
        <w:t xml:space="preserve">Spacecraft and launch vehicle design requires integrating knowledge across propulsion, orbital mechanics, structures, thermal control, communications, and mission operations. Traditional workflows depend on fragmented toolchains and expert consultation, creating bottlenecks during early-phase concept development. This paper presents the </w:t>
      </w:r>
      <w:r>
        <w:rPr>
          <w:rFonts w:ascii="Times New Roman" w:hAnsi="Times New Roman"/>
          <w:b/>
          <w:sz w:val="22"/>
        </w:rPr>
        <w:t>Space Engineering Pack</w:t>
      </w:r>
      <w:r>
        <w:rPr>
          <w:rFonts w:ascii="Times New Roman" w:hAnsi="Times New Roman"/>
          <w:sz w:val="22"/>
        </w:rPr>
        <w:t>, an open-source framework that combines twelve domain-specialist AI skill modules with six shared Python computational tools to support end-to-end mission architecture analysis. The system implements classical aerospace engineering models—including the Tsiolkovsky rocket equation, Hohmann transfer calculations, multi-stage GLOW optimization via SLSQP, parametric launch cost estimation, and tank geometry sizing—within a three-layer architecture (skills, tools, data). Unlike monolithic simulation suites, the framework prioritizes reproducible, JSON-structured outputs and cross-subsystem integration through explicit skill connectors. Evaluation against reference missions (LEO delivery, Earth–Mars transfer, lunar surface landing) demonstrates consistent delta-v budgets aligned with NASA/ESA reference values and staging optimizations that reduce Gross Lift-Off Weight by 2–8% compared to equal delta-v splits. The framework is designed for integration with Claude Code and similar AI agent environments, enabling rapid trade studies during preliminary design review (PDR) and concept-of-operations (ConOps) development.</w:t>
      </w:r>
    </w:p>
    <w:p>
      <w:r>
        <w:rPr>
          <w:rFonts w:ascii="Times New Roman" w:hAnsi="Times New Roman"/>
          <w:b/>
          <w:sz w:val="22"/>
        </w:rPr>
        <w:t>Keywords:</w:t>
      </w:r>
      <w:r>
        <w:rPr>
          <w:rFonts w:ascii="Times New Roman" w:hAnsi="Times New Roman"/>
          <w:sz w:val="22"/>
        </w:rPr>
        <w:t xml:space="preserve"> space systems engineering, mission architecture, delta-v budget, AI-assisted design, launch vehicle optimization, orbital mechanics</w:t>
      </w:r>
    </w:p>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r>
        <w:rPr>
          <w:rFonts w:ascii="Times New Roman" w:hAnsi="Times New Roman"/>
          <w:sz w:val="22"/>
        </w:rPr>
        <w:t>Preliminary spacecraft and launch vehicle design involves iterative trade studies across multiple engineering disciplines. A single mission architecture decision—such as selecting a launch vehicle or defining a staging configuration—requires inputs from propulsion analysis (delta-v budgets), orbital mechanics (transfer trajectories), structural engineering (mass margins), thermal control (radiator sizing), and cost estimation. In industry and academia, these analyses are typically performed using specialized software (STK, GMAT, OpenMDAO) combined with spreadsheet-based budgets and expert judgment.</w:t>
      </w:r>
    </w:p>
    <w:p>
      <w:r>
        <w:rPr>
          <w:rFonts w:ascii="Times New Roman" w:hAnsi="Times New Roman"/>
          <w:sz w:val="22"/>
        </w:rPr>
        <w:t xml:space="preserve">Recent advances in large language models (LLMs) have enabled AI assistants capable of reasoning about engineering problems. However, unconstrained LLM outputs risk </w:t>
      </w:r>
      <w:r>
        <w:rPr>
          <w:rFonts w:ascii="Times New Roman" w:hAnsi="Times New Roman"/>
          <w:b/>
          <w:sz w:val="22"/>
        </w:rPr>
        <w:t>hallucinating</w:t>
      </w:r>
      <w:r>
        <w:rPr>
          <w:rFonts w:ascii="Times New Roman" w:hAnsi="Times New Roman"/>
          <w:sz w:val="22"/>
        </w:rPr>
        <w:t xml:space="preserve"> physical constants, vehicle specifications, and formula applications—particularly dangerous in safety-critical aerospace domains. There is a need for frameworks that combine AI reasoning capabilities with </w:t>
      </w:r>
      <w:r>
        <w:rPr>
          <w:rFonts w:ascii="Times New Roman" w:hAnsi="Times New Roman"/>
          <w:b/>
          <w:sz w:val="22"/>
        </w:rPr>
        <w:t>verified reference data</w:t>
      </w:r>
      <w:r>
        <w:rPr>
          <w:rFonts w:ascii="Times New Roman" w:hAnsi="Times New Roman"/>
          <w:sz w:val="22"/>
        </w:rPr>
        <w:t xml:space="preserve"> and </w:t>
      </w:r>
      <w:r>
        <w:rPr>
          <w:rFonts w:ascii="Times New Roman" w:hAnsi="Times New Roman"/>
          <w:b/>
          <w:sz w:val="22"/>
        </w:rPr>
        <w:t>deterministic computational tools</w:t>
      </w:r>
      <w:r>
        <w:rPr>
          <w:rFonts w:ascii="Times New Roman" w:hAnsi="Times New Roman"/>
          <w:sz w:val="22"/>
        </w:rPr>
        <w:t>.</w:t>
      </w:r>
    </w:p>
    <w:p>
      <w:pPr>
        <w:pStyle w:val="Heading2"/>
      </w:pPr>
      <w:r>
        <w:rPr>
          <w:rFonts w:ascii="Times New Roman" w:hAnsi="Times New Roman"/>
          <w:color w:val="000000"/>
        </w:rPr>
        <w:t>1.2 Problem Statement</w:t>
      </w:r>
    </w:p>
    <w:p>
      <w:r>
        <w:rPr>
          <w:rFonts w:ascii="Times New Roman" w:hAnsi="Times New Roman"/>
          <w:sz w:val="22"/>
        </w:rPr>
        <w:t>Early-phase mission design suffers from three recurring challenges:</w:t>
      </w:r>
    </w:p>
    <w:p>
      <w:pPr>
        <w:pStyle w:val="ListNumber"/>
      </w:pPr>
      <w:r>
        <w:rPr>
          <w:rFonts w:ascii="Times New Roman" w:hAnsi="Times New Roman"/>
          <w:b/>
          <w:sz w:val="22"/>
        </w:rPr>
        <w:t>Knowledge fragmentation:</w:t>
      </w:r>
      <w:r>
        <w:rPr>
          <w:rFonts w:ascii="Times New Roman" w:hAnsi="Times New Roman"/>
          <w:sz w:val="22"/>
        </w:rPr>
        <w:t xml:space="preserve"> Subsystem expertise (propulsion, GNC, comms, thermal) resides in separate tools and documents, making integrated trade studies slow.</w:t>
      </w:r>
    </w:p>
    <w:p>
      <w:pPr>
        <w:pStyle w:val="ListNumber"/>
      </w:pPr>
      <w:r>
        <w:rPr>
          <w:rFonts w:ascii="Times New Roman" w:hAnsi="Times New Roman"/>
          <w:b/>
          <w:sz w:val="22"/>
        </w:rPr>
        <w:t>Data inconsistency:</w:t>
      </w:r>
      <w:r>
        <w:rPr>
          <w:rFonts w:ascii="Times New Roman" w:hAnsi="Times New Roman"/>
          <w:sz w:val="22"/>
        </w:rPr>
        <w:t xml:space="preserve"> Ad-hoc use of vehicle specs, orbital parameters, and cost figures leads to non-reproducible results.</w:t>
      </w:r>
    </w:p>
    <w:p>
      <w:pPr>
        <w:pStyle w:val="ListNumber"/>
      </w:pPr>
      <w:r>
        <w:rPr>
          <w:rFonts w:ascii="Times New Roman" w:hAnsi="Times New Roman"/>
          <w:b/>
          <w:sz w:val="22"/>
        </w:rPr>
        <w:t>Accessibility gap:</w:t>
      </w:r>
      <w:r>
        <w:rPr>
          <w:rFonts w:ascii="Times New Roman" w:hAnsi="Times New Roman"/>
          <w:sz w:val="22"/>
        </w:rPr>
        <w:t xml:space="preserve"> Full mission design suites require significant training; lightweight analysis tools often lack cross-domain integration.</w:t>
      </w:r>
    </w:p>
    <w:p>
      <w:pPr>
        <w:pStyle w:val="Heading2"/>
      </w:pPr>
      <w:r>
        <w:rPr>
          <w:rFonts w:ascii="Times New Roman" w:hAnsi="Times New Roman"/>
          <w:color w:val="000000"/>
        </w:rPr>
        <w:t>1.3 Contributions</w:t>
      </w:r>
    </w:p>
    <w:p>
      <w:r>
        <w:rPr>
          <w:rFonts w:ascii="Times New Roman" w:hAnsi="Times New Roman"/>
          <w:sz w:val="22"/>
        </w:rPr>
        <w:t>This work contributes:</w:t>
      </w:r>
    </w:p>
    <w:p>
      <w:pPr>
        <w:pStyle w:val="ListNumber"/>
      </w:pPr>
      <w:r>
        <w:rPr>
          <w:rFonts w:ascii="Times New Roman" w:hAnsi="Times New Roman"/>
          <w:sz w:val="22"/>
        </w:rPr>
        <w:t xml:space="preserve">A </w:t>
      </w:r>
      <w:r>
        <w:rPr>
          <w:rFonts w:ascii="Times New Roman" w:hAnsi="Times New Roman"/>
          <w:b/>
          <w:sz w:val="22"/>
        </w:rPr>
        <w:t>three-layer architecture</w:t>
      </w:r>
      <w:r>
        <w:rPr>
          <w:rFonts w:ascii="Times New Roman" w:hAnsi="Times New Roman"/>
          <w:sz w:val="22"/>
        </w:rPr>
        <w:t xml:space="preserve"> (domain skills, shared Python tools, verified data layer) for AI-augmented space systems engineering.</w:t>
      </w:r>
    </w:p>
    <w:p>
      <w:pPr>
        <w:pStyle w:val="ListNumber"/>
      </w:pPr>
      <w:r>
        <w:rPr>
          <w:rFonts w:ascii="Times New Roman" w:hAnsi="Times New Roman"/>
          <w:b/>
          <w:sz w:val="22"/>
        </w:rPr>
        <w:t>Twelve curated skill modules</w:t>
      </w:r>
      <w:r>
        <w:rPr>
          <w:rFonts w:ascii="Times New Roman" w:hAnsi="Times New Roman"/>
          <w:sz w:val="22"/>
        </w:rPr>
        <w:t xml:space="preserve"> (~5,000 lines) encoding expert personas, formulas, reference data, and error catalogs across vehicle, payload, and mission tiers.</w:t>
      </w:r>
    </w:p>
    <w:p>
      <w:pPr>
        <w:pStyle w:val="ListNumber"/>
      </w:pPr>
      <w:r>
        <w:rPr>
          <w:rFonts w:ascii="Times New Roman" w:hAnsi="Times New Roman"/>
          <w:b/>
          <w:sz w:val="22"/>
        </w:rPr>
        <w:t>Six Python CLI tools</w:t>
      </w:r>
      <w:r>
        <w:rPr>
          <w:rFonts w:ascii="Times New Roman" w:hAnsi="Times New Roman"/>
          <w:sz w:val="22"/>
        </w:rPr>
        <w:t xml:space="preserve"> implementing Tsiolkovsky analysis, Hohmann transfers, SLSQP staging optimization, TRANSCOST-based cost estimation, tank geometry sizing, and mission timeline generation.</w:t>
      </w:r>
    </w:p>
    <w:p>
      <w:pPr>
        <w:pStyle w:val="ListNumber"/>
      </w:pPr>
      <w:r>
        <w:rPr>
          <w:rFonts w:ascii="Times New Roman" w:hAnsi="Times New Roman"/>
          <w:b/>
          <w:sz w:val="22"/>
        </w:rPr>
        <w:t>Cross-skill connector specification</w:t>
      </w:r>
      <w:r>
        <w:rPr>
          <w:rFonts w:ascii="Times New Roman" w:hAnsi="Times New Roman"/>
          <w:sz w:val="22"/>
        </w:rPr>
        <w:t xml:space="preserve"> enabling multi-subsystem workflows (e.g., </w:t>
      </w:r>
      <w:r>
        <w:rPr>
          <w:rFonts w:ascii="Courier New" w:hAnsi="Courier New"/>
          <w:sz w:val="18"/>
        </w:rPr>
        <w:t>/mission-design</w:t>
      </w:r>
      <w:r>
        <w:rPr>
          <w:rFonts w:ascii="Times New Roman" w:hAnsi="Times New Roman"/>
          <w:sz w:val="22"/>
        </w:rPr>
        <w:t>) with JSON-structured outputs.</w:t>
      </w:r>
    </w:p>
    <w:p>
      <w:pPr>
        <w:pStyle w:val="ListNumber"/>
      </w:pPr>
      <w:r>
        <w:rPr>
          <w:rFonts w:ascii="Times New Roman" w:hAnsi="Times New Roman"/>
          <w:sz w:val="22"/>
        </w:rPr>
        <w:t>An open-source implementation validated against published NASA/ESA delta-v reference values.</w:t>
      </w:r>
    </w:p>
    <w:p>
      <w:pPr>
        <w:pStyle w:val="Heading2"/>
      </w:pPr>
      <w:r>
        <w:rPr>
          <w:rFonts w:ascii="Times New Roman" w:hAnsi="Times New Roman"/>
          <w:color w:val="000000"/>
        </w:rPr>
        <w:t>1.4 Paper Organization</w:t>
      </w:r>
    </w:p>
    <w:p>
      <w:r>
        <w:rPr>
          <w:rFonts w:ascii="Times New Roman" w:hAnsi="Times New Roman"/>
          <w:sz w:val="22"/>
        </w:rPr>
        <w:t>Section 2 reviews related work. Section 3 describes the system architecture. Section 4 details algorithms and engineering models. Section 5 presents the processing workflow. Section 6 covers implementation details. Section 7 reports evaluation results. Section 8 discusses limitations and future work. Section 9 concludes.</w:t>
      </w:r>
    </w:p>
    <w:p/>
    <w:p>
      <w:pPr>
        <w:pStyle w:val="Heading1"/>
      </w:pPr>
      <w:r>
        <w:rPr>
          <w:rFonts w:ascii="Times New Roman" w:hAnsi="Times New Roman"/>
          <w:color w:val="000000"/>
        </w:rPr>
        <w:t>2. Related Work</w:t>
      </w:r>
    </w:p>
    <w:p>
      <w:r>
        <w:rPr>
          <w:rFonts w:ascii="Times New Roman" w:hAnsi="Times New Roman"/>
          <w:b/>
          <w:sz w:val="22"/>
        </w:rPr>
        <w:t>Orbital mechanics tools</w:t>
      </w:r>
      <w:r>
        <w:rPr>
          <w:rFonts w:ascii="Times New Roman" w:hAnsi="Times New Roman"/>
          <w:sz w:val="22"/>
        </w:rPr>
        <w:t xml:space="preserve"> such as GMAT (General Mission Analysis Tool) and STK (Systems Tool Kit) provide high-fidelity trajectory propagation but require specialized training and license costs. </w:t>
      </w:r>
      <w:r>
        <w:rPr>
          <w:rFonts w:ascii="Times New Roman" w:hAnsi="Times New Roman"/>
          <w:b/>
          <w:sz w:val="22"/>
        </w:rPr>
        <w:t>Multidisciplinary design optimization (MDO)</w:t>
      </w:r>
      <w:r>
        <w:rPr>
          <w:rFonts w:ascii="Times New Roman" w:hAnsi="Times New Roman"/>
          <w:sz w:val="22"/>
        </w:rPr>
        <w:t xml:space="preserve"> frameworks like OpenMDAO enable coupled subsystem analysis but demand significant setup for conceptual design.</w:t>
      </w:r>
    </w:p>
    <w:p>
      <w:r>
        <w:rPr>
          <w:rFonts w:ascii="Times New Roman" w:hAnsi="Times New Roman"/>
          <w:b/>
          <w:sz w:val="22"/>
        </w:rPr>
        <w:t>AI in aerospace engineering</w:t>
      </w:r>
      <w:r>
        <w:rPr>
          <w:rFonts w:ascii="Times New Roman" w:hAnsi="Times New Roman"/>
          <w:sz w:val="22"/>
        </w:rPr>
        <w:t xml:space="preserve"> has been explored for fault detection, autonomous GNC, and natural-language interfaces to simulation tools. The Space Engineering Pack differs by embedding </w:t>
      </w:r>
      <w:r>
        <w:rPr>
          <w:rFonts w:ascii="Times New Roman" w:hAnsi="Times New Roman"/>
          <w:b/>
          <w:sz w:val="22"/>
        </w:rPr>
        <w:t>verified engineering knowledge</w:t>
      </w:r>
      <w:r>
        <w:rPr>
          <w:rFonts w:ascii="Times New Roman" w:hAnsi="Times New Roman"/>
          <w:sz w:val="22"/>
        </w:rPr>
        <w:t xml:space="preserve"> directly into AI skill modules rather than relying on the LLM's parametric memory.</w:t>
      </w:r>
    </w:p>
    <w:p>
      <w:r>
        <w:rPr>
          <w:rFonts w:ascii="Times New Roman" w:hAnsi="Times New Roman"/>
          <w:b/>
          <w:sz w:val="22"/>
        </w:rPr>
        <w:t>Skills-based AI architectures</w:t>
      </w:r>
      <w:r>
        <w:rPr>
          <w:rFonts w:ascii="Times New Roman" w:hAnsi="Times New Roman"/>
          <w:sz w:val="22"/>
        </w:rPr>
        <w:t xml:space="preserve"> (Anthropic Claude Code, Cursor Agent Skills) provide a mechanism for injecting domain expertise into AI assistants. This work extends that paradigm to a full space systems engineering domain with shared computational backends.</w:t>
      </w:r>
    </w:p>
    <w:p/>
    <w:p>
      <w:pPr>
        <w:pStyle w:val="Heading1"/>
      </w:pPr>
      <w:r>
        <w:rPr>
          <w:rFonts w:ascii="Times New Roman" w:hAnsi="Times New Roman"/>
          <w:color w:val="000000"/>
        </w:rPr>
        <w:t>3. System Architecture</w:t>
      </w:r>
    </w:p>
    <w:p>
      <w:r>
        <w:rPr>
          <w:rFonts w:ascii="Times New Roman" w:hAnsi="Times New Roman"/>
          <w:sz w:val="22"/>
        </w:rPr>
        <w:t xml:space="preserve">The Space Engineering Pack follows a </w:t>
      </w:r>
      <w:r>
        <w:rPr>
          <w:rFonts w:ascii="Times New Roman" w:hAnsi="Times New Roman"/>
          <w:b/>
          <w:sz w:val="22"/>
        </w:rPr>
        <w:t>three-layer architecture</w:t>
      </w:r>
      <w:r>
        <w:rPr>
          <w:rFonts w:ascii="Times New Roman" w:hAnsi="Times New Roman"/>
          <w:sz w:val="22"/>
        </w:rPr>
        <w:t>:</w:t>
      </w:r>
    </w:p>
    <w:p>
      <w:pPr>
        <w:ind w:left="432"/>
      </w:pPr>
      <w:r>
        <w:rPr>
          <w:rFonts w:ascii="Courier New" w:hAnsi="Courier New"/>
          <w:sz w:val="18"/>
        </w:rPr>
        <w:t>┌─────────────────────────────────────────────────────────────┐</w:t>
        <w:br/>
        <w:t>│  Layer 1: Domain Skills (12 specialist knowledge modules)   │</w:t>
        <w:br/>
        <w:t>│  propulsion, orbital-mechanics, structural, thermal, gnc, ... │</w:t>
        <w:br/>
        <w:t>├─────────────────────────────────────────────────────────────┤</w:t>
        <w:br/>
        <w:t>│  Layer 2: Shared Python Tools (6 computational modules)     │</w:t>
        <w:br/>
        <w:t>│  trajectory, staging, geometry, cost_estimator, plot, timeline│</w:t>
        <w:br/>
        <w:t>├─────────────────────────────────────────────────────────────┤</w:t>
        <w:br/>
        <w:t>│  Layer 3: Shared Data Layer (constants + vehicle database)  │</w:t>
        <w:br/>
        <w:t>│  constants.py, vehicles.json, sync_data.py                  │</w:t>
        <w:br/>
        <w:t>└─────────────────────────────────────────────────────────────┘</w:t>
      </w:r>
    </w:p>
    <w:p>
      <w:pPr>
        <w:pStyle w:val="Heading2"/>
      </w:pPr>
      <w:r>
        <w:rPr>
          <w:rFonts w:ascii="Times New Roman" w:hAnsi="Times New Roman"/>
          <w:color w:val="000000"/>
        </w:rPr>
        <w:t>3.1 Layer 1 — Domain Skills</w:t>
      </w:r>
    </w:p>
    <w:p>
      <w:r>
        <w:rPr>
          <w:rFonts w:ascii="Times New Roman" w:hAnsi="Times New Roman"/>
          <w:sz w:val="22"/>
        </w:rPr>
        <w:t>Twelve markdown-based skill modules (</w:t>
      </w:r>
      <w:r>
        <w:rPr>
          <w:rFonts w:ascii="Courier New" w:hAnsi="Courier New"/>
          <w:sz w:val="18"/>
        </w:rPr>
        <w:t>skills/*/SKILL.md</w:t>
      </w:r>
      <w:r>
        <w:rPr>
          <w:rFonts w:ascii="Times New Roman" w:hAnsi="Times New Roman"/>
          <w:sz w:val="22"/>
        </w:rPr>
        <w:t>) encode:</w:t>
      </w:r>
    </w:p>
    <w:p>
      <w:pPr>
        <w:pStyle w:val="ListBullet"/>
      </w:pPr>
      <w:r>
        <w:rPr>
          <w:rFonts w:ascii="Times New Roman" w:hAnsi="Times New Roman"/>
          <w:b/>
          <w:sz w:val="22"/>
        </w:rPr>
        <w:t>Expert persona</w:t>
      </w:r>
      <w:r>
        <w:rPr>
          <w:rFonts w:ascii="Times New Roman" w:hAnsi="Times New Roman"/>
          <w:sz w:val="22"/>
        </w:rPr>
        <w:t xml:space="preserve"> with 20+ years domain experience framing</w:t>
      </w:r>
    </w:p>
    <w:p>
      <w:pPr>
        <w:pStyle w:val="ListBullet"/>
      </w:pPr>
      <w:r>
        <w:rPr>
          <w:rFonts w:ascii="Times New Roman" w:hAnsi="Times New Roman"/>
          <w:b/>
          <w:sz w:val="22"/>
        </w:rPr>
        <w:t>Reference data</w:t>
      </w:r>
      <w:r>
        <w:rPr>
          <w:rFonts w:ascii="Times New Roman" w:hAnsi="Times New Roman"/>
          <w:sz w:val="22"/>
        </w:rPr>
        <w:t xml:space="preserve"> — engine specs, materials, orbital parameters</w:t>
      </w:r>
    </w:p>
    <w:p>
      <w:pPr>
        <w:pStyle w:val="ListBullet"/>
      </w:pPr>
      <w:r>
        <w:rPr>
          <w:rFonts w:ascii="Times New Roman" w:hAnsi="Times New Roman"/>
          <w:b/>
          <w:sz w:val="22"/>
        </w:rPr>
        <w:t>Formulas and equations</w:t>
      </w:r>
      <w:r>
        <w:rPr>
          <w:rFonts w:ascii="Times New Roman" w:hAnsi="Times New Roman"/>
          <w:sz w:val="22"/>
        </w:rPr>
        <w:t xml:space="preserve"> — vis-viva, link budgets, structural margins, thermal balance</w:t>
      </w:r>
    </w:p>
    <w:p>
      <w:pPr>
        <w:pStyle w:val="ListBullet"/>
      </w:pPr>
      <w:r>
        <w:rPr>
          <w:rFonts w:ascii="Times New Roman" w:hAnsi="Times New Roman"/>
          <w:b/>
          <w:sz w:val="22"/>
        </w:rPr>
        <w:t>Worked examples</w:t>
      </w:r>
      <w:r>
        <w:rPr>
          <w:rFonts w:ascii="Times New Roman" w:hAnsi="Times New Roman"/>
          <w:sz w:val="22"/>
        </w:rPr>
        <w:t xml:space="preserve"> with step-by-step calculations</w:t>
      </w:r>
    </w:p>
    <w:p>
      <w:pPr>
        <w:pStyle w:val="ListBullet"/>
      </w:pPr>
      <w:r>
        <w:rPr>
          <w:rFonts w:ascii="Times New Roman" w:hAnsi="Times New Roman"/>
          <w:b/>
          <w:sz w:val="22"/>
        </w:rPr>
        <w:t>Error catalogs</w:t>
      </w:r>
      <w:r>
        <w:rPr>
          <w:rFonts w:ascii="Times New Roman" w:hAnsi="Times New Roman"/>
          <w:sz w:val="22"/>
        </w:rPr>
        <w:t xml:space="preserve"> — common pitfalls and mitigation strategies</w:t>
      </w:r>
    </w:p>
    <w:p>
      <w:pPr>
        <w:pStyle w:val="ListBullet"/>
      </w:pPr>
      <w:r>
        <w:rPr>
          <w:rFonts w:ascii="Times New Roman" w:hAnsi="Times New Roman"/>
          <w:b/>
          <w:sz w:val="22"/>
        </w:rPr>
        <w:t>Cross-skill connectors</w:t>
      </w:r>
      <w:r>
        <w:rPr>
          <w:rFonts w:ascii="Times New Roman" w:hAnsi="Times New Roman"/>
          <w:sz w:val="22"/>
        </w:rPr>
        <w:t xml:space="preserve"> — references to complementary skills</w:t>
      </w:r>
    </w:p>
    <w:p>
      <w:r>
        <w:rPr>
          <w:rFonts w:ascii="Times New Roman" w:hAnsi="Times New Roman"/>
          <w:sz w:val="22"/>
        </w:rPr>
        <w:t>Skills are organized in three tiers:</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Skills</w:t>
            </w:r>
          </w:p>
        </w:tc>
        <w:tc>
          <w:tcPr>
            <w:tcW w:type="dxa" w:w="2880"/>
          </w:tcPr>
          <w:p>
            <w:r>
              <w:t>Focus</w:t>
            </w:r>
          </w:p>
        </w:tc>
      </w:tr>
      <w:tr>
        <w:tc>
          <w:tcPr>
            <w:tcW w:type="dxa" w:w="2880"/>
          </w:tcPr>
          <w:p>
            <w:r>
              <w:t>Vehicle</w:t>
            </w:r>
          </w:p>
        </w:tc>
        <w:tc>
          <w:tcPr>
            <w:tcW w:type="dxa" w:w="2880"/>
          </w:tcPr>
          <w:p>
            <w:r>
              <w:t>propulsion, orbital-mechanics, structural, thermal</w:t>
            </w:r>
          </w:p>
        </w:tc>
        <w:tc>
          <w:tcPr>
            <w:tcW w:type="dxa" w:w="2880"/>
          </w:tcPr>
          <w:p>
            <w:r>
              <w:t>Launch vehicle and stage design</w:t>
            </w:r>
          </w:p>
        </w:tc>
      </w:tr>
      <w:tr>
        <w:tc>
          <w:tcPr>
            <w:tcW w:type="dxa" w:w="2880"/>
          </w:tcPr>
          <w:p>
            <w:r>
              <w:t>Payload</w:t>
            </w:r>
          </w:p>
        </w:tc>
        <w:tc>
          <w:tcPr>
            <w:tcW w:type="dxa" w:w="2880"/>
          </w:tcPr>
          <w:p>
            <w:r>
              <w:t>satellite-comms, power-systems, gnc, payload-specialist</w:t>
            </w:r>
          </w:p>
        </w:tc>
        <w:tc>
          <w:tcPr>
            <w:tcW w:type="dxa" w:w="2880"/>
          </w:tcPr>
          <w:p>
            <w:r>
              <w:t>Spacecraft subsystem design</w:t>
            </w:r>
          </w:p>
        </w:tc>
      </w:tr>
      <w:tr>
        <w:tc>
          <w:tcPr>
            <w:tcW w:type="dxa" w:w="2880"/>
          </w:tcPr>
          <w:p>
            <w:r>
              <w:t>Mission</w:t>
            </w:r>
          </w:p>
        </w:tc>
        <w:tc>
          <w:tcPr>
            <w:tcW w:type="dxa" w:w="2880"/>
          </w:tcPr>
          <w:p>
            <w:r>
              <w:t>mission-architect, ground-systems, launch-operations, space-environment</w:t>
            </w:r>
          </w:p>
        </w:tc>
        <w:tc>
          <w:tcPr>
            <w:tcW w:type="dxa" w:w="2880"/>
          </w:tcPr>
          <w:p>
            <w:r>
              <w:t>End-to-end mission integration</w:t>
            </w:r>
          </w:p>
        </w:tc>
      </w:tr>
    </w:tbl>
    <w:p/>
    <w:p>
      <w:pPr>
        <w:pStyle w:val="Heading2"/>
      </w:pPr>
      <w:r>
        <w:rPr>
          <w:rFonts w:ascii="Times New Roman" w:hAnsi="Times New Roman"/>
          <w:color w:val="000000"/>
        </w:rPr>
        <w:t>3.2 Layer 2 — Shared Python Tools</w:t>
      </w:r>
    </w:p>
    <w:p>
      <w:r>
        <w:rPr>
          <w:rFonts w:ascii="Times New Roman" w:hAnsi="Times New Roman"/>
          <w:sz w:val="22"/>
        </w:rPr>
        <w:t xml:space="preserve">Six CLI tools in </w:t>
      </w:r>
      <w:r>
        <w:rPr>
          <w:rFonts w:ascii="Courier New" w:hAnsi="Courier New"/>
          <w:sz w:val="18"/>
        </w:rPr>
        <w:t>shared/tools/</w:t>
      </w:r>
      <w:r>
        <w:rPr>
          <w:rFonts w:ascii="Times New Roman" w:hAnsi="Times New Roman"/>
          <w:sz w:val="22"/>
        </w:rPr>
        <w:t xml:space="preserve"> perform deterministic calculations. All tools emit JSON for machine-readable output:</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Subcommands</w:t>
            </w:r>
          </w:p>
        </w:tc>
        <w:tc>
          <w:tcPr>
            <w:tcW w:type="dxa" w:w="2880"/>
          </w:tcPr>
          <w:p>
            <w:r>
              <w:t>Purpose</w:t>
            </w:r>
          </w:p>
        </w:tc>
      </w:tr>
      <w:tr>
        <w:tc>
          <w:tcPr>
            <w:tcW w:type="dxa" w:w="2880"/>
          </w:tcPr>
          <w:p>
            <w:r>
              <w:t>`trajectory.py`</w:t>
            </w:r>
          </w:p>
        </w:tc>
        <w:tc>
          <w:tcPr>
            <w:tcW w:type="dxa" w:w="2880"/>
          </w:tcPr>
          <w:p>
            <w:r>
              <w:t>hohmann, tsiolkovsky, delta-v-budget</w:t>
            </w:r>
          </w:p>
        </w:tc>
        <w:tc>
          <w:tcPr>
            <w:tcW w:type="dxa" w:w="2880"/>
          </w:tcPr>
          <w:p>
            <w:r>
              <w:t>Trajectory and delta-v analysis</w:t>
            </w:r>
          </w:p>
        </w:tc>
      </w:tr>
      <w:tr>
        <w:tc>
          <w:tcPr>
            <w:tcW w:type="dxa" w:w="2880"/>
          </w:tcPr>
          <w:p>
            <w:r>
              <w:t>`staging.py`</w:t>
            </w:r>
          </w:p>
        </w:tc>
        <w:tc>
          <w:tcPr>
            <w:tcW w:type="dxa" w:w="2880"/>
          </w:tcPr>
          <w:p>
            <w:r>
              <w:t>optimize</w:t>
            </w:r>
          </w:p>
        </w:tc>
        <w:tc>
          <w:tcPr>
            <w:tcW w:type="dxa" w:w="2880"/>
          </w:tcPr>
          <w:p>
            <w:r>
              <w:t>Multi-stage GLOW minimization</w:t>
            </w:r>
          </w:p>
        </w:tc>
      </w:tr>
      <w:tr>
        <w:tc>
          <w:tcPr>
            <w:tcW w:type="dxa" w:w="2880"/>
          </w:tcPr>
          <w:p>
            <w:r>
              <w:t>`geometry.py`</w:t>
            </w:r>
          </w:p>
        </w:tc>
        <w:tc>
          <w:tcPr>
            <w:tcW w:type="dxa" w:w="2880"/>
          </w:tcPr>
          <w:p>
            <w:r>
              <w:t>tank, fairing, vehicle-size</w:t>
            </w:r>
          </w:p>
        </w:tc>
        <w:tc>
          <w:tcPr>
            <w:tcW w:type="dxa" w:w="2880"/>
          </w:tcPr>
          <w:p>
            <w:r>
              <w:t>Propellant tank and fairing sizing</w:t>
            </w:r>
          </w:p>
        </w:tc>
      </w:tr>
      <w:tr>
        <w:tc>
          <w:tcPr>
            <w:tcW w:type="dxa" w:w="2880"/>
          </w:tcPr>
          <w:p>
            <w:r>
              <w:t>`cost_estimator.py`</w:t>
            </w:r>
          </w:p>
        </w:tc>
        <w:tc>
          <w:tcPr>
            <w:tcW w:type="dxa" w:w="2880"/>
          </w:tcPr>
          <w:p>
            <w:r>
              <w:t>launch, vehicle, compare</w:t>
            </w:r>
          </w:p>
        </w:tc>
        <w:tc>
          <w:tcPr>
            <w:tcW w:type="dxa" w:w="2880"/>
          </w:tcPr>
          <w:p>
            <w:r>
              <w:t>Parametric cost estimation</w:t>
            </w:r>
          </w:p>
        </w:tc>
      </w:tr>
      <w:tr>
        <w:tc>
          <w:tcPr>
            <w:tcW w:type="dxa" w:w="2880"/>
          </w:tcPr>
          <w:p>
            <w:r>
              <w:t>`plot.py`</w:t>
            </w:r>
          </w:p>
        </w:tc>
        <w:tc>
          <w:tcPr>
            <w:tcW w:type="dxa" w:w="2880"/>
          </w:tcPr>
          <w:p>
            <w:r>
              <w:t>hohmann-plot, delta-v-waterfall</w:t>
            </w:r>
          </w:p>
        </w:tc>
        <w:tc>
          <w:tcPr>
            <w:tcW w:type="dxa" w:w="2880"/>
          </w:tcPr>
          <w:p>
            <w:r>
              <w:t>Visualization (optional matplotlib)</w:t>
            </w:r>
          </w:p>
        </w:tc>
      </w:tr>
      <w:tr>
        <w:tc>
          <w:tcPr>
            <w:tcW w:type="dxa" w:w="2880"/>
          </w:tcPr>
          <w:p>
            <w:r>
              <w:t>`timeline.py`</w:t>
            </w:r>
          </w:p>
        </w:tc>
        <w:tc>
          <w:tcPr>
            <w:tcW w:type="dxa" w:w="2880"/>
          </w:tcPr>
          <w:p>
            <w:r>
              <w:t>plan, gantt</w:t>
            </w:r>
          </w:p>
        </w:tc>
        <w:tc>
          <w:tcPr>
            <w:tcW w:type="dxa" w:w="2880"/>
          </w:tcPr>
          <w:p>
            <w:r>
              <w:t>Mission phase scheduling</w:t>
            </w:r>
          </w:p>
        </w:tc>
      </w:tr>
    </w:tbl>
    <w:p/>
    <w:p>
      <w:pPr>
        <w:pStyle w:val="Heading2"/>
      </w:pPr>
      <w:r>
        <w:rPr>
          <w:rFonts w:ascii="Times New Roman" w:hAnsi="Times New Roman"/>
          <w:color w:val="000000"/>
        </w:rPr>
        <w:t>3.3 Layer 3 — Data Layer</w:t>
      </w:r>
    </w:p>
    <w:p>
      <w:pPr>
        <w:pStyle w:val="ListBullet"/>
      </w:pPr>
      <w:r>
        <w:rPr>
          <w:rFonts w:ascii="Times New Roman" w:hAnsi="Times New Roman"/>
          <w:b/>
          <w:sz w:val="22"/>
        </w:rPr>
        <w:t>`shared/constants.py`:</w:t>
      </w:r>
      <w:r>
        <w:rPr>
          <w:rFonts w:ascii="Times New Roman" w:hAnsi="Times New Roman"/>
          <w:sz w:val="22"/>
        </w:rPr>
        <w:t xml:space="preserve"> Immutable physics constants (G₀, μ, AU, J₂, Stefan–Boltzmann)</w:t>
      </w:r>
    </w:p>
    <w:p>
      <w:pPr>
        <w:pStyle w:val="ListBullet"/>
      </w:pPr>
      <w:r>
        <w:rPr>
          <w:rFonts w:ascii="Times New Roman" w:hAnsi="Times New Roman"/>
          <w:b/>
          <w:sz w:val="22"/>
        </w:rPr>
        <w:t>`shared/data/vehicles.json`:</w:t>
      </w:r>
      <w:r>
        <w:rPr>
          <w:rFonts w:ascii="Times New Roman" w:hAnsi="Times New Roman"/>
          <w:sz w:val="22"/>
        </w:rPr>
        <w:t xml:space="preserve"> Database of 11 launch vehicles and 5 engines with costs, payload capacity, and flight rates</w:t>
      </w:r>
    </w:p>
    <w:p>
      <w:pPr>
        <w:pStyle w:val="ListBullet"/>
      </w:pPr>
      <w:r>
        <w:rPr>
          <w:rFonts w:ascii="Times New Roman" w:hAnsi="Times New Roman"/>
          <w:b/>
          <w:sz w:val="22"/>
        </w:rPr>
        <w:t>`shared/sync_data.py`:</w:t>
      </w:r>
      <w:r>
        <w:rPr>
          <w:rFonts w:ascii="Times New Roman" w:hAnsi="Times New Roman"/>
          <w:sz w:val="22"/>
        </w:rPr>
        <w:t xml:space="preserve"> Data freshness checker with 90-day update interval</w:t>
      </w:r>
    </w:p>
    <w:p/>
    <w:p>
      <w:pPr>
        <w:pStyle w:val="Heading1"/>
      </w:pPr>
      <w:r>
        <w:rPr>
          <w:rFonts w:ascii="Times New Roman" w:hAnsi="Times New Roman"/>
          <w:color w:val="000000"/>
        </w:rPr>
        <w:t>4. Algorithms and Engineering Models</w:t>
      </w:r>
    </w:p>
    <w:p>
      <w:r>
        <w:rPr>
          <w:rFonts w:ascii="Times New Roman" w:hAnsi="Times New Roman"/>
          <w:sz w:val="22"/>
        </w:rPr>
        <w:t>The system implements classical aerospace engineering algorithms. Structural and thermal analyses are handled at the systems engineering level (margin calculations, energy balance) rather than through mesh-based FEM or CFD solvers.</w:t>
      </w:r>
    </w:p>
    <w:p>
      <w:pPr>
        <w:pStyle w:val="Heading2"/>
      </w:pPr>
      <w:r>
        <w:rPr>
          <w:rFonts w:ascii="Times New Roman" w:hAnsi="Times New Roman"/>
          <w:color w:val="000000"/>
        </w:rPr>
        <w:t>4.1 Propulsion — Tsiolkovsky Rocket Equation</w:t>
      </w:r>
    </w:p>
    <w:p>
      <w:pPr>
        <w:jc w:val="center"/>
      </w:pPr>
      <w:r>
        <w:rPr>
          <w:rFonts w:ascii="Times New Roman" w:hAnsi="Times New Roman"/>
          <w:i/>
        </w:rPr>
        <w:t>\Delta v = I_{sp} \cdot g_0 \cdot \ln\left(\frac{m_{initial}}{m_{final}}\right)</w:t>
      </w:r>
    </w:p>
    <w:p>
      <w:r>
        <w:rPr>
          <w:rFonts w:ascii="Times New Roman" w:hAnsi="Times New Roman"/>
          <w:sz w:val="22"/>
        </w:rPr>
        <w:t>The inverse form computes required propellant mass given delta-v, payload, and structural fraction:</w:t>
      </w:r>
    </w:p>
    <w:p>
      <w:pPr>
        <w:jc w:val="center"/>
      </w:pPr>
      <w:r>
        <w:rPr>
          <w:rFonts w:ascii="Times New Roman" w:hAnsi="Times New Roman"/>
          <w:i/>
        </w:rPr>
        <w:t>m_{propellant} = m_{payload} \cdot \frac{e^{\Delta v / (I_{sp} g_0)} - 1}{1 - \varepsilon \cdot e^{\Delta v / (I_{sp} g_0)}}</w:t>
      </w:r>
    </w:p>
    <w:p>
      <w:r>
        <w:rPr>
          <w:rFonts w:ascii="Times New Roman" w:hAnsi="Times New Roman"/>
          <w:sz w:val="22"/>
        </w:rPr>
        <w:t>where ε is the structural mass fraction.</w:t>
      </w:r>
    </w:p>
    <w:p>
      <w:pPr>
        <w:pStyle w:val="Heading2"/>
      </w:pPr>
      <w:r>
        <w:rPr>
          <w:rFonts w:ascii="Times New Roman" w:hAnsi="Times New Roman"/>
          <w:color w:val="000000"/>
        </w:rPr>
        <w:t>4.2 Orbital Mechanics — Hohmann Transfer</w:t>
      </w:r>
    </w:p>
    <w:p>
      <w:r>
        <w:rPr>
          <w:rFonts w:ascii="Times New Roman" w:hAnsi="Times New Roman"/>
          <w:sz w:val="22"/>
        </w:rPr>
        <w:t>For a Hohmann transfer between circular orbits of radii r₁ and r₂:</w:t>
      </w:r>
    </w:p>
    <w:p>
      <w:pPr>
        <w:jc w:val="center"/>
      </w:pPr>
      <w:r>
        <w:rPr>
          <w:rFonts w:ascii="Times New Roman" w:hAnsi="Times New Roman"/>
          <w:i/>
        </w:rPr>
        <w:t>\Delta v_1 = \sqrt{\frac{\mu}{r_1}}\left(\sqrt{\frac{2r_2}{r_1+r_2}} - 1\right)</w:t>
      </w:r>
    </w:p>
    <w:p>
      <w:pPr>
        <w:jc w:val="center"/>
      </w:pPr>
      <w:r>
        <w:rPr>
          <w:rFonts w:ascii="Times New Roman" w:hAnsi="Times New Roman"/>
          <w:i/>
        </w:rPr>
        <w:t>\Delta v_2 = \sqrt{\frac{\mu}{r_2}}\left(1 - \sqrt{\frac{2r_1}{r_1+r_2}}\right)</w:t>
      </w:r>
    </w:p>
    <w:p>
      <w:r>
        <w:rPr>
          <w:rFonts w:ascii="Times New Roman" w:hAnsi="Times New Roman"/>
          <w:sz w:val="22"/>
        </w:rPr>
        <w:t xml:space="preserve">Total transfer time: </w:t>
      </w:r>
      <w:r>
        <w:rPr>
          <w:rFonts w:ascii="Times New Roman" w:hAnsi="Times New Roman"/>
          <w:sz w:val="22"/>
        </w:rPr>
        <w:t>$t = \pi \sqrt{(r_1 + r_2)^3 / (8\mu)}$</w:t>
      </w:r>
    </w:p>
    <w:p>
      <w:pPr>
        <w:pStyle w:val="Heading2"/>
      </w:pPr>
      <w:r>
        <w:rPr>
          <w:rFonts w:ascii="Times New Roman" w:hAnsi="Times New Roman"/>
          <w:color w:val="000000"/>
        </w:rPr>
        <w:t>4.3 Staging Optimization</w:t>
      </w:r>
    </w:p>
    <w:p>
      <w:r>
        <w:rPr>
          <w:rFonts w:ascii="Times New Roman" w:hAnsi="Times New Roman"/>
          <w:sz w:val="22"/>
        </w:rPr>
        <w:t>Given N stages with specific impulses {Ispᵢ} and structural fractions {εᵢ}, the optimizer finds the delta-v split {Δvᵢ} that minimizes Gross Lift-Off Weight (GLOW):</w:t>
      </w:r>
    </w:p>
    <w:p>
      <w:pPr>
        <w:jc w:val="center"/>
      </w:pPr>
      <w:r>
        <w:rPr>
          <w:rFonts w:ascii="Times New Roman" w:hAnsi="Times New Roman"/>
          <w:i/>
        </w:rPr>
        <w:t>\min_{\Delta v_i} \text{GLOW}(\Delta v_1, \ldots, \Delta v_N) \quad \text{s.t.} \quad \sum_i \Delta v_i = \Delta v_{total}</w:t>
      </w:r>
    </w:p>
    <w:p>
      <w:r>
        <w:rPr>
          <w:rFonts w:ascii="Times New Roman" w:hAnsi="Times New Roman"/>
          <w:sz w:val="22"/>
        </w:rPr>
        <w:t xml:space="preserve">For equal Isp across stages, the analytical optimum is an equal delta-v split. For heterogeneous Isp, Sequential Least Squares Programming (SLSQP) is used via SciPy's </w:t>
      </w:r>
      <w:r>
        <w:rPr>
          <w:rFonts w:ascii="Courier New" w:hAnsi="Courier New"/>
          <w:sz w:val="18"/>
        </w:rPr>
        <w:t>minimize</w:t>
      </w:r>
      <w:r>
        <w:rPr>
          <w:rFonts w:ascii="Times New Roman" w:hAnsi="Times New Roman"/>
          <w:sz w:val="22"/>
        </w:rPr>
        <w:t xml:space="preserve"> function.</w:t>
      </w:r>
    </w:p>
    <w:p>
      <w:pPr>
        <w:pStyle w:val="Heading2"/>
      </w:pPr>
      <w:r>
        <w:rPr>
          <w:rFonts w:ascii="Times New Roman" w:hAnsi="Times New Roman"/>
          <w:color w:val="000000"/>
        </w:rPr>
        <w:t>4.4 Cost Estimation</w:t>
      </w:r>
    </w:p>
    <w:p>
      <w:r>
        <w:rPr>
          <w:rFonts w:ascii="Times New Roman" w:hAnsi="Times New Roman"/>
          <w:sz w:val="22"/>
        </w:rPr>
        <w:t>Launch cost estimation uses a parametric model based on TRANSCOST principles, combining vehicle database lookups with scaling factors for orbit type, reusability, and flight rate.</w:t>
      </w:r>
    </w:p>
    <w:p>
      <w:pPr>
        <w:pStyle w:val="Heading2"/>
      </w:pPr>
      <w:r>
        <w:rPr>
          <w:rFonts w:ascii="Times New Roman" w:hAnsi="Times New Roman"/>
          <w:color w:val="000000"/>
        </w:rPr>
        <w:t>4.5 Geometry — Tank Sizing</w:t>
      </w:r>
    </w:p>
    <w:p>
      <w:r>
        <w:rPr>
          <w:rFonts w:ascii="Times New Roman" w:hAnsi="Times New Roman"/>
          <w:sz w:val="22"/>
        </w:rPr>
        <w:t>Cylindrical tank dimensions are computed from propellant mass, mixture ratio (oxidizer/fuel), propellant densities, and specified diameter using standard volume–mass relationships.</w:t>
      </w:r>
    </w:p>
    <w:p/>
    <w:p>
      <w:pPr>
        <w:pStyle w:val="Heading1"/>
      </w:pPr>
      <w:r>
        <w:rPr>
          <w:rFonts w:ascii="Times New Roman" w:hAnsi="Times New Roman"/>
          <w:color w:val="000000"/>
        </w:rPr>
        <w:t>5. Methodology — Processing Workflow</w:t>
      </w:r>
    </w:p>
    <w:p>
      <w:r>
        <w:rPr>
          <w:rFonts w:ascii="Times New Roman" w:hAnsi="Times New Roman"/>
          <w:sz w:val="22"/>
        </w:rPr>
        <w:t xml:space="preserve">The system follows a consistent </w:t>
      </w:r>
      <w:r>
        <w:rPr>
          <w:rFonts w:ascii="Times New Roman" w:hAnsi="Times New Roman"/>
          <w:b/>
          <w:sz w:val="22"/>
        </w:rPr>
        <w:t>input → processing → output</w:t>
      </w:r>
      <w:r>
        <w:rPr>
          <w:rFonts w:ascii="Times New Roman" w:hAnsi="Times New Roman"/>
          <w:sz w:val="22"/>
        </w:rPr>
        <w:t xml:space="preserve"> pipeline:</w:t>
      </w:r>
    </w:p>
    <w:p>
      <w:pPr>
        <w:ind w:left="432"/>
      </w:pPr>
      <w:r>
        <w:rPr>
          <w:rFonts w:ascii="Courier New" w:hAnsi="Courier New"/>
          <w:sz w:val="18"/>
        </w:rPr>
        <w:t>User Requirements          Processing Pipeline              Output</w:t>
        <w:br/>
        <w:t>─────────────────         ───────────────────              ──────</w:t>
        <w:br/>
        <w:t>• Destination orbit    →   1. Delta-v budget (trajectory)  → Mission Architecture Report</w:t>
        <w:br/>
        <w:t>• Payload mass (kg)    →   2. Vehicle selection (cost)     → Trade study matrix</w:t>
        <w:br/>
        <w:t>• Constraints          →   3. Staging optimization         → Mass/power budgets</w:t>
        <w:br/>
        <w:t xml:space="preserve">                         4. Tank/fairing sizing (geometry) → Timeline / Gantt chart</w:t>
        <w:br/>
        <w:t xml:space="preserve">                         5. Subsystem budgets (skills)     → JSON for downstream tools</w:t>
      </w:r>
    </w:p>
    <w:p>
      <w:pPr>
        <w:pStyle w:val="Heading2"/>
      </w:pPr>
      <w:r>
        <w:rPr>
          <w:rFonts w:ascii="Times New Roman" w:hAnsi="Times New Roman"/>
          <w:color w:val="000000"/>
        </w:rPr>
        <w:t>5.1 Example Workflow: Mars Mission Design</w:t>
      </w:r>
    </w:p>
    <w:p>
      <w:r>
        <w:rPr>
          <w:rFonts w:ascii="Times New Roman" w:hAnsi="Times New Roman"/>
          <w:b/>
          <w:sz w:val="22"/>
        </w:rPr>
        <w:t>Command:</w:t>
      </w:r>
      <w:r>
        <w:rPr>
          <w:rFonts w:ascii="Times New Roman" w:hAnsi="Times New Roman"/>
          <w:sz w:val="22"/>
        </w:rPr>
        <w:t xml:space="preserve"> </w:t>
      </w:r>
      <w:r>
        <w:rPr>
          <w:rFonts w:ascii="Courier New" w:hAnsi="Courier New"/>
          <w:sz w:val="18"/>
        </w:rPr>
        <w:t>/mission-design Mars 5000</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Tool / Skill</w:t>
            </w:r>
          </w:p>
        </w:tc>
        <w:tc>
          <w:tcPr>
            <w:tcW w:type="dxa" w:w="2880"/>
          </w:tcPr>
          <w:p>
            <w:r>
              <w:t>Action</w:t>
            </w:r>
          </w:p>
        </w:tc>
      </w:tr>
      <w:tr>
        <w:tc>
          <w:tcPr>
            <w:tcW w:type="dxa" w:w="2880"/>
          </w:tcPr>
          <w:p>
            <w:r>
              <w:t>1</w:t>
            </w:r>
          </w:p>
        </w:tc>
        <w:tc>
          <w:tcPr>
            <w:tcW w:type="dxa" w:w="2880"/>
          </w:tcPr>
          <w:p>
            <w:r>
              <w:t>`trajectory.py delta-v-budget`</w:t>
            </w:r>
          </w:p>
        </w:tc>
        <w:tc>
          <w:tcPr>
            <w:tcW w:type="dxa" w:w="2880"/>
          </w:tcPr>
          <w:p>
            <w:r>
              <w:t>Compute LEO → Mars surface Δv (~8.0 km/s)</w:t>
            </w:r>
          </w:p>
        </w:tc>
      </w:tr>
      <w:tr>
        <w:tc>
          <w:tcPr>
            <w:tcW w:type="dxa" w:w="2880"/>
          </w:tcPr>
          <w:p>
            <w:r>
              <w:t>2</w:t>
            </w:r>
          </w:p>
        </w:tc>
        <w:tc>
          <w:tcPr>
            <w:tcW w:type="dxa" w:w="2880"/>
          </w:tcPr>
          <w:p>
            <w:r>
              <w:t>`cost_estimator.py launch`</w:t>
            </w:r>
          </w:p>
        </w:tc>
        <w:tc>
          <w:tcPr>
            <w:tcW w:type="dxa" w:w="2880"/>
          </w:tcPr>
          <w:p>
            <w:r>
              <w:t>Compare Falcon 9, Falcon Heavy, Starship</w:t>
            </w:r>
          </w:p>
        </w:tc>
      </w:tr>
      <w:tr>
        <w:tc>
          <w:tcPr>
            <w:tcW w:type="dxa" w:w="2880"/>
          </w:tcPr>
          <w:p>
            <w:r>
              <w:t>3</w:t>
            </w:r>
          </w:p>
        </w:tc>
        <w:tc>
          <w:tcPr>
            <w:tcW w:type="dxa" w:w="2880"/>
          </w:tcPr>
          <w:p>
            <w:r>
              <w:t>`staging.py optimize`</w:t>
            </w:r>
          </w:p>
        </w:tc>
        <w:tc>
          <w:tcPr>
            <w:tcW w:type="dxa" w:w="2880"/>
          </w:tcPr>
          <w:p>
            <w:r>
              <w:t>Find minimum-GLOW 2-stage configuration</w:t>
            </w:r>
          </w:p>
        </w:tc>
      </w:tr>
      <w:tr>
        <w:tc>
          <w:tcPr>
            <w:tcW w:type="dxa" w:w="2880"/>
          </w:tcPr>
          <w:p>
            <w:r>
              <w:t>4</w:t>
            </w:r>
          </w:p>
        </w:tc>
        <w:tc>
          <w:tcPr>
            <w:tcW w:type="dxa" w:w="2880"/>
          </w:tcPr>
          <w:p>
            <w:r>
              <w:t>`geometry.py tank`</w:t>
            </w:r>
          </w:p>
        </w:tc>
        <w:tc>
          <w:tcPr>
            <w:tcW w:type="dxa" w:w="2880"/>
          </w:tcPr>
          <w:p>
            <w:r>
              <w:t>Size LOX/CH4 tanks for computed propellant mass</w:t>
            </w:r>
          </w:p>
        </w:tc>
      </w:tr>
      <w:tr>
        <w:tc>
          <w:tcPr>
            <w:tcW w:type="dxa" w:w="2880"/>
          </w:tcPr>
          <w:p>
            <w:r>
              <w:t>5</w:t>
            </w:r>
          </w:p>
        </w:tc>
        <w:tc>
          <w:tcPr>
            <w:tcW w:type="dxa" w:w="2880"/>
          </w:tcPr>
          <w:p>
            <w:r>
              <w:t>`mission-architect` skill</w:t>
            </w:r>
          </w:p>
        </w:tc>
        <w:tc>
          <w:tcPr>
            <w:tcW w:type="dxa" w:w="2880"/>
          </w:tcPr>
          <w:p>
            <w:r>
              <w:t>Aggregate mass, power, and data budgets</w:t>
            </w:r>
          </w:p>
        </w:tc>
      </w:tr>
      <w:tr>
        <w:tc>
          <w:tcPr>
            <w:tcW w:type="dxa" w:w="2880"/>
          </w:tcPr>
          <w:p>
            <w:r>
              <w:t>6</w:t>
            </w:r>
          </w:p>
        </w:tc>
        <w:tc>
          <w:tcPr>
            <w:tcW w:type="dxa" w:w="2880"/>
          </w:tcPr>
          <w:p>
            <w:r>
              <w:t>Output</w:t>
            </w:r>
          </w:p>
        </w:tc>
        <w:tc>
          <w:tcPr>
            <w:tcW w:type="dxa" w:w="2880"/>
          </w:tcPr>
          <w:p>
            <w:r>
              <w:t>JSON results + narrative architecture report</w:t>
            </w:r>
          </w:p>
        </w:tc>
      </w:tr>
    </w:tbl>
    <w:p/>
    <w:p>
      <w:pPr>
        <w:pStyle w:val="Heading2"/>
      </w:pPr>
      <w:r>
        <w:rPr>
          <w:rFonts w:ascii="Times New Roman" w:hAnsi="Times New Roman"/>
          <w:color w:val="000000"/>
        </w:rPr>
        <w:t>5.2 Cross-Skill Integration</w:t>
      </w:r>
    </w:p>
    <w:p>
      <w:r>
        <w:rPr>
          <w:rFonts w:ascii="Times New Roman" w:hAnsi="Times New Roman"/>
          <w:sz w:val="22"/>
        </w:rPr>
        <w:t xml:space="preserve">Skills reference each other through explicit connectors defined in </w:t>
      </w:r>
      <w:r>
        <w:rPr>
          <w:rFonts w:ascii="Courier New" w:hAnsi="Courier New"/>
          <w:sz w:val="18"/>
        </w:rPr>
        <w:t>CONNECTORS.md</w:t>
      </w:r>
      <w:r>
        <w:rPr>
          <w:rFonts w:ascii="Times New Roman" w:hAnsi="Times New Roman"/>
          <w:sz w:val="22"/>
        </w:rPr>
        <w:t>:</w:t>
      </w:r>
    </w:p>
    <w:p>
      <w:pPr>
        <w:pStyle w:val="ListBullet"/>
      </w:pPr>
      <w:r>
        <w:rPr>
          <w:rFonts w:ascii="Times New Roman" w:hAnsi="Times New Roman"/>
          <w:b/>
          <w:sz w:val="22"/>
        </w:rPr>
        <w:t>propulsion → orbital-mechanics:</w:t>
      </w:r>
      <w:r>
        <w:rPr>
          <w:rFonts w:ascii="Times New Roman" w:hAnsi="Times New Roman"/>
          <w:sz w:val="22"/>
        </w:rPr>
        <w:t xml:space="preserve"> Transfer delta-v for interplanetary missions</w:t>
      </w:r>
    </w:p>
    <w:p>
      <w:pPr>
        <w:pStyle w:val="ListBullet"/>
      </w:pPr>
      <w:r>
        <w:rPr>
          <w:rFonts w:ascii="Times New Roman" w:hAnsi="Times New Roman"/>
          <w:b/>
          <w:sz w:val="22"/>
        </w:rPr>
        <w:t>mission-architect → all subsystems:</w:t>
      </w:r>
      <w:r>
        <w:rPr>
          <w:rFonts w:ascii="Times New Roman" w:hAnsi="Times New Roman"/>
          <w:sz w:val="22"/>
        </w:rPr>
        <w:t xml:space="preserve"> Aggregated budget compilation</w:t>
      </w:r>
    </w:p>
    <w:p>
      <w:pPr>
        <w:pStyle w:val="ListBullet"/>
      </w:pPr>
      <w:r>
        <w:rPr>
          <w:rFonts w:ascii="Times New Roman" w:hAnsi="Times New Roman"/>
          <w:b/>
          <w:sz w:val="22"/>
        </w:rPr>
        <w:t>satellite-comms → orbital-mechanics:</w:t>
      </w:r>
      <w:r>
        <w:rPr>
          <w:rFonts w:ascii="Times New Roman" w:hAnsi="Times New Roman"/>
          <w:sz w:val="22"/>
        </w:rPr>
        <w:t xml:space="preserve"> Coverage geometry and pass planning</w:t>
      </w:r>
    </w:p>
    <w:p/>
    <w:p>
      <w:pPr>
        <w:pStyle w:val="Heading1"/>
      </w:pPr>
      <w:r>
        <w:rPr>
          <w:rFonts w:ascii="Times New Roman" w:hAnsi="Times New Roman"/>
          <w:color w:val="000000"/>
        </w:rPr>
        <w:t>6. Implementation</w:t>
      </w:r>
    </w:p>
    <w:p>
      <w:pPr>
        <w:pStyle w:val="Heading2"/>
      </w:pPr>
      <w:r>
        <w:rPr>
          <w:rFonts w:ascii="Times New Roman" w:hAnsi="Times New Roman"/>
          <w:color w:val="000000"/>
        </w:rPr>
        <w:t>6.1 Programming Language and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Required?</w:t>
            </w:r>
          </w:p>
        </w:tc>
      </w:tr>
      <w:tr>
        <w:tc>
          <w:tcPr>
            <w:tcW w:type="dxa" w:w="2880"/>
          </w:tcPr>
          <w:p>
            <w:r>
              <w:t>Core calculations</w:t>
            </w:r>
          </w:p>
        </w:tc>
        <w:tc>
          <w:tcPr>
            <w:tcW w:type="dxa" w:w="2880"/>
          </w:tcPr>
          <w:p>
            <w:r>
              <w:t>Python 3 stdlib (`math`, `json`, `argparse`)</w:t>
            </w:r>
          </w:p>
        </w:tc>
        <w:tc>
          <w:tcPr>
            <w:tcW w:type="dxa" w:w="2880"/>
          </w:tcPr>
          <w:p>
            <w:r>
              <w:t>Yes</w:t>
            </w:r>
          </w:p>
        </w:tc>
      </w:tr>
      <w:tr>
        <w:tc>
          <w:tcPr>
            <w:tcW w:type="dxa" w:w="2880"/>
          </w:tcPr>
          <w:p>
            <w:r>
              <w:t>Staging optimization</w:t>
            </w:r>
          </w:p>
        </w:tc>
        <w:tc>
          <w:tcPr>
            <w:tcW w:type="dxa" w:w="2880"/>
          </w:tcPr>
          <w:p>
            <w:r>
              <w:t>SciPy (`scipy.optimize.minimize`, SLSQP)</w:t>
            </w:r>
          </w:p>
        </w:tc>
        <w:tc>
          <w:tcPr>
            <w:tcW w:type="dxa" w:w="2880"/>
          </w:tcPr>
          <w:p>
            <w:r>
              <w:t>Optional</w:t>
            </w:r>
          </w:p>
        </w:tc>
      </w:tr>
      <w:tr>
        <w:tc>
          <w:tcPr>
            <w:tcW w:type="dxa" w:w="2880"/>
          </w:tcPr>
          <w:p>
            <w:r>
              <w:t>Visualization</w:t>
            </w:r>
          </w:p>
        </w:tc>
        <w:tc>
          <w:tcPr>
            <w:tcW w:type="dxa" w:w="2880"/>
          </w:tcPr>
          <w:p>
            <w:r>
              <w:t>Matplotlib</w:t>
            </w:r>
          </w:p>
        </w:tc>
        <w:tc>
          <w:tcPr>
            <w:tcW w:type="dxa" w:w="2880"/>
          </w:tcPr>
          <w:p>
            <w:r>
              <w:t>Optional</w:t>
            </w:r>
          </w:p>
        </w:tc>
      </w:tr>
      <w:tr>
        <w:tc>
          <w:tcPr>
            <w:tcW w:type="dxa" w:w="2880"/>
          </w:tcPr>
          <w:p>
            <w:r>
              <w:t>AI skill layer</w:t>
            </w:r>
          </w:p>
        </w:tc>
        <w:tc>
          <w:tcPr>
            <w:tcW w:type="dxa" w:w="2880"/>
          </w:tcPr>
          <w:p>
            <w:r>
              <w:t>Claude Code Skills API (markdown + YAML frontmatter)</w:t>
            </w:r>
          </w:p>
        </w:tc>
        <w:tc>
          <w:tcPr>
            <w:tcW w:type="dxa" w:w="2880"/>
          </w:tcPr>
          <w:p>
            <w:r>
              <w:t>Runtime</w:t>
            </w:r>
          </w:p>
        </w:tc>
      </w:tr>
      <w:tr>
        <w:tc>
          <w:tcPr>
            <w:tcW w:type="dxa" w:w="2880"/>
          </w:tcPr>
          <w:p>
            <w:r>
              <w:t>Data format</w:t>
            </w:r>
          </w:p>
        </w:tc>
        <w:tc>
          <w:tcPr>
            <w:tcW w:type="dxa" w:w="2880"/>
          </w:tcPr>
          <w:p>
            <w:r>
              <w:t>JSON (tool I/O), YAML (skill metadata)</w:t>
            </w:r>
          </w:p>
        </w:tc>
        <w:tc>
          <w:tcPr>
            <w:tcW w:type="dxa" w:w="2880"/>
          </w:tcPr>
          <w:p>
            <w:r>
              <w:t>Yes</w:t>
            </w:r>
          </w:p>
        </w:tc>
      </w:tr>
    </w:tbl>
    <w:p/>
    <w:p>
      <w:r>
        <w:rPr>
          <w:rFonts w:ascii="Times New Roman" w:hAnsi="Times New Roman"/>
          <w:sz w:val="22"/>
        </w:rPr>
        <w:t xml:space="preserve">Core tools require </w:t>
      </w:r>
      <w:r>
        <w:rPr>
          <w:rFonts w:ascii="Times New Roman" w:hAnsi="Times New Roman"/>
          <w:b/>
          <w:sz w:val="22"/>
        </w:rPr>
        <w:t>zero external dependencies</w:t>
      </w:r>
      <w:r>
        <w:rPr>
          <w:rFonts w:ascii="Times New Roman" w:hAnsi="Times New Roman"/>
          <w:sz w:val="22"/>
        </w:rPr>
        <w:t>; SciPy and Matplotlib extend capability when available.</w:t>
      </w:r>
    </w:p>
    <w:p>
      <w:pPr>
        <w:pStyle w:val="Heading2"/>
      </w:pPr>
      <w:r>
        <w:rPr>
          <w:rFonts w:ascii="Times New Roman" w:hAnsi="Times New Roman"/>
          <w:color w:val="000000"/>
        </w:rPr>
        <w:t>6.2 Repository Structure</w:t>
      </w:r>
    </w:p>
    <w:p>
      <w:pPr>
        <w:ind w:left="432"/>
      </w:pPr>
      <w:r>
        <w:rPr>
          <w:rFonts w:ascii="Courier New" w:hAnsi="Courier New"/>
          <w:sz w:val="18"/>
        </w:rPr>
        <w:t>aerospace-team/</w:t>
        <w:br/>
        <w:t>├── skills/                    # 12 domain expert modules (4,958 lines)</w:t>
        <w:br/>
        <w:t>│   ├── propulsion/SKILL.md</w:t>
        <w:br/>
        <w:t>│   ├── orbital-mechanics/SKILL.md</w:t>
        <w:br/>
        <w:t>│   ├── structural/SKILL.md</w:t>
        <w:br/>
        <w:t>│   ├── thermal/SKILL.md</w:t>
        <w:br/>
        <w:t>│   └── ... (8 more)</w:t>
        <w:br/>
        <w:t>├── shared/</w:t>
        <w:br/>
        <w:t>│   ├── constants.py           # Physics constants</w:t>
        <w:br/>
        <w:t>│   ├── data/vehicles.json     # Launch vehicle database</w:t>
        <w:br/>
        <w:t>│   ├── sync_data.py           # Data freshness checker</w:t>
        <w:br/>
        <w:t>│   └── tools/                 # 6 Python CLI tools (~3,000 lines)</w:t>
        <w:br/>
        <w:t>│       ├── trajectory.py</w:t>
        <w:br/>
        <w:t>│       ├── staging.py</w:t>
        <w:br/>
        <w:t>│       ├── geometry.py</w:t>
        <w:br/>
        <w:t>│       ├── cost_estimator.py</w:t>
        <w:br/>
        <w:t>│       ├── plot.py</w:t>
        <w:br/>
        <w:t>│       └── timeline.py</w:t>
        <w:br/>
        <w:t>├── commands/                  # Workflow orchestrators</w:t>
        <w:br/>
        <w:t>│   ├── mission-design.md</w:t>
        <w:br/>
        <w:t>│   ├── orbit-plan.md</w:t>
        <w:br/>
        <w:t>│   ├── launch-cost.md</w:t>
        <w:br/>
        <w:t>│   ├── link-budget.md</w:t>
        <w:br/>
        <w:t>│   └── vehicle-comparison.md</w:t>
        <w:br/>
        <w:t>├── CONNECTORS.md</w:t>
        <w:br/>
        <w:t>├── README.md</w:t>
        <w:br/>
        <w:t>└── RESEARCH_PAPER.md</w:t>
      </w:r>
    </w:p>
    <w:p>
      <w:r>
        <w:rPr>
          <w:rFonts w:ascii="Times New Roman" w:hAnsi="Times New Roman"/>
          <w:b/>
          <w:sz w:val="22"/>
        </w:rPr>
        <w:t>Total:</w:t>
      </w:r>
      <w:r>
        <w:rPr>
          <w:rFonts w:ascii="Times New Roman" w:hAnsi="Times New Roman"/>
          <w:sz w:val="22"/>
        </w:rPr>
        <w:t xml:space="preserve"> 33 files, ~7,939 lines of code and documentation.</w:t>
      </w:r>
    </w:p>
    <w:p>
      <w:pPr>
        <w:pStyle w:val="Heading2"/>
      </w:pPr>
      <w:r>
        <w:rPr>
          <w:rFonts w:ascii="Times New Roman" w:hAnsi="Times New Roman"/>
          <w:color w:val="000000"/>
        </w:rPr>
        <w:t>6.3 Example Code Snippets</w:t>
      </w:r>
    </w:p>
    <w:p>
      <w:r>
        <w:rPr>
          <w:rFonts w:ascii="Times New Roman" w:hAnsi="Times New Roman"/>
          <w:b/>
          <w:sz w:val="22"/>
        </w:rPr>
        <w:t>Tsiolkovsky rocket equation</w:t>
      </w:r>
      <w:r>
        <w:rPr>
          <w:rFonts w:ascii="Times New Roman" w:hAnsi="Times New Roman"/>
          <w:sz w:val="22"/>
        </w:rPr>
        <w:t xml:space="preserve"> (</w:t>
      </w:r>
      <w:r>
        <w:rPr>
          <w:rFonts w:ascii="Courier New" w:hAnsi="Courier New"/>
          <w:sz w:val="18"/>
        </w:rPr>
        <w:t>shared/tools/trajectory.py</w:t>
      </w:r>
      <w:r>
        <w:rPr>
          <w:rFonts w:ascii="Times New Roman" w:hAnsi="Times New Roman"/>
          <w:sz w:val="22"/>
        </w:rPr>
        <w:t>):</w:t>
      </w:r>
    </w:p>
    <w:p>
      <w:pPr>
        <w:ind w:left="432"/>
      </w:pPr>
      <w:r>
        <w:rPr>
          <w:rFonts w:ascii="Courier New" w:hAnsi="Courier New"/>
          <w:sz w:val="18"/>
        </w:rPr>
        <w:t>def tsiolkovsky(isp, m_initial, m_final):</w:t>
        <w:br/>
        <w:t xml:space="preserve">    """Tsiolkovsky rocket equation: delta-v = Isp * g0 * ln(m_i / m_f)"""</w:t>
        <w:br/>
        <w:t xml:space="preserve">    mass_ratio = m_initial / m_final</w:t>
        <w:br/>
        <w:t xml:space="preserve">    dv = isp * G0 * math.log(mass_ratio)</w:t>
        <w:br/>
        <w:t xml:space="preserve">    return {</w:t>
        <w:br/>
        <w:t xml:space="preserve">        "delta_v_ms": round(dv, 1),</w:t>
        <w:br/>
        <w:t xml:space="preserve">        "delta_v_kms": round(dv / 1000, 3),</w:t>
        <w:br/>
        <w:t xml:space="preserve">        "mass_ratio": round(mass_ratio, 3),</w:t>
        <w:br/>
        <w:t xml:space="preserve">        "propellant_fraction": round(1 - 1/mass_ratio, 4),</w:t>
        <w:br/>
        <w:t xml:space="preserve">    }</w:t>
      </w:r>
    </w:p>
    <w:p>
      <w:r>
        <w:rPr>
          <w:rFonts w:ascii="Times New Roman" w:hAnsi="Times New Roman"/>
          <w:b/>
          <w:sz w:val="22"/>
        </w:rPr>
        <w:t>SLSQP staging optimization objective</w:t>
      </w:r>
      <w:r>
        <w:rPr>
          <w:rFonts w:ascii="Times New Roman" w:hAnsi="Times New Roman"/>
          <w:sz w:val="22"/>
        </w:rPr>
        <w:t xml:space="preserve"> (</w:t>
      </w:r>
      <w:r>
        <w:rPr>
          <w:rFonts w:ascii="Courier New" w:hAnsi="Courier New"/>
          <w:sz w:val="18"/>
        </w:rPr>
        <w:t>shared/tools/staging.py</w:t>
      </w:r>
      <w:r>
        <w:rPr>
          <w:rFonts w:ascii="Times New Roman" w:hAnsi="Times New Roman"/>
          <w:sz w:val="22"/>
        </w:rPr>
        <w:t>):</w:t>
      </w:r>
    </w:p>
    <w:p>
      <w:pPr>
        <w:ind w:left="432"/>
      </w:pPr>
      <w:r>
        <w:rPr>
          <w:rFonts w:ascii="Courier New" w:hAnsi="Courier New"/>
          <w:sz w:val="18"/>
        </w:rPr>
        <w:t>def objective(x):</w:t>
        <w:br/>
        <w:t xml:space="preserve">    dv_split = list(x) + [total_dv_kms - sum(x)]</w:t>
        <w:br/>
        <w:t xml:space="preserve">    if any(dv &lt; 0.1 for dv in dv_split):</w:t>
        <w:br/>
        <w:t xml:space="preserve">        return 1e15  # Penalty for infeasible splits</w:t>
        <w:br/>
        <w:t xml:space="preserve">    glow, _ = _compute_glow(dv_split, isps, sfs, payload_kg)</w:t>
        <w:br/>
        <w:t xml:space="preserve">    return glow</w:t>
        <w:br/>
        <w:br/>
        <w:t>result = minimize(objective, x0, method="SLSQP",</w:t>
        <w:br/>
        <w:t xml:space="preserve">                  bounds=bounds, constraints=constraints)</w:t>
      </w:r>
    </w:p>
    <w:p>
      <w:r>
        <w:rPr>
          <w:rFonts w:ascii="Times New Roman" w:hAnsi="Times New Roman"/>
          <w:b/>
          <w:sz w:val="22"/>
        </w:rPr>
        <w:t>CLI usage:</w:t>
      </w:r>
    </w:p>
    <w:p>
      <w:pPr>
        <w:ind w:left="432"/>
      </w:pPr>
      <w:r>
        <w:rPr>
          <w:rFonts w:ascii="Courier New" w:hAnsi="Courier New"/>
          <w:sz w:val="18"/>
        </w:rPr>
        <w:t>python shared/tools/trajectory.py hohmann Earth Mars</w:t>
        <w:br/>
        <w:t>python shared/tools/staging.py optimize --delta-v 9.4 --stages 2 \</w:t>
        <w:br/>
        <w:t xml:space="preserve">  --isp 282,348 --structural-fraction 0.06,0.08 --payload-kg 22800</w:t>
        <w:br/>
        <w:t>python shared/tools/cost_estimator.py launch --payload-kg 15000 --orbit LEO</w:t>
      </w:r>
    </w:p>
    <w:p/>
    <w:p>
      <w:pPr>
        <w:pStyle w:val="Heading1"/>
      </w:pPr>
      <w:r>
        <w:rPr>
          <w:rFonts w:ascii="Times New Roman" w:hAnsi="Times New Roman"/>
          <w:color w:val="000000"/>
        </w:rPr>
        <w:t>7. Results and Evaluation</w:t>
      </w:r>
    </w:p>
    <w:p>
      <w:pPr>
        <w:pStyle w:val="Heading2"/>
      </w:pPr>
      <w:r>
        <w:rPr>
          <w:rFonts w:ascii="Times New Roman" w:hAnsi="Times New Roman"/>
          <w:color w:val="000000"/>
        </w:rPr>
        <w:t>7.1 Delta-V Budget Validation</w:t>
      </w:r>
    </w:p>
    <w:p>
      <w:r>
        <w:rPr>
          <w:rFonts w:ascii="Times New Roman" w:hAnsi="Times New Roman"/>
          <w:sz w:val="22"/>
        </w:rPr>
        <w:t xml:space="preserve">The </w:t>
      </w:r>
      <w:r>
        <w:rPr>
          <w:rFonts w:ascii="Courier New" w:hAnsi="Courier New"/>
          <w:sz w:val="18"/>
        </w:rPr>
        <w:t>trajectory.py</w:t>
      </w:r>
      <w:r>
        <w:rPr>
          <w:rFonts w:ascii="Times New Roman" w:hAnsi="Times New Roman"/>
          <w:sz w:val="22"/>
        </w:rPr>
        <w:t xml:space="preserve"> delta-v reference table was validated against published NASA/ESA mission design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Mission Segment</w:t>
            </w:r>
          </w:p>
        </w:tc>
        <w:tc>
          <w:tcPr>
            <w:tcW w:type="dxa" w:w="2160"/>
          </w:tcPr>
          <w:p>
            <w:r>
              <w:t>This Work (km/s)</w:t>
            </w:r>
          </w:p>
        </w:tc>
        <w:tc>
          <w:tcPr>
            <w:tcW w:type="dxa" w:w="2160"/>
          </w:tcPr>
          <w:p>
            <w:r>
              <w:t>Reference (km/s)</w:t>
            </w:r>
          </w:p>
        </w:tc>
        <w:tc>
          <w:tcPr>
            <w:tcW w:type="dxa" w:w="2160"/>
          </w:tcPr>
          <w:p>
            <w:r>
              <w:t>Source</w:t>
            </w:r>
          </w:p>
        </w:tc>
      </w:tr>
      <w:tr>
        <w:tc>
          <w:tcPr>
            <w:tcW w:type="dxa" w:w="2160"/>
          </w:tcPr>
          <w:p>
            <w:r>
              <w:t>Surface → LEO (185 km)</w:t>
            </w:r>
          </w:p>
        </w:tc>
        <w:tc>
          <w:tcPr>
            <w:tcW w:type="dxa" w:w="2160"/>
          </w:tcPr>
          <w:p>
            <w:r>
              <w:t>9.4</w:t>
            </w:r>
          </w:p>
        </w:tc>
        <w:tc>
          <w:tcPr>
            <w:tcW w:type="dxa" w:w="2160"/>
          </w:tcPr>
          <w:p>
            <w:r>
              <w:t>9.3–9.5</w:t>
            </w:r>
          </w:p>
        </w:tc>
        <w:tc>
          <w:tcPr>
            <w:tcW w:type="dxa" w:w="2160"/>
          </w:tcPr>
          <w:p>
            <w:r>
              <w:t>NASA SP-8010</w:t>
            </w:r>
          </w:p>
        </w:tc>
      </w:tr>
      <w:tr>
        <w:tc>
          <w:tcPr>
            <w:tcW w:type="dxa" w:w="2160"/>
          </w:tcPr>
          <w:p>
            <w:r>
              <w:t>LEO → GTO</w:t>
            </w:r>
          </w:p>
        </w:tc>
        <w:tc>
          <w:tcPr>
            <w:tcW w:type="dxa" w:w="2160"/>
          </w:tcPr>
          <w:p>
            <w:r>
              <w:t>2.44</w:t>
            </w:r>
          </w:p>
        </w:tc>
        <w:tc>
          <w:tcPr>
            <w:tcW w:type="dxa" w:w="2160"/>
          </w:tcPr>
          <w:p>
            <w:r>
              <w:t>2.44</w:t>
            </w:r>
          </w:p>
        </w:tc>
        <w:tc>
          <w:tcPr>
            <w:tcW w:type="dxa" w:w="2160"/>
          </w:tcPr>
          <w:p>
            <w:r>
              <w:t>Standard</w:t>
            </w:r>
          </w:p>
        </w:tc>
      </w:tr>
      <w:tr>
        <w:tc>
          <w:tcPr>
            <w:tcW w:type="dxa" w:w="2160"/>
          </w:tcPr>
          <w:p>
            <w:r>
              <w:t>LEO → Lunar orbit</w:t>
            </w:r>
          </w:p>
        </w:tc>
        <w:tc>
          <w:tcPr>
            <w:tcW w:type="dxa" w:w="2160"/>
          </w:tcPr>
          <w:p>
            <w:r>
              <w:t>4.04</w:t>
            </w:r>
          </w:p>
        </w:tc>
        <w:tc>
          <w:tcPr>
            <w:tcW w:type="dxa" w:w="2160"/>
          </w:tcPr>
          <w:p>
            <w:r>
              <w:t>3.9–4.1</w:t>
            </w:r>
          </w:p>
        </w:tc>
        <w:tc>
          <w:tcPr>
            <w:tcW w:type="dxa" w:w="2160"/>
          </w:tcPr>
          <w:p>
            <w:r>
              <w:t>Apollo program</w:t>
            </w:r>
          </w:p>
        </w:tc>
      </w:tr>
      <w:tr>
        <w:tc>
          <w:tcPr>
            <w:tcW w:type="dxa" w:w="2160"/>
          </w:tcPr>
          <w:p>
            <w:r>
              <w:t>LEO → Mars transfer</w:t>
            </w:r>
          </w:p>
        </w:tc>
        <w:tc>
          <w:tcPr>
            <w:tcW w:type="dxa" w:w="2160"/>
          </w:tcPr>
          <w:p>
            <w:r>
              <w:t>3.6</w:t>
            </w:r>
          </w:p>
        </w:tc>
        <w:tc>
          <w:tcPr>
            <w:tcW w:type="dxa" w:w="2160"/>
          </w:tcPr>
          <w:p>
            <w:r>
              <w:t>3.5–3.8</w:t>
            </w:r>
          </w:p>
        </w:tc>
        <w:tc>
          <w:tcPr>
            <w:tcW w:type="dxa" w:w="2160"/>
          </w:tcPr>
          <w:p>
            <w:r>
              <w:t>Hohmann minimum</w:t>
            </w:r>
          </w:p>
        </w:tc>
      </w:tr>
      <w:tr>
        <w:tc>
          <w:tcPr>
            <w:tcW w:type="dxa" w:w="2160"/>
          </w:tcPr>
          <w:p>
            <w:r>
              <w:t>LEO → Mars surface</w:t>
            </w:r>
          </w:p>
        </w:tc>
        <w:tc>
          <w:tcPr>
            <w:tcW w:type="dxa" w:w="2160"/>
          </w:tcPr>
          <w:p>
            <w:r>
              <w:t>8.0</w:t>
            </w:r>
          </w:p>
        </w:tc>
        <w:tc>
          <w:tcPr>
            <w:tcW w:type="dxa" w:w="2160"/>
          </w:tcPr>
          <w:p>
            <w:r>
              <w:t>7.8–8.5</w:t>
            </w:r>
          </w:p>
        </w:tc>
        <w:tc>
          <w:tcPr>
            <w:tcW w:type="dxa" w:w="2160"/>
          </w:tcPr>
          <w:p>
            <w:r>
              <w:t>Mars Design Reference</w:t>
            </w:r>
          </w:p>
        </w:tc>
      </w:tr>
    </w:tbl>
    <w:p/>
    <w:p>
      <w:r>
        <w:rPr>
          <w:rFonts w:ascii="Times New Roman" w:hAnsi="Times New Roman"/>
          <w:sz w:val="22"/>
        </w:rPr>
        <w:t>All values fall within accepted engineering margins.</w:t>
      </w:r>
    </w:p>
    <w:p>
      <w:pPr>
        <w:pStyle w:val="Heading2"/>
      </w:pPr>
      <w:r>
        <w:rPr>
          <w:rFonts w:ascii="Times New Roman" w:hAnsi="Times New Roman"/>
          <w:color w:val="000000"/>
        </w:rPr>
        <w:t>7.2 Hohmann Transfer — Earth to Mars</w:t>
      </w:r>
    </w:p>
    <w:p>
      <w:pPr>
        <w:ind w:left="432"/>
      </w:pPr>
      <w:r>
        <w:rPr>
          <w:rFonts w:ascii="Courier New" w:hAnsi="Courier New"/>
          <w:sz w:val="18"/>
        </w:rPr>
        <w:t>$ python shared/tools/trajectory.py hohmann Earth Mars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Computed Value</w:t>
            </w:r>
          </w:p>
        </w:tc>
      </w:tr>
      <w:tr>
        <w:tc>
          <w:tcPr>
            <w:tcW w:type="dxa" w:w="4320"/>
          </w:tcPr>
          <w:p>
            <w:r>
              <w:t>Departure Δv</w:t>
            </w:r>
          </w:p>
        </w:tc>
        <w:tc>
          <w:tcPr>
            <w:tcW w:type="dxa" w:w="4320"/>
          </w:tcPr>
          <w:p>
            <w:r>
              <w:t>2.94 km/s</w:t>
            </w:r>
          </w:p>
        </w:tc>
      </w:tr>
      <w:tr>
        <w:tc>
          <w:tcPr>
            <w:tcW w:type="dxa" w:w="4320"/>
          </w:tcPr>
          <w:p>
            <w:r>
              <w:t>Arrival Δv</w:t>
            </w:r>
          </w:p>
        </w:tc>
        <w:tc>
          <w:tcPr>
            <w:tcW w:type="dxa" w:w="4320"/>
          </w:tcPr>
          <w:p>
            <w:r>
              <w:t>2.10 km/s</w:t>
            </w:r>
          </w:p>
        </w:tc>
      </w:tr>
      <w:tr>
        <w:tc>
          <w:tcPr>
            <w:tcW w:type="dxa" w:w="4320"/>
          </w:tcPr>
          <w:p>
            <w:r>
              <w:t>Total Δv</w:t>
            </w:r>
          </w:p>
        </w:tc>
        <w:tc>
          <w:tcPr>
            <w:tcW w:type="dxa" w:w="4320"/>
          </w:tcPr>
          <w:p>
            <w:r>
              <w:t>5.04 km/s</w:t>
            </w:r>
          </w:p>
        </w:tc>
      </w:tr>
      <w:tr>
        <w:tc>
          <w:tcPr>
            <w:tcW w:type="dxa" w:w="4320"/>
          </w:tcPr>
          <w:p>
            <w:r>
              <w:t>Transfer time</w:t>
            </w:r>
          </w:p>
        </w:tc>
        <w:tc>
          <w:tcPr>
            <w:tcW w:type="dxa" w:w="4320"/>
          </w:tcPr>
          <w:p>
            <w:r>
              <w:t>258.9 days</w:t>
            </w:r>
          </w:p>
        </w:tc>
      </w:tr>
      <w:tr>
        <w:tc>
          <w:tcPr>
            <w:tcW w:type="dxa" w:w="4320"/>
          </w:tcPr>
          <w:p>
            <w:r>
              <w:t>Synodic period</w:t>
            </w:r>
          </w:p>
        </w:tc>
        <w:tc>
          <w:tcPr>
            <w:tcW w:type="dxa" w:w="4320"/>
          </w:tcPr>
          <w:p>
            <w:r>
              <w:t>779.9 days</w:t>
            </w:r>
          </w:p>
        </w:tc>
      </w:tr>
    </w:tbl>
    <w:p/>
    <w:p>
      <w:r>
        <w:rPr>
          <w:rFonts w:ascii="Times New Roman" w:hAnsi="Times New Roman"/>
          <w:sz w:val="22"/>
        </w:rPr>
        <w:t>Results are consistent with standard two-body Hohmann analysis for Earth (a = 1.0 AU) to Mars (a = 1.524 AU).</w:t>
      </w:r>
    </w:p>
    <w:p>
      <w:pPr>
        <w:pStyle w:val="Heading2"/>
      </w:pPr>
      <w:r>
        <w:rPr>
          <w:rFonts w:ascii="Times New Roman" w:hAnsi="Times New Roman"/>
          <w:color w:val="000000"/>
        </w:rPr>
        <w:t>7.3 Staging Optimization Results</w:t>
      </w:r>
    </w:p>
    <w:p>
      <w:r>
        <w:rPr>
          <w:rFonts w:ascii="Times New Roman" w:hAnsi="Times New Roman"/>
          <w:sz w:val="22"/>
        </w:rPr>
        <w:t>Two-stage LEO mission (Δv = 9.4 km/s, payload = 22,800 kg):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Stage 1 Δv</w:t>
            </w:r>
          </w:p>
        </w:tc>
        <w:tc>
          <w:tcPr>
            <w:tcW w:type="dxa" w:w="1728"/>
          </w:tcPr>
          <w:p>
            <w:r>
              <w:t>Stage 2 Δv</w:t>
            </w:r>
          </w:p>
        </w:tc>
        <w:tc>
          <w:tcPr>
            <w:tcW w:type="dxa" w:w="1728"/>
          </w:tcPr>
          <w:p>
            <w:r>
              <w:t>GLOW (kg)</w:t>
            </w:r>
          </w:p>
        </w:tc>
        <w:tc>
          <w:tcPr>
            <w:tcW w:type="dxa" w:w="1728"/>
          </w:tcPr>
          <w:p>
            <w:r>
              <w:t>Payload Fraction</w:t>
            </w:r>
          </w:p>
        </w:tc>
      </w:tr>
      <w:tr>
        <w:tc>
          <w:tcPr>
            <w:tcW w:type="dxa" w:w="1728"/>
          </w:tcPr>
          <w:p>
            <w:r>
              <w:t>Equal split (282/348 s Isp)</w:t>
            </w:r>
          </w:p>
        </w:tc>
        <w:tc>
          <w:tcPr>
            <w:tcW w:type="dxa" w:w="1728"/>
          </w:tcPr>
          <w:p>
            <w:r>
              <w:t>4.70</w:t>
            </w:r>
          </w:p>
        </w:tc>
        <w:tc>
          <w:tcPr>
            <w:tcW w:type="dxa" w:w="1728"/>
          </w:tcPr>
          <w:p>
            <w:r>
              <w:t>4.70</w:t>
            </w:r>
          </w:p>
        </w:tc>
        <w:tc>
          <w:tcPr>
            <w:tcW w:type="dxa" w:w="1728"/>
          </w:tcPr>
          <w:p>
            <w:r>
              <w:t>549,200</w:t>
            </w:r>
          </w:p>
        </w:tc>
        <w:tc>
          <w:tcPr>
            <w:tcW w:type="dxa" w:w="1728"/>
          </w:tcPr>
          <w:p>
            <w:r>
              <w:t>0.0415</w:t>
            </w:r>
          </w:p>
        </w:tc>
      </w:tr>
      <w:tr>
        <w:tc>
          <w:tcPr>
            <w:tcW w:type="dxa" w:w="1728"/>
          </w:tcPr>
          <w:p>
            <w:r>
              <w:t>SLSQP optimized</w:t>
            </w:r>
          </w:p>
        </w:tc>
        <w:tc>
          <w:tcPr>
            <w:tcW w:type="dxa" w:w="1728"/>
          </w:tcPr>
          <w:p>
            <w:r>
              <w:t>5.12</w:t>
            </w:r>
          </w:p>
        </w:tc>
        <w:tc>
          <w:tcPr>
            <w:tcW w:type="dxa" w:w="1728"/>
          </w:tcPr>
          <w:p>
            <w:r>
              <w:t>4.28</w:t>
            </w:r>
          </w:p>
        </w:tc>
        <w:tc>
          <w:tcPr>
            <w:tcW w:type="dxa" w:w="1728"/>
          </w:tcPr>
          <w:p>
            <w:r>
              <w:t>531,800</w:t>
            </w:r>
          </w:p>
        </w:tc>
        <w:tc>
          <w:tcPr>
            <w:tcW w:type="dxa" w:w="1728"/>
          </w:tcPr>
          <w:p>
            <w:r>
              <w:t>0.0429</w:t>
            </w:r>
          </w:p>
        </w:tc>
      </w:tr>
      <w:tr>
        <w:tc>
          <w:tcPr>
            <w:tcW w:type="dxa" w:w="1728"/>
          </w:tcPr>
          <w:p>
            <w:r>
              <w:t>Mass saved</w:t>
            </w:r>
          </w:p>
        </w:tc>
        <w:tc>
          <w:tcPr>
            <w:tcW w:type="dxa" w:w="1728"/>
          </w:tcPr>
          <w:p>
            <w:r>
              <w:t>—</w:t>
            </w:r>
          </w:p>
        </w:tc>
        <w:tc>
          <w:tcPr>
            <w:tcW w:type="dxa" w:w="1728"/>
          </w:tcPr>
          <w:p>
            <w:r>
              <w:t>—</w:t>
            </w:r>
          </w:p>
        </w:tc>
        <w:tc>
          <w:tcPr>
            <w:tcW w:type="dxa" w:w="1728"/>
          </w:tcPr>
          <w:p>
            <w:r>
              <w:t>17,400 kg (3.2%)</w:t>
            </w:r>
          </w:p>
        </w:tc>
        <w:tc>
          <w:tcPr>
            <w:tcW w:type="dxa" w:w="1728"/>
          </w:tcPr>
          <w:p>
            <w:r>
              <w:t>—</w:t>
            </w:r>
          </w:p>
        </w:tc>
      </w:tr>
    </w:tbl>
    <w:p/>
    <w:p>
      <w:r>
        <w:rPr>
          <w:rFonts w:ascii="Times New Roman" w:hAnsi="Times New Roman"/>
          <w:sz w:val="22"/>
        </w:rPr>
        <w:t>Optimization correctly assigns more delta-v to the lower-Isp first stage, reducing total propellant mass.</w:t>
      </w:r>
    </w:p>
    <w:p>
      <w:pPr>
        <w:pStyle w:val="Heading2"/>
      </w:pPr>
      <w:r>
        <w:rPr>
          <w:rFonts w:ascii="Times New Roman" w:hAnsi="Times New Roman"/>
          <w:color w:val="000000"/>
        </w:rPr>
        <w:t>7.4 Launch Cost Comparison</w:t>
      </w:r>
    </w:p>
    <w:p>
      <w:r>
        <w:rPr>
          <w:rFonts w:ascii="Times New Roman" w:hAnsi="Times New Roman"/>
          <w:sz w:val="22"/>
        </w:rPr>
        <w:t>For 15,000 kg payload to LEO: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Vehicle</w:t>
            </w:r>
          </w:p>
        </w:tc>
        <w:tc>
          <w:tcPr>
            <w:tcW w:type="dxa" w:w="2160"/>
          </w:tcPr>
          <w:p>
            <w:r>
              <w:t>Launch Cost ($M)</w:t>
            </w:r>
          </w:p>
        </w:tc>
        <w:tc>
          <w:tcPr>
            <w:tcW w:type="dxa" w:w="2160"/>
          </w:tcPr>
          <w:p>
            <w:r>
              <w:t>Cost per kg ($/kg)</w:t>
            </w:r>
          </w:p>
        </w:tc>
        <w:tc>
          <w:tcPr>
            <w:tcW w:type="dxa" w:w="2160"/>
          </w:tcPr>
          <w:p>
            <w:r>
              <w:t>Reusable</w:t>
            </w:r>
          </w:p>
        </w:tc>
      </w:tr>
      <w:tr>
        <w:tc>
          <w:tcPr>
            <w:tcW w:type="dxa" w:w="2160"/>
          </w:tcPr>
          <w:p>
            <w:r>
              <w:t>Falcon 9</w:t>
            </w:r>
          </w:p>
        </w:tc>
        <w:tc>
          <w:tcPr>
            <w:tcW w:type="dxa" w:w="2160"/>
          </w:tcPr>
          <w:p>
            <w:r>
              <w:t>67</w:t>
            </w:r>
          </w:p>
        </w:tc>
        <w:tc>
          <w:tcPr>
            <w:tcW w:type="dxa" w:w="2160"/>
          </w:tcPr>
          <w:p>
            <w:r>
              <w:t>2,940</w:t>
            </w:r>
          </w:p>
        </w:tc>
        <w:tc>
          <w:tcPr>
            <w:tcW w:type="dxa" w:w="2160"/>
          </w:tcPr>
          <w:p>
            <w:r>
              <w:t>Yes</w:t>
            </w:r>
          </w:p>
        </w:tc>
      </w:tr>
      <w:tr>
        <w:tc>
          <w:tcPr>
            <w:tcW w:type="dxa" w:w="2160"/>
          </w:tcPr>
          <w:p>
            <w:r>
              <w:t>Falcon Heavy</w:t>
            </w:r>
          </w:p>
        </w:tc>
        <w:tc>
          <w:tcPr>
            <w:tcW w:type="dxa" w:w="2160"/>
          </w:tcPr>
          <w:p>
            <w:r>
              <w:t>97</w:t>
            </w:r>
          </w:p>
        </w:tc>
        <w:tc>
          <w:tcPr>
            <w:tcW w:type="dxa" w:w="2160"/>
          </w:tcPr>
          <w:p>
            <w:r>
              <w:t>1,520</w:t>
            </w:r>
          </w:p>
        </w:tc>
        <w:tc>
          <w:tcPr>
            <w:tcW w:type="dxa" w:w="2160"/>
          </w:tcPr>
          <w:p>
            <w:r>
              <w:t>Yes</w:t>
            </w:r>
          </w:p>
        </w:tc>
      </w:tr>
      <w:tr>
        <w:tc>
          <w:tcPr>
            <w:tcW w:type="dxa" w:w="2160"/>
          </w:tcPr>
          <w:p>
            <w:r>
              <w:t>Ariane 6</w:t>
            </w:r>
          </w:p>
        </w:tc>
        <w:tc>
          <w:tcPr>
            <w:tcW w:type="dxa" w:w="2160"/>
          </w:tcPr>
          <w:p>
            <w:r>
              <w:t>115</w:t>
            </w:r>
          </w:p>
        </w:tc>
        <w:tc>
          <w:tcPr>
            <w:tcW w:type="dxa" w:w="2160"/>
          </w:tcPr>
          <w:p>
            <w:r>
              <w:t>7,667</w:t>
            </w:r>
          </w:p>
        </w:tc>
        <w:tc>
          <w:tcPr>
            <w:tcW w:type="dxa" w:w="2160"/>
          </w:tcPr>
          <w:p>
            <w:r>
              <w:t>No</w:t>
            </w:r>
          </w:p>
        </w:tc>
      </w:tr>
      <w:tr>
        <w:tc>
          <w:tcPr>
            <w:tcW w:type="dxa" w:w="2160"/>
          </w:tcPr>
          <w:p>
            <w:r>
              <w:t>Electron</w:t>
            </w:r>
          </w:p>
        </w:tc>
        <w:tc>
          <w:tcPr>
            <w:tcW w:type="dxa" w:w="2160"/>
          </w:tcPr>
          <w:p>
            <w:r>
              <w:t>7.5</w:t>
            </w:r>
          </w:p>
        </w:tc>
        <w:tc>
          <w:tcPr>
            <w:tcW w:type="dxa" w:w="2160"/>
          </w:tcPr>
          <w:p>
            <w:r>
              <w:t>41,667</w:t>
            </w:r>
          </w:p>
        </w:tc>
        <w:tc>
          <w:tcPr>
            <w:tcW w:type="dxa" w:w="2160"/>
          </w:tcPr>
          <w:p>
            <w:r>
              <w:t>No</w:t>
            </w:r>
          </w:p>
        </w:tc>
      </w:tr>
    </w:tbl>
    <w:p/>
    <w:p>
      <w:r>
        <w:rPr>
          <w:rFonts w:ascii="Times New Roman" w:hAnsi="Times New Roman"/>
          <w:sz w:val="22"/>
        </w:rPr>
        <w:t>Vehicle database values sourced from public launch provider data (updated February 2026).</w:t>
      </w:r>
    </w:p>
    <w:p>
      <w:pPr>
        <w:pStyle w:val="Heading2"/>
      </w:pPr>
      <w:r>
        <w:rPr>
          <w:rFonts w:ascii="Times New Roman" w:hAnsi="Times New Roman"/>
          <w:color w:val="000000"/>
        </w:rPr>
        <w:t>7.5 Workflow Integration Test</w:t>
      </w:r>
    </w:p>
    <w:p>
      <w:r>
        <w:rPr>
          <w:rFonts w:ascii="Times New Roman" w:hAnsi="Times New Roman"/>
          <w:sz w:val="22"/>
        </w:rPr>
        <w:t xml:space="preserve">The </w:t>
      </w:r>
      <w:r>
        <w:rPr>
          <w:rFonts w:ascii="Courier New" w:hAnsi="Courier New"/>
          <w:sz w:val="18"/>
        </w:rPr>
        <w:t>/mission-design Mars 5000</w:t>
      </w:r>
      <w:r>
        <w:rPr>
          <w:rFonts w:ascii="Times New Roman" w:hAnsi="Times New Roman"/>
          <w:sz w:val="22"/>
        </w:rPr>
        <w:t xml:space="preserve"> command was executed end-to-end:</w:t>
      </w:r>
    </w:p>
    <w:p>
      <w:pPr>
        <w:pStyle w:val="ListNumber"/>
      </w:pPr>
      <w:r>
        <w:rPr>
          <w:rFonts w:ascii="Times New Roman" w:hAnsi="Times New Roman"/>
          <w:sz w:val="22"/>
        </w:rPr>
        <w:t>Delta-v budget: 8.0 km/s (LEO → Mars surface) ✓</w:t>
      </w:r>
    </w:p>
    <w:p>
      <w:pPr>
        <w:pStyle w:val="ListNumber"/>
      </w:pPr>
      <w:r>
        <w:rPr>
          <w:rFonts w:ascii="Times New Roman" w:hAnsi="Times New Roman"/>
          <w:sz w:val="22"/>
        </w:rPr>
        <w:t>Vehicle selection: Falcon Heavy (16,800 kg Mars capacity) ✓</w:t>
      </w:r>
    </w:p>
    <w:p>
      <w:pPr>
        <w:pStyle w:val="ListNumber"/>
      </w:pPr>
      <w:r>
        <w:rPr>
          <w:rFonts w:ascii="Times New Roman" w:hAnsi="Times New Roman"/>
          <w:sz w:val="22"/>
        </w:rPr>
        <w:t>Staging: 2-stage optimization completed ✓</w:t>
      </w:r>
    </w:p>
    <w:p>
      <w:pPr>
        <w:pStyle w:val="ListNumber"/>
      </w:pPr>
      <w:r>
        <w:rPr>
          <w:rFonts w:ascii="Times New Roman" w:hAnsi="Times New Roman"/>
          <w:sz w:val="22"/>
        </w:rPr>
        <w:t>Tank sizing: LOX/CH4 tanks sized for computed propellant ✓</w:t>
      </w:r>
    </w:p>
    <w:p>
      <w:pPr>
        <w:pStyle w:val="ListNumber"/>
      </w:pPr>
      <w:r>
        <w:rPr>
          <w:rFonts w:ascii="Times New Roman" w:hAnsi="Times New Roman"/>
          <w:sz w:val="22"/>
        </w:rPr>
        <w:t>Output: JSON + narrative report generated ✓</w:t>
      </w:r>
    </w:p>
    <w:p>
      <w:r>
        <w:rPr>
          <w:rFonts w:ascii="Times New Roman" w:hAnsi="Times New Roman"/>
          <w:sz w:val="22"/>
        </w:rPr>
        <w:t>All pipeline stages produced consistent, cross-referenced results.</w:t>
      </w:r>
    </w:p>
    <w:p/>
    <w:p>
      <w:pPr>
        <w:pStyle w:val="Heading1"/>
      </w:pPr>
      <w:r>
        <w:rPr>
          <w:rFonts w:ascii="Times New Roman" w:hAnsi="Times New Roman"/>
          <w:color w:val="000000"/>
        </w:rPr>
        <w:t>8. Discussion</w:t>
      </w:r>
    </w:p>
    <w:p>
      <w:pPr>
        <w:pStyle w:val="Heading2"/>
      </w:pPr>
      <w:r>
        <w:rPr>
          <w:rFonts w:ascii="Times New Roman" w:hAnsi="Times New Roman"/>
          <w:color w:val="000000"/>
        </w:rPr>
        <w:t>8.1 Limitations</w:t>
      </w:r>
    </w:p>
    <w:p>
      <w:pPr>
        <w:pStyle w:val="ListNumber"/>
      </w:pPr>
      <w:r>
        <w:rPr>
          <w:rFonts w:ascii="Times New Roman" w:hAnsi="Times New Roman"/>
          <w:b/>
          <w:sz w:val="22"/>
        </w:rPr>
        <w:t>Two-body orbital mechanics only:</w:t>
      </w:r>
      <w:r>
        <w:rPr>
          <w:rFonts w:ascii="Times New Roman" w:hAnsi="Times New Roman"/>
          <w:sz w:val="22"/>
        </w:rPr>
        <w:t xml:space="preserve"> Hohmann transfers assume patched conics; n-body effects, gravity assists, and low-thrust trajectories are not modeled.</w:t>
      </w:r>
    </w:p>
    <w:p>
      <w:pPr>
        <w:pStyle w:val="ListNumber"/>
      </w:pPr>
      <w:r>
        <w:rPr>
          <w:rFonts w:ascii="Times New Roman" w:hAnsi="Times New Roman"/>
          <w:b/>
          <w:sz w:val="22"/>
        </w:rPr>
        <w:t>No FEM/CFD solvers:</w:t>
      </w:r>
      <w:r>
        <w:rPr>
          <w:rFonts w:ascii="Times New Roman" w:hAnsi="Times New Roman"/>
          <w:sz w:val="22"/>
        </w:rPr>
        <w:t xml:space="preserve"> Structural and thermal analyses are systems-level (margins, energy balance) rather than mesh-based numerical simulation.</w:t>
      </w:r>
    </w:p>
    <w:p>
      <w:pPr>
        <w:pStyle w:val="ListNumber"/>
      </w:pPr>
      <w:r>
        <w:rPr>
          <w:rFonts w:ascii="Times New Roman" w:hAnsi="Times New Roman"/>
          <w:b/>
          <w:sz w:val="22"/>
        </w:rPr>
        <w:t>Parametric cost model:</w:t>
      </w:r>
      <w:r>
        <w:rPr>
          <w:rFonts w:ascii="Times New Roman" w:hAnsi="Times New Roman"/>
          <w:sz w:val="22"/>
        </w:rPr>
        <w:t xml:space="preserve"> Launch costs are database lookups with scaling; detailed TRANSCOST implementation is simplified.</w:t>
      </w:r>
    </w:p>
    <w:p>
      <w:pPr>
        <w:pStyle w:val="ListNumber"/>
      </w:pPr>
      <w:r>
        <w:rPr>
          <w:rFonts w:ascii="Times New Roman" w:hAnsi="Times New Roman"/>
          <w:b/>
          <w:sz w:val="22"/>
        </w:rPr>
        <w:t>AI skill dependency:</w:t>
      </w:r>
      <w:r>
        <w:rPr>
          <w:rFonts w:ascii="Times New Roman" w:hAnsi="Times New Roman"/>
          <w:sz w:val="22"/>
        </w:rPr>
        <w:t xml:space="preserve"> Full workflow requires an AI agent runtime (Claude Code); Python tools operate standalone.</w:t>
      </w:r>
    </w:p>
    <w:p>
      <w:pPr>
        <w:pStyle w:val="Heading2"/>
      </w:pPr>
      <w:r>
        <w:rPr>
          <w:rFonts w:ascii="Times New Roman" w:hAnsi="Times New Roman"/>
          <w:color w:val="000000"/>
        </w:rPr>
        <w:t>8.2 Future Work</w:t>
      </w:r>
    </w:p>
    <w:p>
      <w:pPr>
        <w:pStyle w:val="ListBullet"/>
      </w:pPr>
      <w:r>
        <w:rPr>
          <w:rFonts w:ascii="Times New Roman" w:hAnsi="Times New Roman"/>
          <w:sz w:val="22"/>
        </w:rPr>
        <w:t>Integration with GMAT/OpenMDAO for high-fidelity trajectory propagation</w:t>
      </w:r>
    </w:p>
    <w:p>
      <w:pPr>
        <w:pStyle w:val="ListBullet"/>
      </w:pPr>
      <w:r>
        <w:rPr>
          <w:rFonts w:ascii="Times New Roman" w:hAnsi="Times New Roman"/>
          <w:sz w:val="22"/>
        </w:rPr>
        <w:t>Addition of low-thrust spiral trajectory optimization</w:t>
      </w:r>
    </w:p>
    <w:p>
      <w:pPr>
        <w:pStyle w:val="ListBullet"/>
      </w:pPr>
      <w:r>
        <w:rPr>
          <w:rFonts w:ascii="Times New Roman" w:hAnsi="Times New Roman"/>
          <w:sz w:val="22"/>
        </w:rPr>
        <w:t>Expanded vehicle database with automated web-sourced updates</w:t>
      </w:r>
    </w:p>
    <w:p>
      <w:pPr>
        <w:pStyle w:val="ListBullet"/>
      </w:pPr>
      <w:r>
        <w:rPr>
          <w:rFonts w:ascii="Times New Roman" w:hAnsi="Times New Roman"/>
          <w:sz w:val="22"/>
        </w:rPr>
        <w:t>Formal validation suite with regression tests against reference missions</w:t>
      </w:r>
    </w:p>
    <w:p>
      <w:pPr>
        <w:pStyle w:val="ListBullet"/>
      </w:pPr>
      <w:r>
        <w:rPr>
          <w:rFonts w:ascii="Times New Roman" w:hAnsi="Times New Roman"/>
          <w:sz w:val="22"/>
        </w:rPr>
        <w:t>Web-based UI for non-CLI users</w:t>
      </w:r>
    </w:p>
    <w:p/>
    <w:p>
      <w:pPr>
        <w:pStyle w:val="Heading1"/>
      </w:pPr>
      <w:r>
        <w:rPr>
          <w:rFonts w:ascii="Times New Roman" w:hAnsi="Times New Roman"/>
          <w:color w:val="000000"/>
        </w:rPr>
        <w:t>9. Conclusion</w:t>
      </w:r>
    </w:p>
    <w:p>
      <w:r>
        <w:rPr>
          <w:rFonts w:ascii="Times New Roman" w:hAnsi="Times New Roman"/>
          <w:sz w:val="22"/>
        </w:rPr>
        <w:t>The Space Engineering Pack demonstrates that AI-augmented space systems engineering is feasible when domain knowledge is structured into verified skill modules backed by deterministic computational tools. The three-layer architecture (skills, tools, data) enables rapid preliminary mission design while maintaining reproducibility through JSON-structured outputs and published reference data. Evaluation against standard delta-v budgets and staging optimization benchmarks confirms the accuracy of core algorithms. The open-source release at https://github.com/quadratic1518/aerospace-team provides a foundation for further research in AI-assisted aerospace engineering workflows.</w:t>
      </w:r>
    </w:p>
    <w:p/>
    <w:p>
      <w:pPr>
        <w:pStyle w:val="Heading1"/>
      </w:pPr>
      <w:r>
        <w:rPr>
          <w:rFonts w:ascii="Times New Roman" w:hAnsi="Times New Roman"/>
          <w:color w:val="000000"/>
        </w:rPr>
        <w:t>References</w:t>
      </w:r>
    </w:p>
    <w:p>
      <w:pPr>
        <w:pStyle w:val="ListNumber"/>
      </w:pPr>
      <w:r>
        <w:rPr>
          <w:rFonts w:ascii="Times New Roman" w:hAnsi="Times New Roman"/>
          <w:sz w:val="22"/>
        </w:rPr>
        <w:t xml:space="preserve">Tsiolkovsky, K. E. (1903). </w:t>
      </w:r>
      <w:r>
        <w:rPr>
          <w:rFonts w:ascii="Times New Roman" w:hAnsi="Times New Roman"/>
          <w:i/>
          <w:sz w:val="22"/>
        </w:rPr>
        <w:t>Exploration of Outer Space by Means of Rocket Devices.</w:t>
      </w:r>
    </w:p>
    <w:p>
      <w:pPr>
        <w:pStyle w:val="ListNumber"/>
      </w:pPr>
      <w:r>
        <w:rPr>
          <w:rFonts w:ascii="Times New Roman" w:hAnsi="Times New Roman"/>
          <w:sz w:val="22"/>
        </w:rPr>
        <w:t xml:space="preserve">Hohmann, W. (1925). </w:t>
      </w:r>
      <w:r>
        <w:rPr>
          <w:rFonts w:ascii="Times New Roman" w:hAnsi="Times New Roman"/>
          <w:i/>
          <w:sz w:val="22"/>
        </w:rPr>
        <w:t>Die Erreichbarkeit der Himmelskörper.</w:t>
      </w:r>
      <w:r>
        <w:rPr>
          <w:rFonts w:ascii="Times New Roman" w:hAnsi="Times New Roman"/>
          <w:sz w:val="22"/>
        </w:rPr>
        <w:t xml:space="preserve"> Oldenbourg.</w:t>
      </w:r>
    </w:p>
    <w:p>
      <w:pPr>
        <w:pStyle w:val="ListNumber"/>
      </w:pPr>
      <w:r>
        <w:rPr>
          <w:rFonts w:ascii="Times New Roman" w:hAnsi="Times New Roman"/>
          <w:sz w:val="22"/>
        </w:rPr>
        <w:t xml:space="preserve">NASA SP-8010 (1969). </w:t>
      </w:r>
      <w:r>
        <w:rPr>
          <w:rFonts w:ascii="Times New Roman" w:hAnsi="Times New Roman"/>
          <w:i/>
          <w:sz w:val="22"/>
        </w:rPr>
        <w:t>Modern Engineering for Design of Liquid-Propellant Rocket Engines.</w:t>
      </w:r>
    </w:p>
    <w:p>
      <w:pPr>
        <w:pStyle w:val="ListNumber"/>
      </w:pPr>
      <w:r>
        <w:rPr>
          <w:rFonts w:ascii="Times New Roman" w:hAnsi="Times New Roman"/>
          <w:sz w:val="22"/>
        </w:rPr>
        <w:t xml:space="preserve">NASA NTRS (2009). </w:t>
      </w:r>
      <w:r>
        <w:rPr>
          <w:rFonts w:ascii="Times New Roman" w:hAnsi="Times New Roman"/>
          <w:i/>
          <w:sz w:val="22"/>
        </w:rPr>
        <w:t>General Mission Analysis Tool (GMAT) User Guide.</w:t>
      </w:r>
    </w:p>
    <w:p>
      <w:pPr>
        <w:pStyle w:val="ListNumber"/>
      </w:pPr>
      <w:r>
        <w:rPr>
          <w:rFonts w:ascii="Times New Roman" w:hAnsi="Times New Roman"/>
          <w:sz w:val="22"/>
        </w:rPr>
        <w:t xml:space="preserve">Koelle, H. H. (1987). </w:t>
      </w:r>
      <w:r>
        <w:rPr>
          <w:rFonts w:ascii="Times New Roman" w:hAnsi="Times New Roman"/>
          <w:i/>
          <w:sz w:val="22"/>
        </w:rPr>
        <w:t>TRANSCOST: A Parametric Cost Model for Launch Vehicles.</w:t>
      </w:r>
    </w:p>
    <w:p>
      <w:pPr>
        <w:pStyle w:val="ListNumber"/>
      </w:pPr>
      <w:r>
        <w:rPr>
          <w:rFonts w:ascii="Times New Roman" w:hAnsi="Times New Roman"/>
          <w:sz w:val="22"/>
        </w:rPr>
        <w:t xml:space="preserve">Anthropic (2025). </w:t>
      </w:r>
      <w:r>
        <w:rPr>
          <w:rFonts w:ascii="Times New Roman" w:hAnsi="Times New Roman"/>
          <w:i/>
          <w:sz w:val="22"/>
        </w:rPr>
        <w:t>Claude Code Skills Documentation.</w:t>
      </w:r>
    </w:p>
    <w:p>
      <w:pPr>
        <w:pStyle w:val="ListNumber"/>
      </w:pPr>
      <w:r>
        <w:rPr>
          <w:rFonts w:ascii="Times New Roman" w:hAnsi="Times New Roman"/>
          <w:sz w:val="22"/>
        </w:rPr>
        <w:t xml:space="preserve">IDEAMAX Skills Factory (2026). </w:t>
      </w:r>
      <w:r>
        <w:rPr>
          <w:rFonts w:ascii="Times New Roman" w:hAnsi="Times New Roman"/>
          <w:i/>
          <w:sz w:val="22"/>
        </w:rPr>
        <w:t>Space Engineering Pack v1.0.</w:t>
      </w:r>
      <w:r>
        <w:rPr>
          <w:rFonts w:ascii="Times New Roman" w:hAnsi="Times New Roman"/>
          <w:sz w:val="22"/>
        </w:rPr>
        <w:t xml:space="preserve"> https://github.com/devideamax/aerospace-team</w:t>
      </w:r>
    </w:p>
    <w:p>
      <w:pPr>
        <w:pStyle w:val="ListNumber"/>
      </w:pPr>
      <w:r>
        <w:rPr>
          <w:rFonts w:ascii="Times New Roman" w:hAnsi="Times New Roman"/>
          <w:sz w:val="22"/>
        </w:rPr>
        <w:t xml:space="preserve">Curtis, H. D. (2013). </w:t>
      </w:r>
      <w:r>
        <w:rPr>
          <w:rFonts w:ascii="Times New Roman" w:hAnsi="Times New Roman"/>
          <w:i/>
          <w:sz w:val="22"/>
        </w:rPr>
        <w:t>Orbital Mechanics for Engineering Students.</w:t>
      </w:r>
      <w:r>
        <w:rPr>
          <w:rFonts w:ascii="Times New Roman" w:hAnsi="Times New Roman"/>
          <w:sz w:val="22"/>
        </w:rPr>
        <w:t xml:space="preserve"> 3rd ed. Butterworth-Heinemann.</w:t>
      </w:r>
    </w:p>
    <w:p>
      <w:pPr>
        <w:pStyle w:val="ListNumber"/>
      </w:pPr>
      <w:r>
        <w:rPr>
          <w:rFonts w:ascii="Times New Roman" w:hAnsi="Times New Roman"/>
          <w:sz w:val="22"/>
        </w:rPr>
        <w:t xml:space="preserve">Wertz, J. R., &amp; Larson, W. J. (1996). </w:t>
      </w:r>
      <w:r>
        <w:rPr>
          <w:rFonts w:ascii="Times New Roman" w:hAnsi="Times New Roman"/>
          <w:i/>
          <w:sz w:val="22"/>
        </w:rPr>
        <w:t>Space Mission Analysis and Design.</w:t>
      </w:r>
      <w:r>
        <w:rPr>
          <w:rFonts w:ascii="Times New Roman" w:hAnsi="Times New Roman"/>
          <w:sz w:val="22"/>
        </w:rPr>
        <w:t xml:space="preserve"> 3rd ed. Microcosm Press.</w:t>
      </w:r>
    </w:p>
    <w:p>
      <w:pPr>
        <w:pStyle w:val="ListNumber"/>
      </w:pPr>
      <w:r>
        <w:rPr>
          <w:rFonts w:ascii="Times New Roman" w:hAnsi="Times New Roman"/>
          <w:sz w:val="22"/>
        </w:rPr>
        <w:t xml:space="preserve">Sutton, G. P., &amp; Biblarz, O. (2016). </w:t>
      </w:r>
      <w:r>
        <w:rPr>
          <w:rFonts w:ascii="Times New Roman" w:hAnsi="Times New Roman"/>
          <w:i/>
          <w:sz w:val="22"/>
        </w:rPr>
        <w:t>Rocket Propulsion Elements.</w:t>
      </w:r>
      <w:r>
        <w:rPr>
          <w:rFonts w:ascii="Times New Roman" w:hAnsi="Times New Roman"/>
          <w:sz w:val="22"/>
        </w:rPr>
        <w:t xml:space="preserve"> 9th ed. Wiley.</w:t>
      </w:r>
    </w:p>
    <w:p/>
    <w:p>
      <w:pPr>
        <w:pStyle w:val="Heading1"/>
      </w:pPr>
      <w:r>
        <w:rPr>
          <w:rFonts w:ascii="Times New Roman" w:hAnsi="Times New Roman"/>
          <w:color w:val="000000"/>
        </w:rPr>
        <w:t>Appendix A: Skill Module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Skill</w:t>
            </w:r>
          </w:p>
        </w:tc>
        <w:tc>
          <w:tcPr>
            <w:tcW w:type="dxa" w:w="2880"/>
          </w:tcPr>
          <w:p>
            <w:r>
              <w:t>Lines</w:t>
            </w:r>
          </w:p>
        </w:tc>
        <w:tc>
          <w:tcPr>
            <w:tcW w:type="dxa" w:w="2880"/>
          </w:tcPr>
          <w:p>
            <w:r>
              <w:t>Key Equations / Topics</w:t>
            </w:r>
          </w:p>
        </w:tc>
      </w:tr>
      <w:tr>
        <w:tc>
          <w:tcPr>
            <w:tcW w:type="dxa" w:w="2880"/>
          </w:tcPr>
          <w:p>
            <w:r>
              <w:t>propulsion</w:t>
            </w:r>
          </w:p>
        </w:tc>
        <w:tc>
          <w:tcPr>
            <w:tcW w:type="dxa" w:w="2880"/>
          </w:tcPr>
          <w:p>
            <w:r>
              <w:t>299</w:t>
            </w:r>
          </w:p>
        </w:tc>
        <w:tc>
          <w:tcPr>
            <w:tcW w:type="dxa" w:w="2880"/>
          </w:tcPr>
          <w:p>
            <w:r>
              <w:t>Tsiolkovsky, staging, engine selection</w:t>
            </w:r>
          </w:p>
        </w:tc>
      </w:tr>
      <w:tr>
        <w:tc>
          <w:tcPr>
            <w:tcW w:type="dxa" w:w="2880"/>
          </w:tcPr>
          <w:p>
            <w:r>
              <w:t>orbital-mechanics</w:t>
            </w:r>
          </w:p>
        </w:tc>
        <w:tc>
          <w:tcPr>
            <w:tcW w:type="dxa" w:w="2880"/>
          </w:tcPr>
          <w:p>
            <w:r>
              <w:t>347</w:t>
            </w:r>
          </w:p>
        </w:tc>
        <w:tc>
          <w:tcPr>
            <w:tcW w:type="dxa" w:w="2880"/>
          </w:tcPr>
          <w:p>
            <w:r>
              <w:t>Hohmann, vis-viva, launch windows</w:t>
            </w:r>
          </w:p>
        </w:tc>
      </w:tr>
      <w:tr>
        <w:tc>
          <w:tcPr>
            <w:tcW w:type="dxa" w:w="2880"/>
          </w:tcPr>
          <w:p>
            <w:r>
              <w:t>structural</w:t>
            </w:r>
          </w:p>
        </w:tc>
        <w:tc>
          <w:tcPr>
            <w:tcW w:type="dxa" w:w="2880"/>
          </w:tcPr>
          <w:p>
            <w:r>
              <w:t>372</w:t>
            </w:r>
          </w:p>
        </w:tc>
        <w:tc>
          <w:tcPr>
            <w:tcW w:type="dxa" w:w="2880"/>
          </w:tcPr>
          <w:p>
            <w:r>
              <w:t>Safety factors, loads, materials</w:t>
            </w:r>
          </w:p>
        </w:tc>
      </w:tr>
      <w:tr>
        <w:tc>
          <w:tcPr>
            <w:tcW w:type="dxa" w:w="2880"/>
          </w:tcPr>
          <w:p>
            <w:r>
              <w:t>thermal</w:t>
            </w:r>
          </w:p>
        </w:tc>
        <w:tc>
          <w:tcPr>
            <w:tcW w:type="dxa" w:w="2880"/>
          </w:tcPr>
          <w:p>
            <w:r>
              <w:t>485</w:t>
            </w:r>
          </w:p>
        </w:tc>
        <w:tc>
          <w:tcPr>
            <w:tcW w:type="dxa" w:w="2880"/>
          </w:tcPr>
          <w:p>
            <w:r>
              <w:t>Stefan–Boltzmann, radiator sizing, TPS</w:t>
            </w:r>
          </w:p>
        </w:tc>
      </w:tr>
      <w:tr>
        <w:tc>
          <w:tcPr>
            <w:tcW w:type="dxa" w:w="2880"/>
          </w:tcPr>
          <w:p>
            <w:r>
              <w:t>satellite-comms</w:t>
            </w:r>
          </w:p>
        </w:tc>
        <w:tc>
          <w:tcPr>
            <w:tcW w:type="dxa" w:w="2880"/>
          </w:tcPr>
          <w:p>
            <w:r>
              <w:t>386</w:t>
            </w:r>
          </w:p>
        </w:tc>
        <w:tc>
          <w:tcPr>
            <w:tcW w:type="dxa" w:w="2880"/>
          </w:tcPr>
          <w:p>
            <w:r>
              <w:t>Link budget, FSPL, antenna gain</w:t>
            </w:r>
          </w:p>
        </w:tc>
      </w:tr>
      <w:tr>
        <w:tc>
          <w:tcPr>
            <w:tcW w:type="dxa" w:w="2880"/>
          </w:tcPr>
          <w:p>
            <w:r>
              <w:t>power-systems</w:t>
            </w:r>
          </w:p>
        </w:tc>
        <w:tc>
          <w:tcPr>
            <w:tcW w:type="dxa" w:w="2880"/>
          </w:tcPr>
          <w:p>
            <w:r>
              <w:t>428</w:t>
            </w:r>
          </w:p>
        </w:tc>
        <w:tc>
          <w:tcPr>
            <w:tcW w:type="dxa" w:w="2880"/>
          </w:tcPr>
          <w:p>
            <w:r>
              <w:t>Solar array sizing, battery depth-of-discharge</w:t>
            </w:r>
          </w:p>
        </w:tc>
      </w:tr>
      <w:tr>
        <w:tc>
          <w:tcPr>
            <w:tcW w:type="dxa" w:w="2880"/>
          </w:tcPr>
          <w:p>
            <w:r>
              <w:t>gnc</w:t>
            </w:r>
          </w:p>
        </w:tc>
        <w:tc>
          <w:tcPr>
            <w:tcW w:type="dxa" w:w="2880"/>
          </w:tcPr>
          <w:p>
            <w:r>
              <w:t>456</w:t>
            </w:r>
          </w:p>
        </w:tc>
        <w:tc>
          <w:tcPr>
            <w:tcW w:type="dxa" w:w="2880"/>
          </w:tcPr>
          <w:p>
            <w:r>
              <w:t>Pointing budgets, sensor/actuator selection</w:t>
            </w:r>
          </w:p>
        </w:tc>
      </w:tr>
      <w:tr>
        <w:tc>
          <w:tcPr>
            <w:tcW w:type="dxa" w:w="2880"/>
          </w:tcPr>
          <w:p>
            <w:r>
              <w:t>payload-specialist</w:t>
            </w:r>
          </w:p>
        </w:tc>
        <w:tc>
          <w:tcPr>
            <w:tcW w:type="dxa" w:w="2880"/>
          </w:tcPr>
          <w:p>
            <w:r>
              <w:t>470</w:t>
            </w:r>
          </w:p>
        </w:tc>
        <w:tc>
          <w:tcPr>
            <w:tcW w:type="dxa" w:w="2880"/>
          </w:tcPr>
          <w:p>
            <w:r>
              <w:t>GSD, SNR, data rate calculations</w:t>
            </w:r>
          </w:p>
        </w:tc>
      </w:tr>
      <w:tr>
        <w:tc>
          <w:tcPr>
            <w:tcW w:type="dxa" w:w="2880"/>
          </w:tcPr>
          <w:p>
            <w:r>
              <w:t>mission-architect</w:t>
            </w:r>
          </w:p>
        </w:tc>
        <w:tc>
          <w:tcPr>
            <w:tcW w:type="dxa" w:w="2880"/>
          </w:tcPr>
          <w:p>
            <w:r>
              <w:t>517</w:t>
            </w:r>
          </w:p>
        </w:tc>
        <w:tc>
          <w:tcPr>
            <w:tcW w:type="dxa" w:w="2880"/>
          </w:tcPr>
          <w:p>
            <w:r>
              <w:t>Mass/power/data budget aggregation</w:t>
            </w:r>
          </w:p>
        </w:tc>
      </w:tr>
      <w:tr>
        <w:tc>
          <w:tcPr>
            <w:tcW w:type="dxa" w:w="2880"/>
          </w:tcPr>
          <w:p>
            <w:r>
              <w:t>ground-systems</w:t>
            </w:r>
          </w:p>
        </w:tc>
        <w:tc>
          <w:tcPr>
            <w:tcW w:type="dxa" w:w="2880"/>
          </w:tcPr>
          <w:p>
            <w:r>
              <w:t>407</w:t>
            </w:r>
          </w:p>
        </w:tc>
        <w:tc>
          <w:tcPr>
            <w:tcW w:type="dxa" w:w="2880"/>
          </w:tcPr>
          <w:p>
            <w:r>
              <w:t>Pass planning, telemetry rates</w:t>
            </w:r>
          </w:p>
        </w:tc>
      </w:tr>
      <w:tr>
        <w:tc>
          <w:tcPr>
            <w:tcW w:type="dxa" w:w="2880"/>
          </w:tcPr>
          <w:p>
            <w:r>
              <w:t>launch-operations</w:t>
            </w:r>
          </w:p>
        </w:tc>
        <w:tc>
          <w:tcPr>
            <w:tcW w:type="dxa" w:w="2880"/>
          </w:tcPr>
          <w:p>
            <w:r>
              <w:t>405</w:t>
            </w:r>
          </w:p>
        </w:tc>
        <w:tc>
          <w:tcPr>
            <w:tcW w:type="dxa" w:w="2880"/>
          </w:tcPr>
          <w:p>
            <w:r>
              <w:t>Countdown, range safety, adapters</w:t>
            </w:r>
          </w:p>
        </w:tc>
      </w:tr>
      <w:tr>
        <w:tc>
          <w:tcPr>
            <w:tcW w:type="dxa" w:w="2880"/>
          </w:tcPr>
          <w:p>
            <w:r>
              <w:t>space-environment</w:t>
            </w:r>
          </w:p>
        </w:tc>
        <w:tc>
          <w:tcPr>
            <w:tcW w:type="dxa" w:w="2880"/>
          </w:tcPr>
          <w:p>
            <w:r>
              <w:t>386</w:t>
            </w:r>
          </w:p>
        </w:tc>
        <w:tc>
          <w:tcPr>
            <w:tcW w:type="dxa" w:w="2880"/>
          </w:tcPr>
          <w:p>
            <w:r>
              <w:t>Radiation belts, debris flux, drag</w:t>
            </w:r>
          </w:p>
        </w:tc>
      </w:tr>
    </w:tbl>
    <w:p/>
    <w:p>
      <w:r>
        <w:rPr>
          <w:rFonts w:ascii="Times New Roman" w:hAnsi="Times New Roman"/>
          <w:b/>
          <w:sz w:val="22"/>
        </w:rPr>
        <w:t>Total skill content:</w:t>
      </w:r>
      <w:r>
        <w:rPr>
          <w:rFonts w:ascii="Times New Roman" w:hAnsi="Times New Roman"/>
          <w:sz w:val="22"/>
        </w:rPr>
        <w:t xml:space="preserve"> 4,958 lines across 12 modules.</w:t>
      </w:r>
    </w:p>
    <w:p>
      <w:pPr>
        <w:pStyle w:val="Heading1"/>
      </w:pPr>
      <w:r>
        <w:rPr>
          <w:rFonts w:ascii="Times New Roman" w:hAnsi="Times New Roman"/>
          <w:color w:val="000000"/>
        </w:rPr>
        <w:t>Appendix B: Reproducibility</w:t>
      </w:r>
    </w:p>
    <w:p>
      <w:r>
        <w:rPr>
          <w:rFonts w:ascii="Times New Roman" w:hAnsi="Times New Roman"/>
          <w:sz w:val="22"/>
        </w:rPr>
        <w:t>All results in Section 7 can be reproduced with:</w:t>
      </w:r>
    </w:p>
    <w:p>
      <w:pPr>
        <w:ind w:left="432"/>
      </w:pPr>
      <w:r>
        <w:rPr>
          <w:rFonts w:ascii="Courier New" w:hAnsi="Courier New"/>
          <w:sz w:val="18"/>
        </w:rPr>
        <w:t>git clone https://github.com/quadratic1518/aerospace-team.git</w:t>
        <w:br/>
        <w:t>cd aerospace-team</w:t>
        <w:br/>
        <w:br/>
        <w:t># Delta-v validation</w:t>
        <w:br/>
        <w:t>python shared/tools/trajectory.py delta-v-budget LEO</w:t>
        <w:br/>
        <w:t>python shared/tools/trajectory.py hohmann Earth Mars</w:t>
        <w:br/>
        <w:br/>
        <w:t># Staging optimization</w:t>
        <w:br/>
        <w:t>python shared/tools/staging.py optimize --delta-v 9.4 --stages 2 \</w:t>
        <w:br/>
        <w:t xml:space="preserve">  --isp 282,348 --structural-fraction 0.06,0.08 --payload-kg 22800</w:t>
        <w:br/>
        <w:br/>
        <w:t># Cost comparison</w:t>
        <w:br/>
        <w:t>python shared/tools/cost_estimator.py compare --vehicles falcon9 falcon_heavy ariane6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