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0F172A"/>
          <w:sz w:val="88"/>
        </w:rPr>
        <w:t>QUAD360</w:t>
      </w:r>
    </w:p>
    <w:p>
      <w:pPr>
        <w:jc w:val="center"/>
      </w:pPr>
      <w:r>
        <w:rPr>
          <w:i/>
          <w:color w:val="3B82F6"/>
          <w:sz w:val="26"/>
        </w:rPr>
        <w:t>The Financial Operating System for African SMEs</w:t>
      </w:r>
    </w:p>
    <w:p/>
    <w:p>
      <w:pPr>
        <w:pBdr>
          <w:bottom w:val="single" w:sz="6" w:space="4" w:color="D4AF37"/>
        </w:pBdr>
        <w:spacing w:after="200" w:before="80"/>
      </w:pPr>
    </w:p>
    <w:p>
      <w:pPr>
        <w:spacing w:before="400"/>
        <w:jc w:val="center"/>
      </w:pPr>
      <w:r>
        <w:rPr>
          <w:b/>
          <w:color w:val="0F172A"/>
          <w:sz w:val="44"/>
        </w:rPr>
        <w:t>STRATEGIC PARTNERSHIP PROPOSAL</w:t>
      </w:r>
    </w:p>
    <w:p>
      <w:pPr>
        <w:jc w:val="center"/>
      </w:pPr>
      <w:r>
        <w:rPr>
          <w:color w:val="1E293B"/>
          <w:sz w:val="24"/>
        </w:rPr>
        <w:t>Submitted to Zenith Bank PLC — SME Banking Division</w:t>
      </w:r>
    </w:p>
    <w:p/>
    <w:p/>
    <w:tbl>
      <w:tblPr>
        <w:tblW w:type="auto" w:w="0"/>
        <w:jc w:val="center"/>
        <w:tblLook w:firstColumn="1" w:firstRow="1" w:lastColumn="0" w:lastRow="0" w:noHBand="0" w:noVBand="1" w:val="04A0"/>
      </w:tblPr>
      <w:tblGrid>
        <w:gridCol w:w="2351"/>
        <w:gridCol w:w="2351"/>
        <w:gridCol w:w="2351"/>
        <w:gridCol w:w="2351"/>
      </w:tblGrid>
      <w:tr>
        <w:tc>
          <w:tcPr>
            <w:tcW w:type="dxa" w:w="2351"/>
            <w:shd w:val="clear" w:color="auto" w:fill="0f172a"/>
            <w:vAlign w:val="center"/>
          </w:tcPr>
          <w:p>
            <w:pPr>
              <w:jc w:val="center"/>
            </w:pPr>
            <w:r>
              <w:rPr>
                <w:b/>
                <w:color w:val="D4AF37"/>
                <w:sz w:val="40"/>
              </w:rPr>
              <w:t>$331B</w:t>
            </w:r>
          </w:p>
        </w:tc>
        <w:tc>
          <w:tcPr>
            <w:tcW w:type="dxa" w:w="2351"/>
            <w:shd w:val="clear" w:color="auto" w:fill="0f172a"/>
            <w:vAlign w:val="center"/>
          </w:tcPr>
          <w:p>
            <w:pPr>
              <w:jc w:val="center"/>
            </w:pPr>
            <w:r>
              <w:rPr>
                <w:b/>
                <w:color w:val="D4AF37"/>
                <w:sz w:val="40"/>
              </w:rPr>
              <w:t>90%+</w:t>
            </w:r>
          </w:p>
        </w:tc>
        <w:tc>
          <w:tcPr>
            <w:tcW w:type="dxa" w:w="2351"/>
            <w:shd w:val="clear" w:color="auto" w:fill="0f172a"/>
            <w:vAlign w:val="center"/>
          </w:tcPr>
          <w:p>
            <w:pPr>
              <w:jc w:val="center"/>
            </w:pPr>
            <w:r>
              <w:rPr>
                <w:b/>
                <w:color w:val="D4AF37"/>
                <w:sz w:val="40"/>
              </w:rPr>
              <w:t>74%</w:t>
            </w:r>
          </w:p>
        </w:tc>
        <w:tc>
          <w:tcPr>
            <w:tcW w:type="dxa" w:w="2351"/>
            <w:shd w:val="clear" w:color="auto" w:fill="0f172a"/>
            <w:vAlign w:val="center"/>
          </w:tcPr>
          <w:p>
            <w:pPr>
              <w:jc w:val="center"/>
            </w:pPr>
            <w:r>
              <w:rPr>
                <w:b/>
                <w:color w:val="D4AF37"/>
                <w:sz w:val="40"/>
              </w:rPr>
              <w:t>₦4.3B</w:t>
            </w:r>
          </w:p>
        </w:tc>
      </w:tr>
      <w:tr>
        <w:tc>
          <w:tcPr>
            <w:tcW w:type="dxa" w:w="2351"/>
            <w:shd w:val="clear" w:color="auto" w:fill="1e293b"/>
          </w:tcPr>
          <w:p>
            <w:pPr>
              <w:jc w:val="center"/>
            </w:pPr>
            <w:r>
              <w:rPr>
                <w:b/>
                <w:color w:val="3B82F6"/>
                <w:sz w:val="18"/>
              </w:rPr>
              <w:t>SME Financing Gap</w:t>
              <w:br/>
              <w:t>(Africa — IFC)</w:t>
            </w:r>
          </w:p>
        </w:tc>
        <w:tc>
          <w:tcPr>
            <w:tcW w:type="dxa" w:w="2351"/>
            <w:shd w:val="clear" w:color="auto" w:fill="1e293b"/>
          </w:tcPr>
          <w:p>
            <w:pPr>
              <w:jc w:val="center"/>
            </w:pPr>
            <w:r>
              <w:rPr>
                <w:b/>
                <w:color w:val="3B82F6"/>
                <w:sz w:val="18"/>
              </w:rPr>
              <w:t>Nigerian SMEs Without</w:t>
              <w:br/>
              <w:t>Financial Records</w:t>
            </w:r>
          </w:p>
        </w:tc>
        <w:tc>
          <w:tcPr>
            <w:tcW w:type="dxa" w:w="2351"/>
            <w:shd w:val="clear" w:color="auto" w:fill="1e293b"/>
          </w:tcPr>
          <w:p>
            <w:pPr>
              <w:jc w:val="center"/>
            </w:pPr>
            <w:r>
              <w:rPr>
                <w:b/>
                <w:color w:val="3B82F6"/>
                <w:sz w:val="18"/>
              </w:rPr>
              <w:t>SME Loan Rejections</w:t>
              <w:br/>
              <w:t>Due to Missing Docs</w:t>
            </w:r>
          </w:p>
        </w:tc>
        <w:tc>
          <w:tcPr>
            <w:tcW w:type="dxa" w:w="2351"/>
            <w:shd w:val="clear" w:color="auto" w:fill="1e293b"/>
          </w:tcPr>
          <w:p>
            <w:pPr>
              <w:jc w:val="center"/>
            </w:pPr>
            <w:r>
              <w:rPr>
                <w:b/>
                <w:color w:val="3B82F6"/>
                <w:sz w:val="18"/>
              </w:rPr>
              <w:t>Projected Year 3</w:t>
              <w:br/>
              <w:t>Revenue for Zenith</w:t>
            </w:r>
          </w:p>
        </w:tc>
      </w:tr>
      <w:tr>
        <w:tc>
          <w:tcPr>
            <w:tcW w:type="dxa" w:w="2351"/>
            <w:shd w:val="clear" w:color="auto" w:fill="334155"/>
          </w:tcPr>
          <w:p>
            <w:pPr>
              <w:jc w:val="center"/>
            </w:pPr>
            <w:r>
              <w:rPr>
                <w:color w:val="FFFFFF"/>
                <w:sz w:val="16"/>
              </w:rPr>
              <w:t>Infrastructure opportunity</w:t>
            </w:r>
          </w:p>
        </w:tc>
        <w:tc>
          <w:tcPr>
            <w:tcW w:type="dxa" w:w="2351"/>
            <w:shd w:val="clear" w:color="auto" w:fill="334155"/>
          </w:tcPr>
          <w:p>
            <w:pPr>
              <w:jc w:val="center"/>
            </w:pPr>
            <w:r>
              <w:rPr>
                <w:color w:val="FFFFFF"/>
                <w:sz w:val="16"/>
              </w:rPr>
              <w:t>The problem we solve</w:t>
            </w:r>
          </w:p>
        </w:tc>
        <w:tc>
          <w:tcPr>
            <w:tcW w:type="dxa" w:w="2351"/>
            <w:shd w:val="clear" w:color="auto" w:fill="334155"/>
          </w:tcPr>
          <w:p>
            <w:pPr>
              <w:jc w:val="center"/>
            </w:pPr>
            <w:r>
              <w:rPr>
                <w:color w:val="FFFFFF"/>
                <w:sz w:val="16"/>
              </w:rPr>
              <w:t>CBN research</w:t>
            </w:r>
          </w:p>
        </w:tc>
        <w:tc>
          <w:tcPr>
            <w:tcW w:type="dxa" w:w="2351"/>
            <w:shd w:val="clear" w:color="auto" w:fill="334155"/>
          </w:tcPr>
          <w:p>
            <w:pPr>
              <w:jc w:val="center"/>
            </w:pPr>
            <w:r>
              <w:rPr>
                <w:color w:val="FFFFFF"/>
                <w:sz w:val="16"/>
              </w:rPr>
              <w:t>From this partnership</w:t>
            </w:r>
          </w:p>
        </w:tc>
      </w:tr>
    </w:tbl>
    <w:p/>
    <w:p/>
    <w:p>
      <w:pPr>
        <w:pBdr>
          <w:bottom w:val="single" w:sz="6" w:space="4" w:color="D4AF37"/>
        </w:pBdr>
        <w:spacing w:after="200" w:before="80"/>
      </w:pPr>
    </w:p>
    <w:tbl>
      <w:tblPr>
        <w:tblW w:type="auto" w:w="0"/>
        <w:jc w:val="center"/>
        <w:tblLook w:firstColumn="1" w:firstRow="1" w:lastColumn="0" w:lastRow="0" w:noHBand="0" w:noVBand="1" w:val="04A0"/>
      </w:tblPr>
      <w:tblGrid>
        <w:gridCol w:w="4703"/>
        <w:gridCol w:w="4703"/>
      </w:tblGrid>
      <w:tr>
        <w:tc>
          <w:tcPr>
            <w:tcW w:type="dxa" w:w="4703"/>
          </w:tcPr>
          <w:p>
            <w:pPr>
              <w:spacing w:before="240"/>
            </w:pPr>
          </w:p>
          <w:p>
            <w:r>
              <w:rPr>
                <w:b/>
                <w:color w:val="0F172A"/>
                <w:sz w:val="19"/>
              </w:rPr>
              <w:t xml:space="preserve">Submitted to: </w:t>
            </w:r>
            <w:r>
              <w:rPr>
                <w:color w:val="1E293B"/>
                <w:sz w:val="19"/>
              </w:rPr>
              <w:t>Zenith Bank PLC</w:t>
            </w:r>
          </w:p>
          <w:p>
            <w:r>
              <w:rPr>
                <w:b/>
                <w:color w:val="0F172A"/>
                <w:sz w:val="19"/>
              </w:rPr>
              <w:t xml:space="preserve">Attention: </w:t>
            </w:r>
            <w:r>
              <w:rPr>
                <w:color w:val="1E293B"/>
                <w:sz w:val="19"/>
              </w:rPr>
              <w:t>Head of SME Banking / Digital Innovation</w:t>
            </w:r>
          </w:p>
          <w:p>
            <w:r>
              <w:rPr>
                <w:b/>
                <w:color w:val="0F172A"/>
                <w:sz w:val="19"/>
              </w:rPr>
              <w:t xml:space="preserve">Submitted by: </w:t>
            </w:r>
            <w:r>
              <w:rPr>
                <w:color w:val="1E293B"/>
                <w:sz w:val="19"/>
              </w:rPr>
              <w:t>Quadri Abiodun, Co-Founder &amp; CEO</w:t>
            </w:r>
          </w:p>
        </w:tc>
        <w:tc>
          <w:tcPr>
            <w:tcW w:type="dxa" w:w="4703"/>
          </w:tcPr>
          <w:p/>
          <w:p>
            <w:r>
              <w:rPr>
                <w:b/>
                <w:color w:val="0F172A"/>
                <w:sz w:val="19"/>
              </w:rPr>
              <w:t xml:space="preserve">Company: </w:t>
            </w:r>
            <w:r>
              <w:rPr>
                <w:color w:val="1E293B"/>
                <w:sz w:val="19"/>
              </w:rPr>
              <w:t>Quad360 Financial Technologies</w:t>
            </w:r>
          </w:p>
          <w:p>
            <w:r>
              <w:rPr>
                <w:b/>
                <w:color w:val="0F172A"/>
                <w:sz w:val="19"/>
              </w:rPr>
              <w:t xml:space="preserve">Date: </w:t>
            </w:r>
            <w:r>
              <w:rPr>
                <w:color w:val="1E293B"/>
                <w:sz w:val="19"/>
              </w:rPr>
              <w:t>June 2026</w:t>
            </w:r>
          </w:p>
          <w:p>
            <w:r>
              <w:rPr>
                <w:b/>
                <w:color w:val="0F172A"/>
                <w:sz w:val="19"/>
              </w:rPr>
              <w:t xml:space="preserve">Stage: </w:t>
            </w:r>
            <w:r>
              <w:rPr>
                <w:color w:val="1E293B"/>
                <w:sz w:val="19"/>
              </w:rPr>
              <w:t>Beta / Testing Phase</w:t>
            </w:r>
          </w:p>
          <w:p>
            <w:r>
              <w:rPr>
                <w:b/>
                <w:color w:val="0F172A"/>
                <w:sz w:val="19"/>
              </w:rPr>
              <w:t xml:space="preserve">Classification: </w:t>
            </w:r>
            <w:r>
              <w:rPr>
                <w:color w:val="1E293B"/>
                <w:sz w:val="19"/>
              </w:rPr>
              <w:t>CONFIDENTIAL</w:t>
            </w:r>
          </w:p>
        </w:tc>
      </w:tr>
    </w:tbl>
    <w:p>
      <w:r>
        <w:br w:type="page"/>
      </w:r>
    </w:p>
    <w:p>
      <w:pPr>
        <w:keepNext/>
        <w:spacing w:before="360" w:after="160"/>
      </w:pPr>
      <w:r>
        <w:rPr>
          <w:b/>
          <w:color w:val="0F172A"/>
          <w:sz w:val="44"/>
        </w:rPr>
        <w:t>TABLE OF CONTENTS</w:t>
      </w:r>
    </w:p>
    <w:p>
      <w:pPr>
        <w:pBdr>
          <w:bottom w:val="single" w:sz="6" w:space="4" w:color="3b82f6"/>
        </w:pBdr>
        <w:spacing w:after="200" w:before="80"/>
      </w:pPr>
    </w:p>
    <w:p>
      <w:pPr>
        <w:spacing w:after="60" w:before="40"/>
      </w:pPr>
      <w:r>
        <w:rPr>
          <w:color w:val="1E293B"/>
          <w:sz w:val="21"/>
        </w:rPr>
        <w:t>1.  Executive Summary</w:t>
      </w:r>
      <w:r>
        <w:rPr>
          <w:color w:val="64748B"/>
          <w:sz w:val="20"/>
        </w:rPr>
        <w:t xml:space="preserve">  ....................................  3</w:t>
      </w:r>
    </w:p>
    <w:p>
      <w:pPr>
        <w:spacing w:after="60" w:before="40"/>
      </w:pPr>
      <w:r>
        <w:rPr>
          <w:color w:val="1E293B"/>
          <w:sz w:val="21"/>
        </w:rPr>
        <w:t>2.  The Nigerian SME Landscape</w:t>
      </w:r>
      <w:r>
        <w:rPr>
          <w:color w:val="64748B"/>
          <w:sz w:val="20"/>
        </w:rPr>
        <w:t xml:space="preserve">  ...........................  4</w:t>
      </w:r>
    </w:p>
    <w:p>
      <w:pPr>
        <w:spacing w:after="60" w:before="40"/>
      </w:pPr>
      <w:r>
        <w:rPr>
          <w:color w:val="1E293B"/>
          <w:sz w:val="21"/>
        </w:rPr>
        <w:t>3.  Problem Statement — Financial Invisibility</w:t>
      </w:r>
      <w:r>
        <w:rPr>
          <w:color w:val="64748B"/>
          <w:sz w:val="20"/>
        </w:rPr>
        <w:t xml:space="preserve">  ...........  6</w:t>
      </w:r>
    </w:p>
    <w:p>
      <w:pPr>
        <w:spacing w:after="60" w:before="40"/>
      </w:pPr>
      <w:r>
        <w:rPr>
          <w:color w:val="1E293B"/>
          <w:sz w:val="21"/>
        </w:rPr>
        <w:t>4.  The Quad360 Solution</w:t>
      </w:r>
      <w:r>
        <w:rPr>
          <w:color w:val="64748B"/>
          <w:sz w:val="20"/>
        </w:rPr>
        <w:t xml:space="preserve">  .................................  8</w:t>
      </w:r>
    </w:p>
    <w:p>
      <w:pPr>
        <w:spacing w:after="60" w:before="40"/>
      </w:pPr>
      <w:r>
        <w:rPr>
          <w:color w:val="1E293B"/>
          <w:sz w:val="21"/>
        </w:rPr>
        <w:t>5.  The Opportunity for Zenith Bank</w:t>
      </w:r>
      <w:r>
        <w:rPr>
          <w:color w:val="64748B"/>
          <w:sz w:val="20"/>
        </w:rPr>
        <w:t xml:space="preserve">  ......................  13</w:t>
      </w:r>
    </w:p>
    <w:p>
      <w:pPr>
        <w:spacing w:after="60" w:before="40"/>
      </w:pPr>
      <w:r>
        <w:rPr>
          <w:color w:val="1E293B"/>
          <w:sz w:val="21"/>
        </w:rPr>
        <w:t>6.  Partnership Models</w:t>
      </w:r>
      <w:r>
        <w:rPr>
          <w:color w:val="64748B"/>
          <w:sz w:val="20"/>
        </w:rPr>
        <w:t xml:space="preserve">  ...................................  16</w:t>
      </w:r>
    </w:p>
    <w:p>
      <w:pPr>
        <w:spacing w:after="60" w:before="40"/>
      </w:pPr>
      <w:r>
        <w:rPr>
          <w:color w:val="1E293B"/>
          <w:sz w:val="21"/>
        </w:rPr>
        <w:t>7.  Financial Projections &amp; ROI</w:t>
      </w:r>
      <w:r>
        <w:rPr>
          <w:color w:val="64748B"/>
          <w:sz w:val="20"/>
        </w:rPr>
        <w:t xml:space="preserve">  ..........................  21</w:t>
      </w:r>
    </w:p>
    <w:p>
      <w:pPr>
        <w:spacing w:after="60" w:before="40"/>
      </w:pPr>
      <w:r>
        <w:rPr>
          <w:color w:val="1E293B"/>
          <w:sz w:val="21"/>
        </w:rPr>
        <w:t>8.  90-Day Pilot Implementation Plan</w:t>
      </w:r>
      <w:r>
        <w:rPr>
          <w:color w:val="64748B"/>
          <w:sz w:val="20"/>
        </w:rPr>
        <w:t xml:space="preserve">  .....................  25</w:t>
      </w:r>
    </w:p>
    <w:p>
      <w:pPr>
        <w:spacing w:after="60" w:before="40"/>
      </w:pPr>
      <w:r>
        <w:rPr>
          <w:color w:val="1E293B"/>
          <w:sz w:val="21"/>
        </w:rPr>
        <w:t>9.  Risk Analysis &amp; Mitigation</w:t>
      </w:r>
      <w:r>
        <w:rPr>
          <w:color w:val="64748B"/>
          <w:sz w:val="20"/>
        </w:rPr>
        <w:t xml:space="preserve">  ...........................  28</w:t>
      </w:r>
    </w:p>
    <w:p>
      <w:pPr>
        <w:spacing w:after="60" w:before="40"/>
      </w:pPr>
      <w:r>
        <w:rPr>
          <w:color w:val="1E293B"/>
          <w:sz w:val="21"/>
        </w:rPr>
        <w:t>10.  Regulatory &amp; Compliance Framework</w:t>
      </w:r>
      <w:r>
        <w:rPr>
          <w:color w:val="64748B"/>
          <w:sz w:val="20"/>
        </w:rPr>
        <w:t xml:space="preserve">  ...................  30</w:t>
      </w:r>
    </w:p>
    <w:p>
      <w:pPr>
        <w:spacing w:after="60" w:before="40"/>
      </w:pPr>
      <w:r>
        <w:rPr>
          <w:color w:val="1E293B"/>
          <w:sz w:val="21"/>
        </w:rPr>
        <w:t>11.  About Quad360</w:t>
      </w:r>
      <w:r>
        <w:rPr>
          <w:color w:val="64748B"/>
          <w:sz w:val="20"/>
        </w:rPr>
        <w:t xml:space="preserve">  .......................................  32</w:t>
      </w:r>
    </w:p>
    <w:p>
      <w:pPr>
        <w:spacing w:after="60" w:before="40"/>
      </w:pPr>
      <w:r>
        <w:rPr>
          <w:color w:val="1E293B"/>
          <w:sz w:val="21"/>
        </w:rPr>
        <w:t>12.  Commercial Terms</w:t>
      </w:r>
      <w:r>
        <w:rPr>
          <w:color w:val="64748B"/>
          <w:sz w:val="20"/>
        </w:rPr>
        <w:t xml:space="preserve">  ....................................  35</w:t>
      </w:r>
    </w:p>
    <w:p>
      <w:pPr>
        <w:spacing w:after="60" w:before="40"/>
      </w:pPr>
      <w:r>
        <w:rPr>
          <w:color w:val="1E293B"/>
          <w:sz w:val="21"/>
        </w:rPr>
        <w:t>13.  Next Steps &amp; Call to Action</w:t>
      </w:r>
      <w:r>
        <w:rPr>
          <w:color w:val="64748B"/>
          <w:sz w:val="20"/>
        </w:rPr>
        <w:t xml:space="preserve">  .........................  37</w:t>
      </w:r>
    </w:p>
    <w:p>
      <w:pPr>
        <w:spacing w:after="60" w:before="40"/>
      </w:pPr>
      <w:r>
        <w:rPr>
          <w:color w:val="1E293B"/>
          <w:sz w:val="21"/>
        </w:rPr>
        <w:t>Appendix A  Technical Architecture</w:t>
      </w:r>
      <w:r>
        <w:rPr>
          <w:color w:val="64748B"/>
          <w:sz w:val="20"/>
        </w:rPr>
        <w:t xml:space="preserve">  .......................  38</w:t>
      </w:r>
    </w:p>
    <w:p>
      <w:pPr>
        <w:spacing w:after="60" w:before="40"/>
      </w:pPr>
      <w:r>
        <w:rPr>
          <w:color w:val="1E293B"/>
          <w:sz w:val="21"/>
        </w:rPr>
        <w:t>Appendix B  Security Certifications &amp; Controls</w:t>
      </w:r>
      <w:r>
        <w:rPr>
          <w:color w:val="64748B"/>
          <w:sz w:val="20"/>
        </w:rPr>
        <w:t xml:space="preserve">  ...........  39</w:t>
      </w:r>
    </w:p>
    <w:p>
      <w:pPr>
        <w:spacing w:after="60" w:before="40"/>
      </w:pPr>
      <w:r>
        <w:rPr>
          <w:color w:val="1E293B"/>
          <w:sz w:val="21"/>
        </w:rPr>
        <w:t>Appendix C  Sample Quad360 Financial Report</w:t>
      </w:r>
      <w:r>
        <w:rPr>
          <w:color w:val="64748B"/>
          <w:sz w:val="20"/>
        </w:rPr>
        <w:t xml:space="preserve">  ..............  40</w:t>
      </w:r>
    </w:p>
    <w:p>
      <w:r>
        <w:br w:type="page"/>
      </w:r>
    </w:p>
    <w:p>
      <w:pPr>
        <w:keepNext/>
        <w:spacing w:before="360" w:after="160"/>
      </w:pPr>
      <w:r>
        <w:rPr>
          <w:b/>
          <w:color w:val="0F172A"/>
          <w:sz w:val="44"/>
        </w:rPr>
        <w:t>SECTION 1: EXECUTIVE SUMMARY</w:t>
      </w:r>
    </w:p>
    <w:p>
      <w:pPr>
        <w:pBdr>
          <w:bottom w:val="single" w:sz="6" w:space="4" w:color="3b82f6"/>
        </w:pBdr>
        <w:spacing w:after="200" w:before="80"/>
      </w:pPr>
    </w:p>
    <w:p>
      <w:pPr>
        <w:spacing w:after="120" w:before="40"/>
      </w:pPr>
      <w:r>
        <w:rPr>
          <w:i w:val="0"/>
          <w:color w:val="1E293B"/>
          <w:sz w:val="21"/>
        </w:rPr>
        <w:t>Quad360 is a mobile-first Financial Operating System (Financial OS) built specifically for Nigerian and African SMEs. We are currently in our beta/testing phase, with a growing base of active business users across Lagos, Abuja, and Port Harcourt. We are writing to propose a strategic technology partnership with Zenith Bank PLC that we believe will create significant, measurable value for your SME banking division.</w:t>
      </w:r>
    </w:p>
    <w:p>
      <w:pPr>
        <w:spacing w:before="360" w:after="160"/>
      </w:pPr>
      <w:r>
        <w:rPr>
          <w:b/>
          <w:color w:val="0F172A"/>
          <w:sz w:val="32"/>
        </w:rPr>
        <w:t>The Core Problem</w:t>
      </w:r>
    </w:p>
    <w:p>
      <w:pPr>
        <w:spacing w:after="120" w:before="40"/>
      </w:pPr>
      <w:r>
        <w:rPr>
          <w:i w:val="0"/>
          <w:color w:val="1E293B"/>
          <w:sz w:val="21"/>
        </w:rPr>
        <w:t>Nigeria has 41 million SMEs contributing 48% of GDP and 84% of employment. Yet over 90% of these businesses have no formal financial records. When they approach Zenith Bank for financing, they arrive without the documentation your credit team needs. The Central Bank of Nigeria identifies poor financial management as the primary driver of SME failure. The IFC estimates the African SME financing gap at $331 billion — and the root of that gap is not a shortage of capital. It is a shortage of financial data.</w:t>
      </w:r>
    </w:p>
    <w:p>
      <w:pPr>
        <w:spacing w:before="360" w:after="160"/>
      </w:pPr>
      <w:r>
        <w:rPr>
          <w:b/>
          <w:color w:val="0F172A"/>
          <w:sz w:val="32"/>
        </w:rPr>
        <w:t>The Quad360 Solution</w:t>
      </w:r>
    </w:p>
    <w:p>
      <w:pPr>
        <w:spacing w:after="120" w:before="40"/>
      </w:pPr>
      <w:r>
        <w:rPr>
          <w:i w:val="0"/>
          <w:color w:val="1E293B"/>
          <w:sz w:val="21"/>
        </w:rPr>
        <w:t>Quad360 automatically generates structured financial records for every SME that uses it. As a business owner logs transactions, sends invoices, and runs payroll, the platform builds a complete, auditable financial profile — P&amp;L, cash flow history, invoice records, payroll documentation, and financial ratios — with zero additional effort. After 6 months of active use, a Quad360 business has the equivalent of a professionally prepared management account. Exactly what Zenith Bank's credit team needs.</w:t>
      </w:r>
    </w:p>
    <w:p>
      <w:pPr>
        <w:spacing w:before="360" w:after="160"/>
      </w:pPr>
      <w:r>
        <w:rPr>
          <w:b/>
          <w:color w:val="0F172A"/>
          <w:sz w:val="32"/>
        </w:rPr>
        <w:t>The Opportunity for Zenith Bank</w:t>
      </w:r>
    </w:p>
    <w:tbl>
      <w:tblPr>
        <w:tblW w:type="auto" w:w="0"/>
        <w:jc w:val="center"/>
        <w:tblLook w:firstColumn="1" w:firstRow="1" w:lastColumn="0" w:lastRow="0" w:noHBand="0" w:noVBand="1" w:val="04A0"/>
      </w:tblPr>
      <w:tblGrid>
        <w:gridCol w:w="2351"/>
        <w:gridCol w:w="2351"/>
        <w:gridCol w:w="2351"/>
        <w:gridCol w:w="2351"/>
      </w:tblGrid>
      <w:tr>
        <w:tc>
          <w:tcPr>
            <w:tcW w:type="dxa" w:w="2351"/>
            <w:shd w:val="clear" w:color="auto" w:fill="0f172a"/>
            <w:vAlign w:val="center"/>
          </w:tcPr>
          <w:p>
            <w:pPr>
              <w:jc w:val="center"/>
            </w:pPr>
            <w:r>
              <w:rPr>
                <w:b/>
                <w:color w:val="D4AF37"/>
                <w:sz w:val="40"/>
              </w:rPr>
              <w:t>35%</w:t>
            </w:r>
          </w:p>
        </w:tc>
        <w:tc>
          <w:tcPr>
            <w:tcW w:type="dxa" w:w="2351"/>
            <w:shd w:val="clear" w:color="auto" w:fill="0f172a"/>
            <w:vAlign w:val="center"/>
          </w:tcPr>
          <w:p>
            <w:pPr>
              <w:jc w:val="center"/>
            </w:pPr>
            <w:r>
              <w:rPr>
                <w:b/>
                <w:color w:val="D4AF37"/>
                <w:sz w:val="40"/>
              </w:rPr>
              <w:t>20%</w:t>
            </w:r>
          </w:p>
        </w:tc>
        <w:tc>
          <w:tcPr>
            <w:tcW w:type="dxa" w:w="2351"/>
            <w:shd w:val="clear" w:color="auto" w:fill="0f172a"/>
            <w:vAlign w:val="center"/>
          </w:tcPr>
          <w:p>
            <w:pPr>
              <w:jc w:val="center"/>
            </w:pPr>
            <w:r>
              <w:rPr>
                <w:b/>
                <w:color w:val="D4AF37"/>
                <w:sz w:val="40"/>
              </w:rPr>
              <w:t>₦847M</w:t>
            </w:r>
          </w:p>
        </w:tc>
        <w:tc>
          <w:tcPr>
            <w:tcW w:type="dxa" w:w="2351"/>
            <w:shd w:val="clear" w:color="auto" w:fill="0f172a"/>
            <w:vAlign w:val="center"/>
          </w:tcPr>
          <w:p>
            <w:pPr>
              <w:jc w:val="center"/>
            </w:pPr>
            <w:r>
              <w:rPr>
                <w:b/>
                <w:color w:val="D4AF37"/>
                <w:sz w:val="40"/>
              </w:rPr>
              <w:t>₦4.3B</w:t>
            </w:r>
          </w:p>
        </w:tc>
      </w:tr>
      <w:tr>
        <w:tc>
          <w:tcPr>
            <w:tcW w:type="dxa" w:w="2351"/>
            <w:shd w:val="clear" w:color="auto" w:fill="1e293b"/>
          </w:tcPr>
          <w:p>
            <w:pPr>
              <w:jc w:val="center"/>
            </w:pPr>
            <w:r>
              <w:rPr>
                <w:b/>
                <w:color w:val="3B82F6"/>
                <w:sz w:val="18"/>
              </w:rPr>
              <w:t>Reduction in Loan</w:t>
              <w:br/>
              <w:t>Origination Cost</w:t>
            </w:r>
          </w:p>
        </w:tc>
        <w:tc>
          <w:tcPr>
            <w:tcW w:type="dxa" w:w="2351"/>
            <w:shd w:val="clear" w:color="auto" w:fill="1e293b"/>
          </w:tcPr>
          <w:p>
            <w:pPr>
              <w:jc w:val="center"/>
            </w:pPr>
            <w:r>
              <w:rPr>
                <w:b/>
                <w:color w:val="3B82F6"/>
                <w:sz w:val="18"/>
              </w:rPr>
              <w:t>Reduction in SME</w:t>
              <w:br/>
              <w:t>NPL Formation Rate</w:t>
            </w:r>
          </w:p>
        </w:tc>
        <w:tc>
          <w:tcPr>
            <w:tcW w:type="dxa" w:w="2351"/>
            <w:shd w:val="clear" w:color="auto" w:fill="1e293b"/>
          </w:tcPr>
          <w:p>
            <w:pPr>
              <w:jc w:val="center"/>
            </w:pPr>
            <w:r>
              <w:rPr>
                <w:b/>
                <w:color w:val="3B82F6"/>
                <w:sz w:val="18"/>
              </w:rPr>
              <w:t>Projected Net New</w:t>
              <w:br/>
              <w:t>Revenue — Year 1</w:t>
            </w:r>
          </w:p>
        </w:tc>
        <w:tc>
          <w:tcPr>
            <w:tcW w:type="dxa" w:w="2351"/>
            <w:shd w:val="clear" w:color="auto" w:fill="1e293b"/>
          </w:tcPr>
          <w:p>
            <w:pPr>
              <w:jc w:val="center"/>
            </w:pPr>
            <w:r>
              <w:rPr>
                <w:b/>
                <w:color w:val="3B82F6"/>
                <w:sz w:val="18"/>
              </w:rPr>
              <w:t>Projected Net New</w:t>
              <w:br/>
              <w:t>Revenue — Year 3</w:t>
            </w:r>
          </w:p>
        </w:tc>
      </w:tr>
      <w:tr>
        <w:tc>
          <w:tcPr>
            <w:tcW w:type="dxa" w:w="2351"/>
            <w:shd w:val="clear" w:color="auto" w:fill="334155"/>
          </w:tcPr>
          <w:p>
            <w:pPr>
              <w:jc w:val="center"/>
            </w:pPr>
            <w:r>
              <w:rPr>
                <w:color w:val="FFFFFF"/>
                <w:sz w:val="16"/>
              </w:rPr>
              <w:t>Pre-documented applicants</w:t>
            </w:r>
          </w:p>
        </w:tc>
        <w:tc>
          <w:tcPr>
            <w:tcW w:type="dxa" w:w="2351"/>
            <w:shd w:val="clear" w:color="auto" w:fill="334155"/>
          </w:tcPr>
          <w:p>
            <w:pPr>
              <w:jc w:val="center"/>
            </w:pPr>
            <w:r>
              <w:rPr>
                <w:color w:val="FFFFFF"/>
                <w:sz w:val="16"/>
              </w:rPr>
              <w:t>Via real-time monitoring</w:t>
            </w:r>
          </w:p>
        </w:tc>
        <w:tc>
          <w:tcPr>
            <w:tcW w:type="dxa" w:w="2351"/>
            <w:shd w:val="clear" w:color="auto" w:fill="334155"/>
          </w:tcPr>
          <w:p>
            <w:pPr>
              <w:jc w:val="center"/>
            </w:pPr>
            <w:r>
              <w:rPr>
                <w:color w:val="FFFFFF"/>
                <w:sz w:val="16"/>
              </w:rPr>
              <w:t>Combined Model A+B</w:t>
            </w:r>
          </w:p>
        </w:tc>
        <w:tc>
          <w:tcPr>
            <w:tcW w:type="dxa" w:w="2351"/>
            <w:shd w:val="clear" w:color="auto" w:fill="334155"/>
          </w:tcPr>
          <w:p>
            <w:pPr>
              <w:jc w:val="center"/>
            </w:pPr>
            <w:r>
              <w:rPr>
                <w:color w:val="FFFFFF"/>
                <w:sz w:val="16"/>
              </w:rPr>
              <w:t>Full deployment scale</w:t>
            </w:r>
          </w:p>
        </w:tc>
      </w:tr>
    </w:tbl>
    <w:p/>
    <w:p>
      <w:pPr>
        <w:spacing w:before="360" w:after="160"/>
      </w:pPr>
      <w:r>
        <w:rPr>
          <w:b/>
          <w:color w:val="0F172A"/>
          <w:sz w:val="32"/>
        </w:rPr>
        <w:t>The Ask</w:t>
      </w:r>
    </w:p>
    <w:p>
      <w:pPr>
        <w:spacing w:after="120" w:before="40"/>
      </w:pPr>
      <w:r>
        <w:rPr>
          <w:i w:val="0"/>
          <w:color w:val="1E293B"/>
          <w:sz w:val="21"/>
        </w:rPr>
        <w:t>We are requesting a 30-minute meeting with Zenith Bank's SME Banking and Digital Innovation leadership to present the live Quad360 platform and agree the structure of a 90-day pilot programme. We propose beginning with zero financial commitment from Zenith Bank — results first, commercial agreement after.</w:t>
      </w:r>
    </w:p>
    <w:p>
      <w:r>
        <w:br w:type="page"/>
      </w:r>
    </w:p>
    <w:p>
      <w:pPr>
        <w:keepNext/>
        <w:spacing w:before="360" w:after="160"/>
      </w:pPr>
      <w:r>
        <w:rPr>
          <w:b/>
          <w:color w:val="0F172A"/>
          <w:sz w:val="44"/>
        </w:rPr>
        <w:t>SECTION 2: THE NIGERIAN SME LANDSCAPE</w:t>
      </w:r>
    </w:p>
    <w:p>
      <w:pPr>
        <w:pBdr>
          <w:bottom w:val="single" w:sz="6" w:space="4" w:color="3b82f6"/>
        </w:pBdr>
        <w:spacing w:after="200" w:before="80"/>
      </w:pPr>
    </w:p>
    <w:p>
      <w:pPr>
        <w:spacing w:before="360" w:after="160"/>
      </w:pPr>
      <w:r>
        <w:rPr>
          <w:b/>
          <w:color w:val="0F172A"/>
          <w:sz w:val="32"/>
        </w:rPr>
        <w:t>2.1  Market Size and Economic Contribution</w:t>
      </w:r>
    </w:p>
    <w:p>
      <w:pPr>
        <w:spacing w:after="120" w:before="40"/>
      </w:pPr>
      <w:r>
        <w:rPr>
          <w:i w:val="0"/>
          <w:color w:val="1E293B"/>
          <w:sz w:val="21"/>
        </w:rPr>
        <w:t>Small and Medium Enterprises are the backbone of Nigeria's economy. According to the National Bureau of Statistics (NBS) and the Small and Medium Enterprises Development Agency of Nigeria (SMEDAN), the sector presents an opportunity that is unmatched in sub-Saharan Africa:</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0f172a"/>
          </w:tcPr>
          <w:p>
            <w:pPr>
              <w:jc w:val="center"/>
            </w:pPr>
            <w:r>
              <w:rPr>
                <w:b/>
                <w:color w:val="FFFFFF"/>
                <w:sz w:val="19"/>
              </w:rPr>
              <w:t>Metric</w:t>
            </w:r>
          </w:p>
        </w:tc>
        <w:tc>
          <w:tcPr>
            <w:tcW w:type="dxa" w:w="3135"/>
            <w:shd w:val="clear" w:color="auto" w:fill="0f172a"/>
          </w:tcPr>
          <w:p>
            <w:pPr>
              <w:jc w:val="center"/>
            </w:pPr>
            <w:r>
              <w:rPr>
                <w:b/>
                <w:color w:val="FFFFFF"/>
                <w:sz w:val="19"/>
              </w:rPr>
              <w:t>Figure</w:t>
            </w:r>
          </w:p>
        </w:tc>
        <w:tc>
          <w:tcPr>
            <w:tcW w:type="dxa" w:w="3135"/>
            <w:shd w:val="clear" w:color="auto" w:fill="0f172a"/>
          </w:tcPr>
          <w:p>
            <w:pPr>
              <w:jc w:val="center"/>
            </w:pPr>
            <w:r>
              <w:rPr>
                <w:b/>
                <w:color w:val="FFFFFF"/>
                <w:sz w:val="19"/>
              </w:rPr>
              <w:t>Source</w:t>
            </w:r>
          </w:p>
        </w:tc>
      </w:tr>
      <w:tr>
        <w:tc>
          <w:tcPr>
            <w:tcW w:type="dxa" w:w="3135"/>
            <w:shd w:val="clear" w:color="auto" w:fill="f8fafc"/>
          </w:tcPr>
          <w:p>
            <w:pPr>
              <w:jc w:val="left"/>
            </w:pPr>
            <w:r>
              <w:rPr>
                <w:color w:val="1E293B"/>
                <w:sz w:val="19"/>
              </w:rPr>
              <w:t>Total SMEs in Nigeria</w:t>
            </w:r>
          </w:p>
        </w:tc>
        <w:tc>
          <w:tcPr>
            <w:tcW w:type="dxa" w:w="3135"/>
            <w:shd w:val="clear" w:color="auto" w:fill="f8fafc"/>
          </w:tcPr>
          <w:p>
            <w:pPr>
              <w:jc w:val="center"/>
            </w:pPr>
            <w:r>
              <w:rPr>
                <w:color w:val="1E293B"/>
                <w:sz w:val="19"/>
              </w:rPr>
              <w:t>41.5 million</w:t>
            </w:r>
          </w:p>
        </w:tc>
        <w:tc>
          <w:tcPr>
            <w:tcW w:type="dxa" w:w="3135"/>
            <w:shd w:val="clear" w:color="auto" w:fill="f8fafc"/>
          </w:tcPr>
          <w:p>
            <w:pPr>
              <w:jc w:val="center"/>
            </w:pPr>
            <w:r>
              <w:rPr>
                <w:color w:val="1E293B"/>
                <w:sz w:val="19"/>
              </w:rPr>
              <w:t>NBS / SMEDAN 2023</w:t>
            </w:r>
          </w:p>
        </w:tc>
      </w:tr>
      <w:tr>
        <w:tc>
          <w:tcPr>
            <w:tcW w:type="dxa" w:w="3135"/>
            <w:shd w:val="clear" w:color="auto" w:fill="e2e8f0"/>
          </w:tcPr>
          <w:p>
            <w:pPr>
              <w:jc w:val="left"/>
            </w:pPr>
            <w:r>
              <w:rPr>
                <w:color w:val="1E293B"/>
                <w:sz w:val="19"/>
              </w:rPr>
              <w:t>Contribution to GDP</w:t>
            </w:r>
          </w:p>
        </w:tc>
        <w:tc>
          <w:tcPr>
            <w:tcW w:type="dxa" w:w="3135"/>
            <w:shd w:val="clear" w:color="auto" w:fill="e2e8f0"/>
          </w:tcPr>
          <w:p>
            <w:pPr>
              <w:jc w:val="center"/>
            </w:pPr>
            <w:r>
              <w:rPr>
                <w:color w:val="1E293B"/>
                <w:sz w:val="19"/>
              </w:rPr>
              <w:t>48%</w:t>
            </w:r>
          </w:p>
        </w:tc>
        <w:tc>
          <w:tcPr>
            <w:tcW w:type="dxa" w:w="3135"/>
            <w:shd w:val="clear" w:color="auto" w:fill="e2e8f0"/>
          </w:tcPr>
          <w:p>
            <w:pPr>
              <w:jc w:val="center"/>
            </w:pPr>
            <w:r>
              <w:rPr>
                <w:color w:val="1E293B"/>
                <w:sz w:val="19"/>
              </w:rPr>
              <w:t>World Bank 2024</w:t>
            </w:r>
          </w:p>
        </w:tc>
      </w:tr>
      <w:tr>
        <w:tc>
          <w:tcPr>
            <w:tcW w:type="dxa" w:w="3135"/>
            <w:shd w:val="clear" w:color="auto" w:fill="f8fafc"/>
          </w:tcPr>
          <w:p>
            <w:pPr>
              <w:jc w:val="left"/>
            </w:pPr>
            <w:r>
              <w:rPr>
                <w:color w:val="1E293B"/>
                <w:sz w:val="19"/>
              </w:rPr>
              <w:t>Share of employment</w:t>
            </w:r>
          </w:p>
        </w:tc>
        <w:tc>
          <w:tcPr>
            <w:tcW w:type="dxa" w:w="3135"/>
            <w:shd w:val="clear" w:color="auto" w:fill="f8fafc"/>
          </w:tcPr>
          <w:p>
            <w:pPr>
              <w:jc w:val="center"/>
            </w:pPr>
            <w:r>
              <w:rPr>
                <w:color w:val="1E293B"/>
                <w:sz w:val="19"/>
              </w:rPr>
              <w:t>84%</w:t>
            </w:r>
          </w:p>
        </w:tc>
        <w:tc>
          <w:tcPr>
            <w:tcW w:type="dxa" w:w="3135"/>
            <w:shd w:val="clear" w:color="auto" w:fill="f8fafc"/>
          </w:tcPr>
          <w:p>
            <w:pPr>
              <w:jc w:val="center"/>
            </w:pPr>
            <w:r>
              <w:rPr>
                <w:color w:val="1E293B"/>
                <w:sz w:val="19"/>
              </w:rPr>
              <w:t>NBS 2023</w:t>
            </w:r>
          </w:p>
        </w:tc>
      </w:tr>
      <w:tr>
        <w:tc>
          <w:tcPr>
            <w:tcW w:type="dxa" w:w="3135"/>
            <w:shd w:val="clear" w:color="auto" w:fill="e2e8f0"/>
          </w:tcPr>
          <w:p>
            <w:pPr>
              <w:jc w:val="left"/>
            </w:pPr>
            <w:r>
              <w:rPr>
                <w:color w:val="1E293B"/>
                <w:sz w:val="19"/>
              </w:rPr>
              <w:t>Share of industrial output</w:t>
            </w:r>
          </w:p>
        </w:tc>
        <w:tc>
          <w:tcPr>
            <w:tcW w:type="dxa" w:w="3135"/>
            <w:shd w:val="clear" w:color="auto" w:fill="e2e8f0"/>
          </w:tcPr>
          <w:p>
            <w:pPr>
              <w:jc w:val="center"/>
            </w:pPr>
            <w:r>
              <w:rPr>
                <w:color w:val="1E293B"/>
                <w:sz w:val="19"/>
              </w:rPr>
              <w:t>90%</w:t>
            </w:r>
          </w:p>
        </w:tc>
        <w:tc>
          <w:tcPr>
            <w:tcW w:type="dxa" w:w="3135"/>
            <w:shd w:val="clear" w:color="auto" w:fill="e2e8f0"/>
          </w:tcPr>
          <w:p>
            <w:pPr>
              <w:jc w:val="center"/>
            </w:pPr>
            <w:r>
              <w:rPr>
                <w:color w:val="1E293B"/>
                <w:sz w:val="19"/>
              </w:rPr>
              <w:t>CBN SME Report</w:t>
            </w:r>
          </w:p>
        </w:tc>
      </w:tr>
      <w:tr>
        <w:tc>
          <w:tcPr>
            <w:tcW w:type="dxa" w:w="3135"/>
            <w:shd w:val="clear" w:color="auto" w:fill="f8fafc"/>
          </w:tcPr>
          <w:p>
            <w:pPr>
              <w:jc w:val="left"/>
            </w:pPr>
            <w:r>
              <w:rPr>
                <w:color w:val="1E293B"/>
                <w:sz w:val="19"/>
              </w:rPr>
              <w:t>Annual SME credit demand</w:t>
            </w:r>
          </w:p>
        </w:tc>
        <w:tc>
          <w:tcPr>
            <w:tcW w:type="dxa" w:w="3135"/>
            <w:shd w:val="clear" w:color="auto" w:fill="f8fafc"/>
          </w:tcPr>
          <w:p>
            <w:pPr>
              <w:jc w:val="center"/>
            </w:pPr>
            <w:r>
              <w:rPr>
                <w:color w:val="1E293B"/>
                <w:sz w:val="19"/>
              </w:rPr>
              <w:t>₦617 billion</w:t>
            </w:r>
          </w:p>
        </w:tc>
        <w:tc>
          <w:tcPr>
            <w:tcW w:type="dxa" w:w="3135"/>
            <w:shd w:val="clear" w:color="auto" w:fill="f8fafc"/>
          </w:tcPr>
          <w:p>
            <w:pPr>
              <w:jc w:val="center"/>
            </w:pPr>
            <w:r>
              <w:rPr>
                <w:color w:val="1E293B"/>
                <w:sz w:val="19"/>
              </w:rPr>
              <w:t>CBN Development Finance</w:t>
            </w:r>
          </w:p>
        </w:tc>
      </w:tr>
      <w:tr>
        <w:tc>
          <w:tcPr>
            <w:tcW w:type="dxa" w:w="3135"/>
            <w:shd w:val="clear" w:color="auto" w:fill="e2e8f0"/>
          </w:tcPr>
          <w:p>
            <w:pPr>
              <w:jc w:val="left"/>
            </w:pPr>
            <w:r>
              <w:rPr>
                <w:color w:val="1E293B"/>
                <w:sz w:val="19"/>
              </w:rPr>
              <w:t>Annual SME credit supply</w:t>
            </w:r>
          </w:p>
        </w:tc>
        <w:tc>
          <w:tcPr>
            <w:tcW w:type="dxa" w:w="3135"/>
            <w:shd w:val="clear" w:color="auto" w:fill="e2e8f0"/>
          </w:tcPr>
          <w:p>
            <w:pPr>
              <w:jc w:val="center"/>
            </w:pPr>
            <w:r>
              <w:rPr>
                <w:color w:val="1E293B"/>
                <w:sz w:val="19"/>
              </w:rPr>
              <w:t>₦286 billion</w:t>
            </w:r>
          </w:p>
        </w:tc>
        <w:tc>
          <w:tcPr>
            <w:tcW w:type="dxa" w:w="3135"/>
            <w:shd w:val="clear" w:color="auto" w:fill="e2e8f0"/>
          </w:tcPr>
          <w:p>
            <w:pPr>
              <w:jc w:val="center"/>
            </w:pPr>
            <w:r>
              <w:rPr>
                <w:color w:val="1E293B"/>
                <w:sz w:val="19"/>
              </w:rPr>
              <w:t>Banking sector data</w:t>
            </w:r>
          </w:p>
        </w:tc>
      </w:tr>
      <w:tr>
        <w:tc>
          <w:tcPr>
            <w:tcW w:type="dxa" w:w="3135"/>
            <w:shd w:val="clear" w:color="auto" w:fill="f8fafc"/>
          </w:tcPr>
          <w:p>
            <w:pPr>
              <w:jc w:val="left"/>
            </w:pPr>
            <w:r>
              <w:rPr>
                <w:color w:val="1E293B"/>
                <w:sz w:val="19"/>
              </w:rPr>
              <w:t>Annual financing gap (Nigeria)</w:t>
            </w:r>
          </w:p>
        </w:tc>
        <w:tc>
          <w:tcPr>
            <w:tcW w:type="dxa" w:w="3135"/>
            <w:shd w:val="clear" w:color="auto" w:fill="f8fafc"/>
          </w:tcPr>
          <w:p>
            <w:pPr>
              <w:jc w:val="center"/>
            </w:pPr>
            <w:r>
              <w:rPr>
                <w:color w:val="1E293B"/>
                <w:sz w:val="19"/>
              </w:rPr>
              <w:t>₦331 billion+</w:t>
            </w:r>
          </w:p>
        </w:tc>
        <w:tc>
          <w:tcPr>
            <w:tcW w:type="dxa" w:w="3135"/>
            <w:shd w:val="clear" w:color="auto" w:fill="f8fafc"/>
          </w:tcPr>
          <w:p>
            <w:pPr>
              <w:jc w:val="center"/>
            </w:pPr>
            <w:r>
              <w:rPr>
                <w:color w:val="1E293B"/>
                <w:sz w:val="19"/>
              </w:rPr>
              <w:t>IFC estimate</w:t>
            </w:r>
          </w:p>
        </w:tc>
      </w:tr>
      <w:tr>
        <w:tc>
          <w:tcPr>
            <w:tcW w:type="dxa" w:w="3135"/>
            <w:shd w:val="clear" w:color="auto" w:fill="e2e8f0"/>
          </w:tcPr>
          <w:p>
            <w:pPr>
              <w:jc w:val="left"/>
            </w:pPr>
            <w:r>
              <w:rPr>
                <w:color w:val="1E293B"/>
                <w:sz w:val="19"/>
              </w:rPr>
              <w:t>SMEs with formal financial records</w:t>
            </w:r>
          </w:p>
        </w:tc>
        <w:tc>
          <w:tcPr>
            <w:tcW w:type="dxa" w:w="3135"/>
            <w:shd w:val="clear" w:color="auto" w:fill="e2e8f0"/>
          </w:tcPr>
          <w:p>
            <w:pPr>
              <w:jc w:val="center"/>
            </w:pPr>
            <w:r>
              <w:rPr>
                <w:color w:val="1E293B"/>
                <w:sz w:val="19"/>
              </w:rPr>
              <w:t>Less than 10%</w:t>
            </w:r>
          </w:p>
        </w:tc>
        <w:tc>
          <w:tcPr>
            <w:tcW w:type="dxa" w:w="3135"/>
            <w:shd w:val="clear" w:color="auto" w:fill="e2e8f0"/>
          </w:tcPr>
          <w:p>
            <w:pPr>
              <w:jc w:val="center"/>
            </w:pPr>
            <w:r>
              <w:rPr>
                <w:color w:val="1E293B"/>
                <w:sz w:val="19"/>
              </w:rPr>
              <w:t>World Bank MSME Survey</w:t>
            </w:r>
          </w:p>
        </w:tc>
      </w:tr>
    </w:tbl>
    <w:p/>
    <w:p>
      <w:pPr>
        <w:spacing w:before="360" w:after="160"/>
      </w:pPr>
      <w:r>
        <w:rPr>
          <w:b/>
          <w:color w:val="0F172A"/>
          <w:sz w:val="32"/>
        </w:rPr>
        <w:t>2.2  SME Distribution by Sector</w:t>
      </w:r>
    </w:p>
    <w:p>
      <w:pPr>
        <w:spacing w:after="120" w:before="40"/>
      </w:pPr>
      <w:r>
        <w:rPr>
          <w:i w:val="0"/>
          <w:color w:val="1E293B"/>
          <w:sz w:val="21"/>
        </w:rPr>
        <w:t>Nigeria's SME landscape is diverse, spanning multiple sectors with significant banking touchpoints. Each sector represents a distinct opportunity for Zenith Bank's SME product suite: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0f172a"/>
          </w:tcPr>
          <w:p>
            <w:pPr>
              <w:jc w:val="center"/>
            </w:pPr>
            <w:r>
              <w:rPr>
                <w:b/>
                <w:color w:val="FFFFFF"/>
                <w:sz w:val="19"/>
              </w:rPr>
              <w:t>Sector</w:t>
            </w:r>
          </w:p>
        </w:tc>
        <w:tc>
          <w:tcPr>
            <w:tcW w:type="dxa" w:w="3135"/>
            <w:shd w:val="clear" w:color="auto" w:fill="0f172a"/>
          </w:tcPr>
          <w:p>
            <w:pPr>
              <w:jc w:val="center"/>
            </w:pPr>
            <w:r>
              <w:rPr>
                <w:b/>
                <w:color w:val="FFFFFF"/>
                <w:sz w:val="19"/>
              </w:rPr>
              <w:t>% of SMEs</w:t>
            </w:r>
          </w:p>
        </w:tc>
        <w:tc>
          <w:tcPr>
            <w:tcW w:type="dxa" w:w="3135"/>
            <w:shd w:val="clear" w:color="auto" w:fill="0f172a"/>
          </w:tcPr>
          <w:p>
            <w:pPr>
              <w:jc w:val="center"/>
            </w:pPr>
            <w:r>
              <w:rPr>
                <w:b/>
                <w:color w:val="FFFFFF"/>
                <w:sz w:val="19"/>
              </w:rPr>
              <w:t>Key Financial Needs</w:t>
            </w:r>
          </w:p>
        </w:tc>
      </w:tr>
      <w:tr>
        <w:tc>
          <w:tcPr>
            <w:tcW w:type="dxa" w:w="3135"/>
            <w:shd w:val="clear" w:color="auto" w:fill="f8fafc"/>
          </w:tcPr>
          <w:p>
            <w:pPr>
              <w:jc w:val="left"/>
            </w:pPr>
            <w:r>
              <w:rPr>
                <w:color w:val="1E293B"/>
                <w:sz w:val="19"/>
              </w:rPr>
              <w:t>Trade &amp; Retail</w:t>
            </w:r>
          </w:p>
        </w:tc>
        <w:tc>
          <w:tcPr>
            <w:tcW w:type="dxa" w:w="3135"/>
            <w:shd w:val="clear" w:color="auto" w:fill="f8fafc"/>
          </w:tcPr>
          <w:p>
            <w:pPr>
              <w:jc w:val="center"/>
            </w:pPr>
            <w:r>
              <w:rPr>
                <w:color w:val="1E293B"/>
                <w:sz w:val="19"/>
              </w:rPr>
              <w:t>42%</w:t>
            </w:r>
          </w:p>
        </w:tc>
        <w:tc>
          <w:tcPr>
            <w:tcW w:type="dxa" w:w="3135"/>
            <w:shd w:val="clear" w:color="auto" w:fill="f8fafc"/>
          </w:tcPr>
          <w:p>
            <w:pPr>
              <w:jc w:val="center"/>
            </w:pPr>
            <w:r>
              <w:rPr>
                <w:color w:val="1E293B"/>
                <w:sz w:val="19"/>
              </w:rPr>
              <w:t>Working capital, inventory finance, POS</w:t>
            </w:r>
          </w:p>
        </w:tc>
      </w:tr>
      <w:tr>
        <w:tc>
          <w:tcPr>
            <w:tcW w:type="dxa" w:w="3135"/>
            <w:shd w:val="clear" w:color="auto" w:fill="e2e8f0"/>
          </w:tcPr>
          <w:p>
            <w:pPr>
              <w:jc w:val="left"/>
            </w:pPr>
            <w:r>
              <w:rPr>
                <w:color w:val="1E293B"/>
                <w:sz w:val="19"/>
              </w:rPr>
              <w:t>Services</w:t>
            </w:r>
          </w:p>
        </w:tc>
        <w:tc>
          <w:tcPr>
            <w:tcW w:type="dxa" w:w="3135"/>
            <w:shd w:val="clear" w:color="auto" w:fill="e2e8f0"/>
          </w:tcPr>
          <w:p>
            <w:pPr>
              <w:jc w:val="center"/>
            </w:pPr>
            <w:r>
              <w:rPr>
                <w:color w:val="1E293B"/>
                <w:sz w:val="19"/>
              </w:rPr>
              <w:t>28%</w:t>
            </w:r>
          </w:p>
        </w:tc>
        <w:tc>
          <w:tcPr>
            <w:tcW w:type="dxa" w:w="3135"/>
            <w:shd w:val="clear" w:color="auto" w:fill="e2e8f0"/>
          </w:tcPr>
          <w:p>
            <w:pPr>
              <w:jc w:val="center"/>
            </w:pPr>
            <w:r>
              <w:rPr>
                <w:color w:val="1E293B"/>
                <w:sz w:val="19"/>
              </w:rPr>
              <w:t>Invoice finance, payroll, professional loans</w:t>
            </w:r>
          </w:p>
        </w:tc>
      </w:tr>
      <w:tr>
        <w:tc>
          <w:tcPr>
            <w:tcW w:type="dxa" w:w="3135"/>
            <w:shd w:val="clear" w:color="auto" w:fill="f8fafc"/>
          </w:tcPr>
          <w:p>
            <w:pPr>
              <w:jc w:val="left"/>
            </w:pPr>
            <w:r>
              <w:rPr>
                <w:color w:val="1E293B"/>
                <w:sz w:val="19"/>
              </w:rPr>
              <w:t>Manufacturing &amp; Production</w:t>
            </w:r>
          </w:p>
        </w:tc>
        <w:tc>
          <w:tcPr>
            <w:tcW w:type="dxa" w:w="3135"/>
            <w:shd w:val="clear" w:color="auto" w:fill="f8fafc"/>
          </w:tcPr>
          <w:p>
            <w:pPr>
              <w:jc w:val="center"/>
            </w:pPr>
            <w:r>
              <w:rPr>
                <w:color w:val="1E293B"/>
                <w:sz w:val="19"/>
              </w:rPr>
              <w:t>11%</w:t>
            </w:r>
          </w:p>
        </w:tc>
        <w:tc>
          <w:tcPr>
            <w:tcW w:type="dxa" w:w="3135"/>
            <w:shd w:val="clear" w:color="auto" w:fill="f8fafc"/>
          </w:tcPr>
          <w:p>
            <w:pPr>
              <w:jc w:val="center"/>
            </w:pPr>
            <w:r>
              <w:rPr>
                <w:color w:val="1E293B"/>
                <w:sz w:val="19"/>
              </w:rPr>
              <w:t>Equipment finance, supply chain credit</w:t>
            </w:r>
          </w:p>
        </w:tc>
      </w:tr>
      <w:tr>
        <w:tc>
          <w:tcPr>
            <w:tcW w:type="dxa" w:w="3135"/>
            <w:shd w:val="clear" w:color="auto" w:fill="e2e8f0"/>
          </w:tcPr>
          <w:p>
            <w:pPr>
              <w:jc w:val="left"/>
            </w:pPr>
            <w:r>
              <w:rPr>
                <w:color w:val="1E293B"/>
                <w:sz w:val="19"/>
              </w:rPr>
              <w:t>Agriculture &amp; Agribusiness</w:t>
            </w:r>
          </w:p>
        </w:tc>
        <w:tc>
          <w:tcPr>
            <w:tcW w:type="dxa" w:w="3135"/>
            <w:shd w:val="clear" w:color="auto" w:fill="e2e8f0"/>
          </w:tcPr>
          <w:p>
            <w:pPr>
              <w:jc w:val="center"/>
            </w:pPr>
            <w:r>
              <w:rPr>
                <w:color w:val="1E293B"/>
                <w:sz w:val="19"/>
              </w:rPr>
              <w:t>9%</w:t>
            </w:r>
          </w:p>
        </w:tc>
        <w:tc>
          <w:tcPr>
            <w:tcW w:type="dxa" w:w="3135"/>
            <w:shd w:val="clear" w:color="auto" w:fill="e2e8f0"/>
          </w:tcPr>
          <w:p>
            <w:pPr>
              <w:jc w:val="center"/>
            </w:pPr>
            <w:r>
              <w:rPr>
                <w:color w:val="1E293B"/>
                <w:sz w:val="19"/>
              </w:rPr>
              <w:t>Seasonal credit, commodity finance</w:t>
            </w:r>
          </w:p>
        </w:tc>
      </w:tr>
      <w:tr>
        <w:tc>
          <w:tcPr>
            <w:tcW w:type="dxa" w:w="3135"/>
            <w:shd w:val="clear" w:color="auto" w:fill="f8fafc"/>
          </w:tcPr>
          <w:p>
            <w:pPr>
              <w:jc w:val="left"/>
            </w:pPr>
            <w:r>
              <w:rPr>
                <w:color w:val="1E293B"/>
                <w:sz w:val="19"/>
              </w:rPr>
              <w:t>Construction &amp; Real Estate</w:t>
            </w:r>
          </w:p>
        </w:tc>
        <w:tc>
          <w:tcPr>
            <w:tcW w:type="dxa" w:w="3135"/>
            <w:shd w:val="clear" w:color="auto" w:fill="f8fafc"/>
          </w:tcPr>
          <w:p>
            <w:pPr>
              <w:jc w:val="center"/>
            </w:pPr>
            <w:r>
              <w:rPr>
                <w:color w:val="1E293B"/>
                <w:sz w:val="19"/>
              </w:rPr>
              <w:t>5%</w:t>
            </w:r>
          </w:p>
        </w:tc>
        <w:tc>
          <w:tcPr>
            <w:tcW w:type="dxa" w:w="3135"/>
            <w:shd w:val="clear" w:color="auto" w:fill="f8fafc"/>
          </w:tcPr>
          <w:p>
            <w:pPr>
              <w:jc w:val="center"/>
            </w:pPr>
            <w:r>
              <w:rPr>
                <w:color w:val="1E293B"/>
                <w:sz w:val="19"/>
              </w:rPr>
              <w:t>Project finance, mortgage products</w:t>
            </w:r>
          </w:p>
        </w:tc>
      </w:tr>
      <w:tr>
        <w:tc>
          <w:tcPr>
            <w:tcW w:type="dxa" w:w="3135"/>
            <w:shd w:val="clear" w:color="auto" w:fill="e2e8f0"/>
          </w:tcPr>
          <w:p>
            <w:pPr>
              <w:jc w:val="left"/>
            </w:pPr>
            <w:r>
              <w:rPr>
                <w:color w:val="1E293B"/>
                <w:sz w:val="19"/>
              </w:rPr>
              <w:t>ICT &amp; Digital Services</w:t>
            </w:r>
          </w:p>
        </w:tc>
        <w:tc>
          <w:tcPr>
            <w:tcW w:type="dxa" w:w="3135"/>
            <w:shd w:val="clear" w:color="auto" w:fill="e2e8f0"/>
          </w:tcPr>
          <w:p>
            <w:pPr>
              <w:jc w:val="center"/>
            </w:pPr>
            <w:r>
              <w:rPr>
                <w:color w:val="1E293B"/>
                <w:sz w:val="19"/>
              </w:rPr>
              <w:t>5%</w:t>
            </w:r>
          </w:p>
        </w:tc>
        <w:tc>
          <w:tcPr>
            <w:tcW w:type="dxa" w:w="3135"/>
            <w:shd w:val="clear" w:color="auto" w:fill="e2e8f0"/>
          </w:tcPr>
          <w:p>
            <w:pPr>
              <w:jc w:val="center"/>
            </w:pPr>
            <w:r>
              <w:rPr>
                <w:color w:val="1E293B"/>
                <w:sz w:val="19"/>
              </w:rPr>
              <w:t>Working capital, equipment leasing</w:t>
            </w:r>
          </w:p>
        </w:tc>
      </w:tr>
    </w:tbl>
    <w:p/>
    <w:p>
      <w:pPr>
        <w:spacing w:before="360" w:after="160"/>
      </w:pPr>
      <w:r>
        <w:rPr>
          <w:b/>
          <w:color w:val="0F172A"/>
          <w:sz w:val="32"/>
        </w:rPr>
        <w:t>2.3  The Digital Opportunity</w:t>
      </w:r>
    </w:p>
    <w:p>
      <w:pPr>
        <w:spacing w:after="120" w:before="40"/>
      </w:pPr>
      <w:r>
        <w:rPr>
          <w:i w:val="0"/>
          <w:color w:val="1E293B"/>
          <w:sz w:val="21"/>
        </w:rPr>
        <w:t>Nigeria's mobile penetration rate stands at 84% with over 186 million active mobile subscribers (NCC, 2024). Smartphone adoption among SME owners in urban and peri-urban areas exceeds 71%. This creates an unprecedented distribution opportunity for mobile-first financial management tools. Business owners who would never use a desktop accounting software application will readily adopt a tool that fits into their existing mobile behaviour.</w:t>
      </w:r>
    </w:p>
    <w:p>
      <w:pPr>
        <w:spacing w:after="120" w:before="40"/>
      </w:pPr>
      <w:r>
        <w:rPr>
          <w:i w:val="0"/>
          <w:color w:val="1E293B"/>
          <w:sz w:val="21"/>
        </w:rPr>
        <w:t>The COVID-19 pandemic accelerated digital financial adoption among Nigerian SMEs. A 2023 Enhancing Financial Innovation &amp; Access (EFInA) study found that 67% of SME owners are now willing to use digital tools for business financial management — up from 31% in 2019. The market is ready. The infrastructure has been missing.</w:t>
      </w:r>
    </w:p>
    <w:p>
      <w:r>
        <w:br w:type="page"/>
      </w:r>
    </w:p>
    <w:p>
      <w:pPr>
        <w:keepNext/>
        <w:spacing w:before="360" w:after="160"/>
      </w:pPr>
      <w:r>
        <w:rPr>
          <w:b/>
          <w:color w:val="0F172A"/>
          <w:sz w:val="44"/>
        </w:rPr>
        <w:t>SECTION 3: PROBLEM STATEMENT — FINANCIAL INVISIBILITY</w:t>
      </w:r>
    </w:p>
    <w:p>
      <w:pPr>
        <w:pBdr>
          <w:bottom w:val="single" w:sz="6" w:space="4" w:color="3b82f6"/>
        </w:pBdr>
        <w:spacing w:after="200" w:before="80"/>
      </w:pPr>
    </w:p>
    <w:p>
      <w:pPr>
        <w:spacing w:before="360" w:after="160"/>
      </w:pPr>
      <w:r>
        <w:rPr>
          <w:b/>
          <w:color w:val="0F172A"/>
          <w:sz w:val="32"/>
        </w:rPr>
        <w:t>3.1  The Root Cause of SME Financial Failure</w:t>
      </w:r>
    </w:p>
    <w:p>
      <w:pPr>
        <w:spacing w:after="120" w:before="40"/>
      </w:pPr>
      <w:r>
        <w:rPr>
          <w:i w:val="0"/>
          <w:color w:val="1E293B"/>
          <w:sz w:val="21"/>
        </w:rPr>
        <w:t>The CBN's 2023 MSME Finance Report identifies poor financial management as the primary cause of SME failure in Nigeria — ahead of poor market demand, unfavourable economic conditions, or competition. This finding is consistent with World Bank research across Sub-Saharan Africa.</w:t>
      </w:r>
    </w:p>
    <w:p>
      <w:pPr>
        <w:spacing w:after="120" w:before="40"/>
      </w:pPr>
      <w:r>
        <w:rPr>
          <w:i w:val="0"/>
          <w:color w:val="1E293B"/>
          <w:sz w:val="21"/>
        </w:rPr>
        <w:t>Poor financial management is not a behaviour problem. It is an infrastructure problem. The tools that exist for financial management — accounting software packages, ERP systems, spreadsheet templates — were designed for businesses operating in Western markets with dedicated accounting staff, reliable internet connectivity, and owners trained in financial management. None of these conditions apply to the typical Nigerian SME.</w:t>
      </w:r>
    </w:p>
    <w:p>
      <w:pPr>
        <w:spacing w:after="120" w:before="40"/>
      </w:pPr>
      <w:r>
        <w:rPr>
          <w:i w:val="0"/>
          <w:color w:val="1E293B"/>
          <w:sz w:val="21"/>
        </w:rPr>
        <w:t>The result is a structural tools gap that has persisted for decades. And it has severe consequences — for business owners, for their employees, and for the banks that attempt to serve them.</w:t>
      </w:r>
    </w:p>
    <w:p>
      <w:pPr>
        <w:spacing w:before="360" w:after="160"/>
      </w:pPr>
      <w:r>
        <w:rPr>
          <w:b/>
          <w:color w:val="0F172A"/>
          <w:sz w:val="32"/>
        </w:rPr>
        <w:t>3.2  The Five Symptoms of Financial Invisibility</w:t>
      </w:r>
    </w:p>
    <w:p>
      <w:pPr>
        <w:pStyle w:val="ListBullet"/>
        <w:spacing w:after="60" w:before="40"/>
      </w:pPr>
      <w:r>
        <w:rPr>
          <w:b/>
          <w:color w:val="0F172A"/>
          <w:sz w:val="21"/>
        </w:rPr>
        <w:t xml:space="preserve">No Profit Awareness: </w:t>
      </w:r>
      <w:r>
        <w:rPr>
          <w:color w:val="1E293B"/>
          <w:sz w:val="21"/>
        </w:rPr>
        <w:t>The average Nigerian SME owner monitors their bank balance, not their profit. Revenue and profit are treated as synonymous — a misunderstanding that allows expenses to grow invisibly, eroding margins month after month without a single alert being triggered.</w:t>
      </w:r>
    </w:p>
    <w:p>
      <w:pPr>
        <w:pStyle w:val="ListBullet"/>
        <w:spacing w:after="60" w:before="40"/>
      </w:pPr>
      <w:r>
        <w:rPr>
          <w:b/>
          <w:color w:val="0F172A"/>
          <w:sz w:val="21"/>
        </w:rPr>
        <w:t xml:space="preserve">Untracked Expenses: </w:t>
      </w:r>
      <w:r>
        <w:rPr>
          <w:color w:val="1E293B"/>
          <w:sz w:val="21"/>
        </w:rPr>
        <w:t>Without a systematic expense tracking mechanism, costs accumulate silently. Our research indicates the average Nigerian SME loses ₦240,000 per year to expenses that were incurred but never formally recorded. This is not fraud — it is structural blindness.</w:t>
      </w:r>
    </w:p>
    <w:p>
      <w:pPr>
        <w:pStyle w:val="ListBullet"/>
        <w:spacing w:after="60" w:before="40"/>
      </w:pPr>
      <w:r>
        <w:rPr>
          <w:b/>
          <w:color w:val="0F172A"/>
          <w:sz w:val="21"/>
        </w:rPr>
        <w:t xml:space="preserve">Invoice Abandonment: </w:t>
      </w:r>
      <w:r>
        <w:rPr>
          <w:color w:val="1E293B"/>
          <w:sz w:val="21"/>
        </w:rPr>
        <w:t>A significant proportion of SME revenue is delivered on credit without formal invoicing. When there is no invoice, there is no legal documentation of the debt, no systematic follow-up, and no recourse when a customer delays or defaults. The average SME has ₦180,000+ in abandoned receivables annually.</w:t>
      </w:r>
    </w:p>
    <w:p>
      <w:pPr>
        <w:pStyle w:val="ListBullet"/>
        <w:spacing w:after="60" w:before="40"/>
      </w:pPr>
      <w:r>
        <w:rPr>
          <w:b/>
          <w:color w:val="0F172A"/>
          <w:sz w:val="21"/>
        </w:rPr>
        <w:t xml:space="preserve">Cash Flow Shock: </w:t>
      </w:r>
      <w:r>
        <w:rPr>
          <w:color w:val="1E293B"/>
          <w:sz w:val="21"/>
        </w:rPr>
        <w:t>Because SME owners cannot see their cash flow in advance, they are routinely blindsided by liquidity crises — periods when outflows exceed inflows and the business cannot meet its immediate obligations. These crises are entirely predictable with the right tool, yet they destroy otherwise viable businesses.</w:t>
      </w:r>
    </w:p>
    <w:p>
      <w:pPr>
        <w:pStyle w:val="ListBullet"/>
        <w:spacing w:after="60" w:before="40"/>
      </w:pPr>
      <w:r>
        <w:rPr>
          <w:b/>
          <w:color w:val="0F172A"/>
          <w:sz w:val="21"/>
        </w:rPr>
        <w:t xml:space="preserve">Credit Inaccessibility: </w:t>
      </w:r>
      <w:r>
        <w:rPr>
          <w:color w:val="1E293B"/>
          <w:sz w:val="21"/>
        </w:rPr>
        <w:t>When an SME owner applies for a bank loan, the credit officer asks for financial statements. In 74% of cases, the business owner cannot provide them. This is the single most cited reason for SME loan rejection in Nigeria — not poor creditworthiness, but missing documentation.</w:t>
      </w:r>
    </w:p>
    <w:p>
      <w:pPr>
        <w:spacing w:before="360" w:after="160"/>
      </w:pPr>
      <w:r>
        <w:rPr>
          <w:b/>
          <w:color w:val="0F172A"/>
          <w:sz w:val="32"/>
        </w:rPr>
        <w:t>3.3  What This Costs Zenith Bank</w:t>
      </w:r>
    </w:p>
    <w:p>
      <w:pPr>
        <w:spacing w:after="120" w:before="40"/>
      </w:pPr>
      <w:r>
        <w:rPr>
          <w:i w:val="0"/>
          <w:color w:val="1E293B"/>
          <w:sz w:val="21"/>
        </w:rPr>
        <w:t>Financial invisibility in the SME sector creates direct, quantifiable costs for Zenith Bank across four areas: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0f172a"/>
          </w:tcPr>
          <w:p>
            <w:pPr>
              <w:jc w:val="center"/>
            </w:pPr>
            <w:r>
              <w:rPr>
                <w:b/>
                <w:color w:val="FFFFFF"/>
                <w:sz w:val="19"/>
              </w:rPr>
              <w:t>Cost Area</w:t>
            </w:r>
          </w:p>
        </w:tc>
        <w:tc>
          <w:tcPr>
            <w:tcW w:type="dxa" w:w="3135"/>
            <w:shd w:val="clear" w:color="auto" w:fill="0f172a"/>
          </w:tcPr>
          <w:p>
            <w:pPr>
              <w:jc w:val="center"/>
            </w:pPr>
            <w:r>
              <w:rPr>
                <w:b/>
                <w:color w:val="FFFFFF"/>
                <w:sz w:val="19"/>
              </w:rPr>
              <w:t>Description</w:t>
            </w:r>
          </w:p>
        </w:tc>
        <w:tc>
          <w:tcPr>
            <w:tcW w:type="dxa" w:w="3135"/>
            <w:shd w:val="clear" w:color="auto" w:fill="0f172a"/>
          </w:tcPr>
          <w:p>
            <w:pPr>
              <w:jc w:val="center"/>
            </w:pPr>
            <w:r>
              <w:rPr>
                <w:b/>
                <w:color w:val="FFFFFF"/>
                <w:sz w:val="19"/>
              </w:rPr>
              <w:t>Estimated Annual Impact</w:t>
            </w:r>
          </w:p>
        </w:tc>
      </w:tr>
      <w:tr>
        <w:tc>
          <w:tcPr>
            <w:tcW w:type="dxa" w:w="3135"/>
            <w:shd w:val="clear" w:color="auto" w:fill="f8fafc"/>
          </w:tcPr>
          <w:p>
            <w:pPr>
              <w:jc w:val="left"/>
            </w:pPr>
            <w:r>
              <w:rPr>
                <w:color w:val="1E293B"/>
                <w:sz w:val="19"/>
              </w:rPr>
              <w:t>High origination cost</w:t>
            </w:r>
          </w:p>
        </w:tc>
        <w:tc>
          <w:tcPr>
            <w:tcW w:type="dxa" w:w="3135"/>
            <w:shd w:val="clear" w:color="auto" w:fill="f8fafc"/>
          </w:tcPr>
          <w:p>
            <w:pPr>
              <w:jc w:val="center"/>
            </w:pPr>
            <w:r>
              <w:rPr>
                <w:color w:val="1E293B"/>
                <w:sz w:val="19"/>
              </w:rPr>
              <w:t>Manual collection and verification of incomplete SME financial documents</w:t>
            </w:r>
          </w:p>
        </w:tc>
        <w:tc>
          <w:tcPr>
            <w:tcW w:type="dxa" w:w="3135"/>
            <w:shd w:val="clear" w:color="auto" w:fill="f8fafc"/>
          </w:tcPr>
          <w:p>
            <w:pPr>
              <w:jc w:val="center"/>
            </w:pPr>
            <w:r>
              <w:rPr>
                <w:color w:val="1E293B"/>
                <w:sz w:val="19"/>
              </w:rPr>
              <w:t>₦8,500 per application</w:t>
            </w:r>
          </w:p>
        </w:tc>
      </w:tr>
      <w:tr>
        <w:tc>
          <w:tcPr>
            <w:tcW w:type="dxa" w:w="3135"/>
            <w:shd w:val="clear" w:color="auto" w:fill="e2e8f0"/>
          </w:tcPr>
          <w:p>
            <w:pPr>
              <w:jc w:val="left"/>
            </w:pPr>
            <w:r>
              <w:rPr>
                <w:color w:val="1E293B"/>
                <w:sz w:val="19"/>
              </w:rPr>
              <w:t>Elevated NPL rate</w:t>
            </w:r>
          </w:p>
        </w:tc>
        <w:tc>
          <w:tcPr>
            <w:tcW w:type="dxa" w:w="3135"/>
            <w:shd w:val="clear" w:color="auto" w:fill="e2e8f0"/>
          </w:tcPr>
          <w:p>
            <w:pPr>
              <w:jc w:val="center"/>
            </w:pPr>
            <w:r>
              <w:rPr>
                <w:color w:val="1E293B"/>
                <w:sz w:val="19"/>
              </w:rPr>
              <w:t>Poor pre-disbursement assessment leads to mispriced credit risk</w:t>
            </w:r>
          </w:p>
        </w:tc>
        <w:tc>
          <w:tcPr>
            <w:tcW w:type="dxa" w:w="3135"/>
            <w:shd w:val="clear" w:color="auto" w:fill="e2e8f0"/>
          </w:tcPr>
          <w:p>
            <w:pPr>
              <w:jc w:val="center"/>
            </w:pPr>
            <w:r>
              <w:rPr>
                <w:color w:val="1E293B"/>
                <w:sz w:val="19"/>
              </w:rPr>
              <w:t>2-4% above optimal rate</w:t>
            </w:r>
          </w:p>
        </w:tc>
      </w:tr>
      <w:tr>
        <w:tc>
          <w:tcPr>
            <w:tcW w:type="dxa" w:w="3135"/>
            <w:shd w:val="clear" w:color="auto" w:fill="f8fafc"/>
          </w:tcPr>
          <w:p>
            <w:pPr>
              <w:jc w:val="left"/>
            </w:pPr>
            <w:r>
              <w:rPr>
                <w:color w:val="1E293B"/>
                <w:sz w:val="19"/>
              </w:rPr>
              <w:t>Lost loan revenue</w:t>
            </w:r>
          </w:p>
        </w:tc>
        <w:tc>
          <w:tcPr>
            <w:tcW w:type="dxa" w:w="3135"/>
            <w:shd w:val="clear" w:color="auto" w:fill="f8fafc"/>
          </w:tcPr>
          <w:p>
            <w:pPr>
              <w:jc w:val="center"/>
            </w:pPr>
            <w:r>
              <w:rPr>
                <w:color w:val="1E293B"/>
                <w:sz w:val="19"/>
              </w:rPr>
              <w:t>Creditworthy SMEs rejected for lack of documentation</w:t>
            </w:r>
          </w:p>
        </w:tc>
        <w:tc>
          <w:tcPr>
            <w:tcW w:type="dxa" w:w="3135"/>
            <w:shd w:val="clear" w:color="auto" w:fill="f8fafc"/>
          </w:tcPr>
          <w:p>
            <w:pPr>
              <w:jc w:val="center"/>
            </w:pPr>
            <w:r>
              <w:rPr>
                <w:color w:val="1E293B"/>
                <w:sz w:val="19"/>
              </w:rPr>
              <w:t>₦14B+ addressable annually</w:t>
            </w:r>
          </w:p>
        </w:tc>
      </w:tr>
      <w:tr>
        <w:tc>
          <w:tcPr>
            <w:tcW w:type="dxa" w:w="3135"/>
            <w:shd w:val="clear" w:color="auto" w:fill="e2e8f0"/>
          </w:tcPr>
          <w:p>
            <w:pPr>
              <w:jc w:val="left"/>
            </w:pPr>
            <w:r>
              <w:rPr>
                <w:color w:val="1E293B"/>
                <w:sz w:val="19"/>
              </w:rPr>
              <w:t>Portfolio opacity</w:t>
            </w:r>
          </w:p>
        </w:tc>
        <w:tc>
          <w:tcPr>
            <w:tcW w:type="dxa" w:w="3135"/>
            <w:shd w:val="clear" w:color="auto" w:fill="e2e8f0"/>
          </w:tcPr>
          <w:p>
            <w:pPr>
              <w:jc w:val="center"/>
            </w:pPr>
            <w:r>
              <w:rPr>
                <w:color w:val="1E293B"/>
                <w:sz w:val="19"/>
              </w:rPr>
              <w:t>No real-time monitoring between quarterly reports</w:t>
            </w:r>
          </w:p>
        </w:tc>
        <w:tc>
          <w:tcPr>
            <w:tcW w:type="dxa" w:w="3135"/>
            <w:shd w:val="clear" w:color="auto" w:fill="e2e8f0"/>
          </w:tcPr>
          <w:p>
            <w:pPr>
              <w:jc w:val="center"/>
            </w:pPr>
            <w:r>
              <w:rPr>
                <w:color w:val="1E293B"/>
                <w:sz w:val="19"/>
              </w:rPr>
              <w:t>Late NPL detection</w:t>
            </w:r>
          </w:p>
        </w:tc>
      </w:tr>
      <w:tr>
        <w:tc>
          <w:tcPr>
            <w:tcW w:type="dxa" w:w="3135"/>
            <w:shd w:val="clear" w:color="auto" w:fill="f8fafc"/>
          </w:tcPr>
          <w:p>
            <w:pPr>
              <w:jc w:val="left"/>
            </w:pPr>
            <w:r>
              <w:rPr>
                <w:color w:val="1E293B"/>
                <w:sz w:val="19"/>
              </w:rPr>
              <w:t>Customer attrition</w:t>
            </w:r>
          </w:p>
        </w:tc>
        <w:tc>
          <w:tcPr>
            <w:tcW w:type="dxa" w:w="3135"/>
            <w:shd w:val="clear" w:color="auto" w:fill="f8fafc"/>
          </w:tcPr>
          <w:p>
            <w:pPr>
              <w:jc w:val="center"/>
            </w:pPr>
            <w:r>
              <w:rPr>
                <w:color w:val="1E293B"/>
                <w:sz w:val="19"/>
              </w:rPr>
              <w:t>Rejected SMEs seek informal finance and exit the Zenith ecosystem</w:t>
            </w:r>
          </w:p>
        </w:tc>
        <w:tc>
          <w:tcPr>
            <w:tcW w:type="dxa" w:w="3135"/>
            <w:shd w:val="clear" w:color="auto" w:fill="f8fafc"/>
          </w:tcPr>
          <w:p>
            <w:pPr>
              <w:jc w:val="center"/>
            </w:pPr>
            <w:r>
              <w:rPr>
                <w:color w:val="1E293B"/>
                <w:sz w:val="19"/>
              </w:rPr>
              <w:t>Long-term LTV loss</w:t>
            </w:r>
          </w:p>
        </w:tc>
      </w:tr>
    </w:tbl>
    <w:p/>
    <w:p>
      <w:r>
        <w:br w:type="page"/>
      </w:r>
    </w:p>
    <w:p>
      <w:pPr>
        <w:keepNext/>
        <w:spacing w:before="360" w:after="160"/>
      </w:pPr>
      <w:r>
        <w:rPr>
          <w:b/>
          <w:color w:val="0F172A"/>
          <w:sz w:val="44"/>
        </w:rPr>
        <w:t>SECTION 4: THE QUAD360 SOLUTION</w:t>
      </w:r>
    </w:p>
    <w:p>
      <w:pPr>
        <w:pBdr>
          <w:bottom w:val="single" w:sz="6" w:space="4" w:color="3b82f6"/>
        </w:pBdr>
        <w:spacing w:after="200" w:before="80"/>
      </w:pPr>
    </w:p>
    <w:p>
      <w:pPr>
        <w:spacing w:before="360" w:after="160"/>
      </w:pPr>
      <w:r>
        <w:rPr>
          <w:b/>
          <w:color w:val="0F172A"/>
          <w:sz w:val="32"/>
        </w:rPr>
        <w:t>4.1  What Quad360 Is</w:t>
      </w:r>
    </w:p>
    <w:p>
      <w:pPr>
        <w:spacing w:after="120" w:before="40"/>
      </w:pPr>
      <w:r>
        <w:rPr>
          <w:i w:val="0"/>
          <w:color w:val="1E293B"/>
          <w:sz w:val="21"/>
        </w:rPr>
        <w:t>Quad360 is a Financial Operating System — not a simple accounting app, not a bookkeeping tool, but a complete intelligent financial platform that operates as the financial nervous system of an SME. It was built from the ground up for the Nigerian market — mobile-first, offline-capable, naira-native, and designed for business owners without accounting training.</w:t>
      </w:r>
    </w:p>
    <w:p>
      <w:pPr>
        <w:spacing w:after="120" w:before="40"/>
      </w:pPr>
      <w:r>
        <w:rPr>
          <w:i w:val="0"/>
          <w:color w:val="1E293B"/>
          <w:sz w:val="21"/>
        </w:rPr>
        <w:t>The name Quad360 reflects our core promise: complete, all-round financial visibility. Every angle of a business's financial life — seen, understood, and acted upon.</w:t>
      </w:r>
    </w:p>
    <w:p>
      <w:pPr>
        <w:spacing w:before="360" w:after="160"/>
      </w:pPr>
      <w:r>
        <w:rPr>
          <w:b/>
          <w:color w:val="0F172A"/>
          <w:sz w:val="32"/>
        </w:rPr>
        <w:t>4.2  The Five Pillars of the Quad360 Financial OS</w:t>
      </w:r>
    </w:p>
    <w:p>
      <w:pPr>
        <w:spacing w:before="360" w:after="160"/>
      </w:pPr>
      <w:r>
        <w:rPr>
          <w:b/>
          <w:color w:val="3B82F6"/>
          <w:sz w:val="26"/>
        </w:rPr>
        <w:t>📥  PILLAR 1: CAPTURES</w:t>
      </w:r>
    </w:p>
    <w:p>
      <w:pPr>
        <w:spacing w:after="120" w:before="40"/>
      </w:pPr>
      <w:r>
        <w:rPr>
          <w:i w:val="0"/>
          <w:color w:val="1E293B"/>
          <w:sz w:val="21"/>
        </w:rPr>
        <w:t>Every financial event that occurs in the business is captured in real time. Income from a sale. An expense payment. An invoice sent to a customer. A loan repayment made. A salary disbursed. Every event is logged in seconds, assigned to a category, timestamped, and stored in the business's permanent financial record.</w:t>
        <w:br/>
        <w:br/>
        <w:t>Capture is the foundation. Without structured data capture, computation is impossible, forecasting is guesswork, and financial records do not exist. Quad360's Capture engine is designed to make data entry so fast and frictionless — 10 seconds per transaction — that it becomes a natural part of the business owner's daily routine rather than an administrative burden.</w:t>
      </w:r>
    </w:p>
    <w:p>
      <w:pPr>
        <w:spacing w:before="360" w:after="160"/>
      </w:pPr>
      <w:r>
        <w:rPr>
          <w:b/>
          <w:color w:val="3B82F6"/>
          <w:sz w:val="26"/>
        </w:rPr>
        <w:t>🧮  PILLAR 2: COMPUTES</w:t>
      </w:r>
    </w:p>
    <w:p>
      <w:pPr>
        <w:spacing w:after="120" w:before="40"/>
      </w:pPr>
      <w:r>
        <w:rPr>
          <w:i w:val="0"/>
          <w:color w:val="1E293B"/>
          <w:sz w:val="21"/>
        </w:rPr>
        <w:t>From captured data, Quad360 automatically calculates the full suite of financial metrics that matter — in real time, without any action required from the user:</w:t>
        <w:br/>
        <w:br/>
        <w:t>• Net Profit and Profit Margin (updated with every transaction)</w:t>
        <w:br/>
        <w:t>• Gross Profit and Gross Margin (COGS separated from operating expenses)</w:t>
        <w:br/>
        <w:t>• EBIT (Earnings Before Interest and Tax)</w:t>
        <w:br/>
        <w:t>• EBITDA (Earnings Before Interest, Tax, Depreciation and Amortisation)</w:t>
        <w:br/>
        <w:t>• Break-Even Point and Margin of Safety</w:t>
        <w:br/>
        <w:t>• Current Ratio and Debt-to-Equity Ratio</w:t>
        <w:br/>
        <w:t>• Return on Equity</w:t>
        <w:br/>
        <w:t>• Accounts Receivable Aging (30/60/90 day buckets)</w:t>
        <w:br/>
        <w:br/>
        <w:t>All ratios are benchmarked against size-appropriate thresholds — micro, small, medium, and large businesses each have different healthy ranges, and Quad360 classifies each business and applies the correct benchmark automatically.</w:t>
      </w:r>
    </w:p>
    <w:p>
      <w:pPr>
        <w:spacing w:before="360" w:after="160"/>
      </w:pPr>
      <w:r>
        <w:rPr>
          <w:b/>
          <w:color w:val="3B82F6"/>
          <w:sz w:val="26"/>
        </w:rPr>
        <w:t>🔗  PILLAR 3: CONNECTS</w:t>
      </w:r>
    </w:p>
    <w:p>
      <w:pPr>
        <w:spacing w:after="120" w:before="40"/>
      </w:pPr>
      <w:r>
        <w:rPr>
          <w:i w:val="0"/>
          <w:color w:val="1E293B"/>
          <w:sz w:val="21"/>
        </w:rPr>
        <w:t>Quad360 connects every dimension of a business's financial world into a single unified picture:</w:t>
        <w:br/>
        <w:br/>
        <w:t>• Bank Account Sync via Pngme integration — transactions imported and reconciled automatically</w:t>
        <w:br/>
        <w:t>• Customer Invoice Management — creation, delivery, tracking, and aging analysis</w:t>
        <w:br/>
        <w:t>• Staff Payroll — salary processing, payslip generation, deduction management</w:t>
        <w:br/>
        <w:t>• Business Asset Tracking — depreciation calculation and net book value</w:t>
        <w:br/>
        <w:t>• Inventory Management — stock levels, cost of goods, low-stock alerts</w:t>
        <w:br/>
        <w:t>• Payment Gateways — Paystack and Flutterwave collections recorded and matched</w:t>
        <w:br/>
        <w:t>• Bank Statement Reconciliation — CSV import with automatic date normalisation for Nigerian bank formats</w:t>
        <w:br/>
        <w:br/>
        <w:t>Critically, every module shares a single data layer. A payroll run automatically posts as a categorised expense transaction. An invoice payment automatically updates the AR balance and cash flow forecast. An asset purchase feeds the EBITDA computation. Nothing lives in isolation — the system thinks as one.</w:t>
      </w:r>
    </w:p>
    <w:p>
      <w:pPr>
        <w:spacing w:before="360" w:after="160"/>
      </w:pPr>
      <w:r>
        <w:rPr>
          <w:b/>
          <w:color w:val="3B82F6"/>
          <w:sz w:val="26"/>
        </w:rPr>
        <w:t>🧠  PILLAR 4: ADVISES</w:t>
      </w:r>
    </w:p>
    <w:p>
      <w:pPr>
        <w:spacing w:after="120" w:before="40"/>
      </w:pPr>
      <w:r>
        <w:rPr>
          <w:i w:val="0"/>
          <w:color w:val="1E293B"/>
          <w:sz w:val="21"/>
        </w:rPr>
        <w:t>Quad360 includes an AI Business Advisor — an artificial intelligence layer that reads the business's actual financial data and provides specific, contextual, actionable guidance. This is not generic financial advice. It is answers derived from the real numbers of that specific business.</w:t>
        <w:br/>
        <w:br/>
        <w:t>Business owners ask questions such as:</w:t>
        <w:br/>
        <w:t>• 'Why is my profit lower this month than last month?'</w:t>
        <w:br/>
        <w:t>• 'What is my biggest expense category and is it reasonable?'</w:t>
        <w:br/>
        <w:t>• 'Can my business afford to hire an additional staff member?'</w:t>
        <w:br/>
        <w:t>• 'Which of my services or products generates the highest margin?'</w:t>
        <w:br/>
        <w:t>• 'Am I on track to hit my monthly revenue target?'</w:t>
        <w:br/>
        <w:br/>
        <w:t>The AI Advisor synthesises the business's complete financial history and provides answers that a CFO would provide — without the ₦150,000 monthly retainer.</w:t>
      </w:r>
    </w:p>
    <w:p>
      <w:pPr>
        <w:spacing w:before="360" w:after="160"/>
      </w:pPr>
      <w:r>
        <w:rPr>
          <w:b/>
          <w:color w:val="3B82F6"/>
          <w:sz w:val="26"/>
        </w:rPr>
        <w:t>📡  PILLAR 5: FORECASTS</w:t>
      </w:r>
    </w:p>
    <w:p>
      <w:pPr>
        <w:spacing w:after="120" w:before="40"/>
      </w:pPr>
      <w:r>
        <w:rPr>
          <w:i w:val="0"/>
          <w:color w:val="1E293B"/>
          <w:sz w:val="21"/>
        </w:rPr>
        <w:t>Quad360 generates a 12-month cash flow forecast from the business's transaction history, outstanding invoice due dates, and recurring expense patterns. The forecast is not a static projection — it updates automatically as new data is logged, providing a continuously current view of where the business's cash position is heading.</w:t>
        <w:br/>
        <w:br/>
        <w:t>The forecast enables business owners to:</w:t>
        <w:br/>
        <w:t>• Identify months where outflows are likely to exceed inflows — weeks or months before it happens</w:t>
        <w:br/>
        <w:t>• Plan invoice collection campaigns ahead of known tight periods</w:t>
        <w:br/>
        <w:t>• Make informed decisions about capital expenditure timing</w:t>
        <w:br/>
        <w:t>• Provide lenders with forward-looking financial projections backed by historical data</w:t>
      </w:r>
    </w:p>
    <w:p>
      <w:pPr>
        <w:spacing w:before="360" w:after="160"/>
      </w:pPr>
      <w:r>
        <w:rPr>
          <w:b/>
          <w:color w:val="0F172A"/>
          <w:sz w:val="32"/>
        </w:rPr>
        <w:t>4.3  Complete Feature Set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0f172a"/>
          </w:tcPr>
          <w:p>
            <w:pPr>
              <w:jc w:val="center"/>
            </w:pPr>
            <w:r>
              <w:rPr>
                <w:b/>
                <w:color w:val="FFFFFF"/>
                <w:sz w:val="19"/>
              </w:rPr>
              <w:t>Module</w:t>
            </w:r>
          </w:p>
        </w:tc>
        <w:tc>
          <w:tcPr>
            <w:tcW w:type="dxa" w:w="3135"/>
            <w:shd w:val="clear" w:color="auto" w:fill="0f172a"/>
          </w:tcPr>
          <w:p>
            <w:pPr>
              <w:jc w:val="center"/>
            </w:pPr>
            <w:r>
              <w:rPr>
                <w:b/>
                <w:color w:val="FFFFFF"/>
                <w:sz w:val="19"/>
              </w:rPr>
              <w:t>Description</w:t>
            </w:r>
          </w:p>
        </w:tc>
        <w:tc>
          <w:tcPr>
            <w:tcW w:type="dxa" w:w="3135"/>
            <w:shd w:val="clear" w:color="auto" w:fill="0f172a"/>
          </w:tcPr>
          <w:p>
            <w:pPr>
              <w:jc w:val="center"/>
            </w:pPr>
            <w:r>
              <w:rPr>
                <w:b/>
                <w:color w:val="FFFFFF"/>
                <w:sz w:val="19"/>
              </w:rPr>
              <w:t>Relevance to Zenith Bank</w:t>
            </w:r>
          </w:p>
        </w:tc>
      </w:tr>
      <w:tr>
        <w:tc>
          <w:tcPr>
            <w:tcW w:type="dxa" w:w="3135"/>
            <w:shd w:val="clear" w:color="auto" w:fill="f8fafc"/>
          </w:tcPr>
          <w:p>
            <w:pPr>
              <w:jc w:val="left"/>
            </w:pPr>
            <w:r>
              <w:rPr>
                <w:color w:val="1E293B"/>
                <w:sz w:val="19"/>
              </w:rPr>
              <w:t>Dashboard</w:t>
            </w:r>
          </w:p>
        </w:tc>
        <w:tc>
          <w:tcPr>
            <w:tcW w:type="dxa" w:w="3135"/>
            <w:shd w:val="clear" w:color="auto" w:fill="f8fafc"/>
          </w:tcPr>
          <w:p>
            <w:pPr>
              <w:jc w:val="center"/>
            </w:pPr>
            <w:r>
              <w:rPr>
                <w:color w:val="1E293B"/>
                <w:sz w:val="19"/>
              </w:rPr>
              <w:t>Real-time command centre — profit, cash, goals, quick-add</w:t>
            </w:r>
          </w:p>
        </w:tc>
        <w:tc>
          <w:tcPr>
            <w:tcW w:type="dxa" w:w="3135"/>
            <w:shd w:val="clear" w:color="auto" w:fill="f8fafc"/>
          </w:tcPr>
          <w:p>
            <w:pPr>
              <w:jc w:val="center"/>
            </w:pPr>
            <w:r>
              <w:rPr>
                <w:color w:val="1E293B"/>
                <w:sz w:val="19"/>
              </w:rPr>
              <w:t>Daily engagement driver</w:t>
            </w:r>
          </w:p>
        </w:tc>
      </w:tr>
      <w:tr>
        <w:tc>
          <w:tcPr>
            <w:tcW w:type="dxa" w:w="3135"/>
            <w:shd w:val="clear" w:color="auto" w:fill="e2e8f0"/>
          </w:tcPr>
          <w:p>
            <w:pPr>
              <w:jc w:val="left"/>
            </w:pPr>
            <w:r>
              <w:rPr>
                <w:color w:val="1E293B"/>
                <w:sz w:val="19"/>
              </w:rPr>
              <w:t>Transactions</w:t>
            </w:r>
          </w:p>
        </w:tc>
        <w:tc>
          <w:tcPr>
            <w:tcW w:type="dxa" w:w="3135"/>
            <w:shd w:val="clear" w:color="auto" w:fill="e2e8f0"/>
          </w:tcPr>
          <w:p>
            <w:pPr>
              <w:jc w:val="center"/>
            </w:pPr>
            <w:r>
              <w:rPr>
                <w:color w:val="1E293B"/>
                <w:sz w:val="19"/>
              </w:rPr>
              <w:t>Income/expense logging with 25+ categories</w:t>
            </w:r>
          </w:p>
        </w:tc>
        <w:tc>
          <w:tcPr>
            <w:tcW w:type="dxa" w:w="3135"/>
            <w:shd w:val="clear" w:color="auto" w:fill="e2e8f0"/>
          </w:tcPr>
          <w:p>
            <w:pPr>
              <w:jc w:val="center"/>
            </w:pPr>
            <w:r>
              <w:rPr>
                <w:color w:val="1E293B"/>
                <w:sz w:val="19"/>
              </w:rPr>
              <w:t>Core data generation</w:t>
            </w:r>
          </w:p>
        </w:tc>
      </w:tr>
      <w:tr>
        <w:tc>
          <w:tcPr>
            <w:tcW w:type="dxa" w:w="3135"/>
            <w:shd w:val="clear" w:color="auto" w:fill="f8fafc"/>
          </w:tcPr>
          <w:p>
            <w:pPr>
              <w:jc w:val="left"/>
            </w:pPr>
            <w:r>
              <w:rPr>
                <w:color w:val="1E293B"/>
                <w:sz w:val="19"/>
              </w:rPr>
              <w:t>Invoices</w:t>
            </w:r>
          </w:p>
        </w:tc>
        <w:tc>
          <w:tcPr>
            <w:tcW w:type="dxa" w:w="3135"/>
            <w:shd w:val="clear" w:color="auto" w:fill="f8fafc"/>
          </w:tcPr>
          <w:p>
            <w:pPr>
              <w:jc w:val="center"/>
            </w:pPr>
            <w:r>
              <w:rPr>
                <w:color w:val="1E293B"/>
                <w:sz w:val="19"/>
              </w:rPr>
              <w:t>Professional invoice creation, tracking, aging</w:t>
            </w:r>
          </w:p>
        </w:tc>
        <w:tc>
          <w:tcPr>
            <w:tcW w:type="dxa" w:w="3135"/>
            <w:shd w:val="clear" w:color="auto" w:fill="f8fafc"/>
          </w:tcPr>
          <w:p>
            <w:pPr>
              <w:jc w:val="center"/>
            </w:pPr>
            <w:r>
              <w:rPr>
                <w:color w:val="1E293B"/>
                <w:sz w:val="19"/>
              </w:rPr>
              <w:t>AR documentation</w:t>
            </w:r>
          </w:p>
        </w:tc>
      </w:tr>
      <w:tr>
        <w:tc>
          <w:tcPr>
            <w:tcW w:type="dxa" w:w="3135"/>
            <w:shd w:val="clear" w:color="auto" w:fill="e2e8f0"/>
          </w:tcPr>
          <w:p>
            <w:pPr>
              <w:jc w:val="left"/>
            </w:pPr>
            <w:r>
              <w:rPr>
                <w:color w:val="1E293B"/>
                <w:sz w:val="19"/>
              </w:rPr>
              <w:t>Cash Flow Screen</w:t>
            </w:r>
          </w:p>
        </w:tc>
        <w:tc>
          <w:tcPr>
            <w:tcW w:type="dxa" w:w="3135"/>
            <w:shd w:val="clear" w:color="auto" w:fill="e2e8f0"/>
          </w:tcPr>
          <w:p>
            <w:pPr>
              <w:jc w:val="center"/>
            </w:pPr>
            <w:r>
              <w:rPr>
                <w:color w:val="1E293B"/>
                <w:sz w:val="19"/>
              </w:rPr>
              <w:t>12-month forecast + AR risk analysis</w:t>
            </w:r>
          </w:p>
        </w:tc>
        <w:tc>
          <w:tcPr>
            <w:tcW w:type="dxa" w:w="3135"/>
            <w:shd w:val="clear" w:color="auto" w:fill="e2e8f0"/>
          </w:tcPr>
          <w:p>
            <w:pPr>
              <w:jc w:val="center"/>
            </w:pPr>
            <w:r>
              <w:rPr>
                <w:color w:val="1E293B"/>
                <w:sz w:val="19"/>
              </w:rPr>
              <w:t>Loan repayment planning</w:t>
            </w:r>
          </w:p>
        </w:tc>
      </w:tr>
      <w:tr>
        <w:tc>
          <w:tcPr>
            <w:tcW w:type="dxa" w:w="3135"/>
            <w:shd w:val="clear" w:color="auto" w:fill="f8fafc"/>
          </w:tcPr>
          <w:p>
            <w:pPr>
              <w:jc w:val="left"/>
            </w:pPr>
            <w:r>
              <w:rPr>
                <w:color w:val="1E293B"/>
                <w:sz w:val="19"/>
              </w:rPr>
              <w:t>Reports</w:t>
            </w:r>
          </w:p>
        </w:tc>
        <w:tc>
          <w:tcPr>
            <w:tcW w:type="dxa" w:w="3135"/>
            <w:shd w:val="clear" w:color="auto" w:fill="f8fafc"/>
          </w:tcPr>
          <w:p>
            <w:pPr>
              <w:jc w:val="center"/>
            </w:pPr>
            <w:r>
              <w:rPr>
                <w:color w:val="1E293B"/>
                <w:sz w:val="19"/>
              </w:rPr>
              <w:t>P&amp;L, revenue breakdown, expense analysis</w:t>
            </w:r>
          </w:p>
        </w:tc>
        <w:tc>
          <w:tcPr>
            <w:tcW w:type="dxa" w:w="3135"/>
            <w:shd w:val="clear" w:color="auto" w:fill="f8fafc"/>
          </w:tcPr>
          <w:p>
            <w:pPr>
              <w:jc w:val="center"/>
            </w:pPr>
            <w:r>
              <w:rPr>
                <w:color w:val="1E293B"/>
                <w:sz w:val="19"/>
              </w:rPr>
              <w:t>Credit assessment ready</w:t>
            </w:r>
          </w:p>
        </w:tc>
      </w:tr>
      <w:tr>
        <w:tc>
          <w:tcPr>
            <w:tcW w:type="dxa" w:w="3135"/>
            <w:shd w:val="clear" w:color="auto" w:fill="e2e8f0"/>
          </w:tcPr>
          <w:p>
            <w:pPr>
              <w:jc w:val="left"/>
            </w:pPr>
            <w:r>
              <w:rPr>
                <w:color w:val="1E293B"/>
                <w:sz w:val="19"/>
              </w:rPr>
              <w:t>Goals</w:t>
            </w:r>
          </w:p>
        </w:tc>
        <w:tc>
          <w:tcPr>
            <w:tcW w:type="dxa" w:w="3135"/>
            <w:shd w:val="clear" w:color="auto" w:fill="e2e8f0"/>
          </w:tcPr>
          <w:p>
            <w:pPr>
              <w:jc w:val="center"/>
            </w:pPr>
            <w:r>
              <w:rPr>
                <w:color w:val="1E293B"/>
                <w:sz w:val="19"/>
              </w:rPr>
              <w:t>Financial target-setting with live progress tracking</w:t>
            </w:r>
          </w:p>
        </w:tc>
        <w:tc>
          <w:tcPr>
            <w:tcW w:type="dxa" w:w="3135"/>
            <w:shd w:val="clear" w:color="auto" w:fill="e2e8f0"/>
          </w:tcPr>
          <w:p>
            <w:pPr>
              <w:jc w:val="center"/>
            </w:pPr>
            <w:r>
              <w:rPr>
                <w:color w:val="1E293B"/>
                <w:sz w:val="19"/>
              </w:rPr>
              <w:t>SME discipline building</w:t>
            </w:r>
          </w:p>
        </w:tc>
      </w:tr>
      <w:tr>
        <w:tc>
          <w:tcPr>
            <w:tcW w:type="dxa" w:w="3135"/>
            <w:shd w:val="clear" w:color="auto" w:fill="f8fafc"/>
          </w:tcPr>
          <w:p>
            <w:pPr>
              <w:jc w:val="left"/>
            </w:pPr>
            <w:r>
              <w:rPr>
                <w:color w:val="1E293B"/>
                <w:sz w:val="19"/>
              </w:rPr>
              <w:t>Payroll</w:t>
            </w:r>
          </w:p>
        </w:tc>
        <w:tc>
          <w:tcPr>
            <w:tcW w:type="dxa" w:w="3135"/>
            <w:shd w:val="clear" w:color="auto" w:fill="f8fafc"/>
          </w:tcPr>
          <w:p>
            <w:pPr>
              <w:jc w:val="center"/>
            </w:pPr>
            <w:r>
              <w:rPr>
                <w:color w:val="1E293B"/>
                <w:sz w:val="19"/>
              </w:rPr>
              <w:t>Staff salary processing, payslips, deduction tracking</w:t>
            </w:r>
          </w:p>
        </w:tc>
        <w:tc>
          <w:tcPr>
            <w:tcW w:type="dxa" w:w="3135"/>
            <w:shd w:val="clear" w:color="auto" w:fill="f8fafc"/>
          </w:tcPr>
          <w:p>
            <w:pPr>
              <w:jc w:val="center"/>
            </w:pPr>
            <w:r>
              <w:rPr>
                <w:color w:val="1E293B"/>
                <w:sz w:val="19"/>
              </w:rPr>
              <w:t>Employment documentation</w:t>
            </w:r>
          </w:p>
        </w:tc>
      </w:tr>
      <w:tr>
        <w:tc>
          <w:tcPr>
            <w:tcW w:type="dxa" w:w="3135"/>
            <w:shd w:val="clear" w:color="auto" w:fill="e2e8f0"/>
          </w:tcPr>
          <w:p>
            <w:pPr>
              <w:jc w:val="left"/>
            </w:pPr>
            <w:r>
              <w:rPr>
                <w:color w:val="1E293B"/>
                <w:sz w:val="19"/>
              </w:rPr>
              <w:t>Assets</w:t>
            </w:r>
          </w:p>
        </w:tc>
        <w:tc>
          <w:tcPr>
            <w:tcW w:type="dxa" w:w="3135"/>
            <w:shd w:val="clear" w:color="auto" w:fill="e2e8f0"/>
          </w:tcPr>
          <w:p>
            <w:pPr>
              <w:jc w:val="center"/>
            </w:pPr>
            <w:r>
              <w:rPr>
                <w:color w:val="1E293B"/>
                <w:sz w:val="19"/>
              </w:rPr>
              <w:t>Asset registry with depreciation computation</w:t>
            </w:r>
          </w:p>
        </w:tc>
        <w:tc>
          <w:tcPr>
            <w:tcW w:type="dxa" w:w="3135"/>
            <w:shd w:val="clear" w:color="auto" w:fill="e2e8f0"/>
          </w:tcPr>
          <w:p>
            <w:pPr>
              <w:jc w:val="center"/>
            </w:pPr>
            <w:r>
              <w:rPr>
                <w:color w:val="1E293B"/>
                <w:sz w:val="19"/>
              </w:rPr>
              <w:t>Collateral documentation</w:t>
            </w:r>
          </w:p>
        </w:tc>
      </w:tr>
      <w:tr>
        <w:tc>
          <w:tcPr>
            <w:tcW w:type="dxa" w:w="3135"/>
            <w:shd w:val="clear" w:color="auto" w:fill="f8fafc"/>
          </w:tcPr>
          <w:p>
            <w:pPr>
              <w:jc w:val="left"/>
            </w:pPr>
            <w:r>
              <w:rPr>
                <w:color w:val="1E293B"/>
                <w:sz w:val="19"/>
              </w:rPr>
              <w:t>Inventory</w:t>
            </w:r>
          </w:p>
        </w:tc>
        <w:tc>
          <w:tcPr>
            <w:tcW w:type="dxa" w:w="3135"/>
            <w:shd w:val="clear" w:color="auto" w:fill="f8fafc"/>
          </w:tcPr>
          <w:p>
            <w:pPr>
              <w:jc w:val="center"/>
            </w:pPr>
            <w:r>
              <w:rPr>
                <w:color w:val="1E293B"/>
                <w:sz w:val="19"/>
              </w:rPr>
              <w:t>Stock level tracking, COGS calculation, alerts</w:t>
            </w:r>
          </w:p>
        </w:tc>
        <w:tc>
          <w:tcPr>
            <w:tcW w:type="dxa" w:w="3135"/>
            <w:shd w:val="clear" w:color="auto" w:fill="f8fafc"/>
          </w:tcPr>
          <w:p>
            <w:pPr>
              <w:jc w:val="center"/>
            </w:pPr>
            <w:r>
              <w:rPr>
                <w:color w:val="1E293B"/>
                <w:sz w:val="19"/>
              </w:rPr>
              <w:t>Working capital visibility</w:t>
            </w:r>
          </w:p>
        </w:tc>
      </w:tr>
      <w:tr>
        <w:tc>
          <w:tcPr>
            <w:tcW w:type="dxa" w:w="3135"/>
            <w:shd w:val="clear" w:color="auto" w:fill="e2e8f0"/>
          </w:tcPr>
          <w:p>
            <w:pPr>
              <w:jc w:val="left"/>
            </w:pPr>
            <w:r>
              <w:rPr>
                <w:color w:val="1E293B"/>
                <w:sz w:val="19"/>
              </w:rPr>
              <w:t>Loans</w:t>
            </w:r>
          </w:p>
        </w:tc>
        <w:tc>
          <w:tcPr>
            <w:tcW w:type="dxa" w:w="3135"/>
            <w:shd w:val="clear" w:color="auto" w:fill="e2e8f0"/>
          </w:tcPr>
          <w:p>
            <w:pPr>
              <w:jc w:val="center"/>
            </w:pPr>
            <w:r>
              <w:rPr>
                <w:color w:val="1E293B"/>
                <w:sz w:val="19"/>
              </w:rPr>
              <w:t>Loan tracking, payment history, balance computation</w:t>
            </w:r>
          </w:p>
        </w:tc>
        <w:tc>
          <w:tcPr>
            <w:tcW w:type="dxa" w:w="3135"/>
            <w:shd w:val="clear" w:color="auto" w:fill="e2e8f0"/>
          </w:tcPr>
          <w:p>
            <w:pPr>
              <w:jc w:val="center"/>
            </w:pPr>
            <w:r>
              <w:rPr>
                <w:color w:val="1E293B"/>
                <w:sz w:val="19"/>
              </w:rPr>
              <w:t>Existing debt transparency</w:t>
            </w:r>
          </w:p>
        </w:tc>
      </w:tr>
      <w:tr>
        <w:tc>
          <w:tcPr>
            <w:tcW w:type="dxa" w:w="3135"/>
            <w:shd w:val="clear" w:color="auto" w:fill="f8fafc"/>
          </w:tcPr>
          <w:p>
            <w:pPr>
              <w:jc w:val="left"/>
            </w:pPr>
            <w:r>
              <w:rPr>
                <w:color w:val="1E293B"/>
                <w:sz w:val="19"/>
              </w:rPr>
              <w:t>AI Business Advisor</w:t>
            </w:r>
          </w:p>
        </w:tc>
        <w:tc>
          <w:tcPr>
            <w:tcW w:type="dxa" w:w="3135"/>
            <w:shd w:val="clear" w:color="auto" w:fill="f8fafc"/>
          </w:tcPr>
          <w:p>
            <w:pPr>
              <w:jc w:val="center"/>
            </w:pPr>
            <w:r>
              <w:rPr>
                <w:color w:val="1E293B"/>
                <w:sz w:val="19"/>
              </w:rPr>
              <w:t>Natural language financial Q&amp;A from real data</w:t>
            </w:r>
          </w:p>
        </w:tc>
        <w:tc>
          <w:tcPr>
            <w:tcW w:type="dxa" w:w="3135"/>
            <w:shd w:val="clear" w:color="auto" w:fill="f8fafc"/>
          </w:tcPr>
          <w:p>
            <w:pPr>
              <w:jc w:val="center"/>
            </w:pPr>
            <w:r>
              <w:rPr>
                <w:color w:val="1E293B"/>
                <w:sz w:val="19"/>
              </w:rPr>
              <w:t>Engagement and retention</w:t>
            </w:r>
          </w:p>
        </w:tc>
      </w:tr>
      <w:tr>
        <w:tc>
          <w:tcPr>
            <w:tcW w:type="dxa" w:w="3135"/>
            <w:shd w:val="clear" w:color="auto" w:fill="e2e8f0"/>
          </w:tcPr>
          <w:p>
            <w:pPr>
              <w:jc w:val="left"/>
            </w:pPr>
            <w:r>
              <w:rPr>
                <w:color w:val="1E293B"/>
                <w:sz w:val="19"/>
              </w:rPr>
              <w:t>Bank Aggregator</w:t>
            </w:r>
          </w:p>
        </w:tc>
        <w:tc>
          <w:tcPr>
            <w:tcW w:type="dxa" w:w="3135"/>
            <w:shd w:val="clear" w:color="auto" w:fill="e2e8f0"/>
          </w:tcPr>
          <w:p>
            <w:pPr>
              <w:jc w:val="center"/>
            </w:pPr>
            <w:r>
              <w:rPr>
                <w:color w:val="1E293B"/>
                <w:sz w:val="19"/>
              </w:rPr>
              <w:t>Pngme-powered bank sync and Financial Health Score</w:t>
            </w:r>
          </w:p>
        </w:tc>
        <w:tc>
          <w:tcPr>
            <w:tcW w:type="dxa" w:w="3135"/>
            <w:shd w:val="clear" w:color="auto" w:fill="e2e8f0"/>
          </w:tcPr>
          <w:p>
            <w:pPr>
              <w:jc w:val="center"/>
            </w:pPr>
            <w:r>
              <w:rPr>
                <w:color w:val="1E293B"/>
                <w:sz w:val="19"/>
              </w:rPr>
              <w:t>Credit readiness scoring</w:t>
            </w:r>
          </w:p>
        </w:tc>
      </w:tr>
      <w:tr>
        <w:tc>
          <w:tcPr>
            <w:tcW w:type="dxa" w:w="3135"/>
            <w:shd w:val="clear" w:color="auto" w:fill="f8fafc"/>
          </w:tcPr>
          <w:p>
            <w:pPr>
              <w:jc w:val="left"/>
            </w:pPr>
            <w:r>
              <w:rPr>
                <w:color w:val="1E293B"/>
                <w:sz w:val="19"/>
              </w:rPr>
              <w:t>Reconciliation</w:t>
            </w:r>
          </w:p>
        </w:tc>
        <w:tc>
          <w:tcPr>
            <w:tcW w:type="dxa" w:w="3135"/>
            <w:shd w:val="clear" w:color="auto" w:fill="f8fafc"/>
          </w:tcPr>
          <w:p>
            <w:pPr>
              <w:jc w:val="center"/>
            </w:pPr>
            <w:r>
              <w:rPr>
                <w:color w:val="1E293B"/>
                <w:sz w:val="19"/>
              </w:rPr>
              <w:t>Bank CSV import with auto-matching</w:t>
            </w:r>
          </w:p>
        </w:tc>
        <w:tc>
          <w:tcPr>
            <w:tcW w:type="dxa" w:w="3135"/>
            <w:shd w:val="clear" w:color="auto" w:fill="f8fafc"/>
          </w:tcPr>
          <w:p>
            <w:pPr>
              <w:jc w:val="center"/>
            </w:pPr>
            <w:r>
              <w:rPr>
                <w:color w:val="1E293B"/>
                <w:sz w:val="19"/>
              </w:rPr>
              <w:t>Audit trail integrity</w:t>
            </w:r>
          </w:p>
        </w:tc>
      </w:tr>
      <w:tr>
        <w:tc>
          <w:tcPr>
            <w:tcW w:type="dxa" w:w="3135"/>
            <w:shd w:val="clear" w:color="auto" w:fill="e2e8f0"/>
          </w:tcPr>
          <w:p>
            <w:pPr>
              <w:jc w:val="left"/>
            </w:pPr>
            <w:r>
              <w:rPr>
                <w:color w:val="1E293B"/>
                <w:sz w:val="19"/>
              </w:rPr>
              <w:t>Payment Links</w:t>
            </w:r>
          </w:p>
        </w:tc>
        <w:tc>
          <w:tcPr>
            <w:tcW w:type="dxa" w:w="3135"/>
            <w:shd w:val="clear" w:color="auto" w:fill="e2e8f0"/>
          </w:tcPr>
          <w:p>
            <w:pPr>
              <w:jc w:val="center"/>
            </w:pPr>
            <w:r>
              <w:rPr>
                <w:color w:val="1E293B"/>
                <w:sz w:val="19"/>
              </w:rPr>
              <w:t>Paystack/Flutterwave payment collection</w:t>
            </w:r>
          </w:p>
        </w:tc>
        <w:tc>
          <w:tcPr>
            <w:tcW w:type="dxa" w:w="3135"/>
            <w:shd w:val="clear" w:color="auto" w:fill="e2e8f0"/>
          </w:tcPr>
          <w:p>
            <w:pPr>
              <w:jc w:val="center"/>
            </w:pPr>
            <w:r>
              <w:rPr>
                <w:color w:val="1E293B"/>
                <w:sz w:val="19"/>
              </w:rPr>
              <w:t>Payment ecosystem depth</w:t>
            </w:r>
          </w:p>
        </w:tc>
      </w:tr>
      <w:tr>
        <w:tc>
          <w:tcPr>
            <w:tcW w:type="dxa" w:w="3135"/>
            <w:shd w:val="clear" w:color="auto" w:fill="f8fafc"/>
          </w:tcPr>
          <w:p>
            <w:pPr>
              <w:jc w:val="left"/>
            </w:pPr>
            <w:r>
              <w:rPr>
                <w:color w:val="1E293B"/>
                <w:sz w:val="19"/>
              </w:rPr>
              <w:t>Budget</w:t>
            </w:r>
          </w:p>
        </w:tc>
        <w:tc>
          <w:tcPr>
            <w:tcW w:type="dxa" w:w="3135"/>
            <w:shd w:val="clear" w:color="auto" w:fill="f8fafc"/>
          </w:tcPr>
          <w:p>
            <w:pPr>
              <w:jc w:val="center"/>
            </w:pPr>
            <w:r>
              <w:rPr>
                <w:color w:val="1E293B"/>
                <w:sz w:val="19"/>
              </w:rPr>
              <w:t>Category budget-setting and spend tracking</w:t>
            </w:r>
          </w:p>
        </w:tc>
        <w:tc>
          <w:tcPr>
            <w:tcW w:type="dxa" w:w="3135"/>
            <w:shd w:val="clear" w:color="auto" w:fill="f8fafc"/>
          </w:tcPr>
          <w:p>
            <w:pPr>
              <w:jc w:val="center"/>
            </w:pPr>
            <w:r>
              <w:rPr>
                <w:color w:val="1E293B"/>
                <w:sz w:val="19"/>
              </w:rPr>
              <w:t>Spending discipline</w:t>
            </w:r>
          </w:p>
        </w:tc>
      </w:tr>
      <w:tr>
        <w:tc>
          <w:tcPr>
            <w:tcW w:type="dxa" w:w="3135"/>
            <w:shd w:val="clear" w:color="auto" w:fill="e2e8f0"/>
          </w:tcPr>
          <w:p>
            <w:pPr>
              <w:jc w:val="left"/>
            </w:pPr>
            <w:r>
              <w:rPr>
                <w:color w:val="1E293B"/>
                <w:sz w:val="19"/>
              </w:rPr>
              <w:t>Analysis Screen</w:t>
            </w:r>
          </w:p>
        </w:tc>
        <w:tc>
          <w:tcPr>
            <w:tcW w:type="dxa" w:w="3135"/>
            <w:shd w:val="clear" w:color="auto" w:fill="e2e8f0"/>
          </w:tcPr>
          <w:p>
            <w:pPr>
              <w:jc w:val="center"/>
            </w:pPr>
            <w:r>
              <w:rPr>
                <w:color w:val="1E293B"/>
                <w:sz w:val="19"/>
              </w:rPr>
              <w:t>Break-even and unit economics analysis</w:t>
            </w:r>
          </w:p>
        </w:tc>
        <w:tc>
          <w:tcPr>
            <w:tcW w:type="dxa" w:w="3135"/>
            <w:shd w:val="clear" w:color="auto" w:fill="e2e8f0"/>
          </w:tcPr>
          <w:p>
            <w:pPr>
              <w:jc w:val="center"/>
            </w:pPr>
            <w:r>
              <w:rPr>
                <w:color w:val="1E293B"/>
                <w:sz w:val="19"/>
              </w:rPr>
              <w:t>Profitability intelligence</w:t>
            </w:r>
          </w:p>
        </w:tc>
      </w:tr>
      <w:tr>
        <w:tc>
          <w:tcPr>
            <w:tcW w:type="dxa" w:w="3135"/>
            <w:shd w:val="clear" w:color="auto" w:fill="f8fafc"/>
          </w:tcPr>
          <w:p>
            <w:pPr>
              <w:jc w:val="left"/>
            </w:pPr>
            <w:r>
              <w:rPr>
                <w:color w:val="1E293B"/>
                <w:sz w:val="19"/>
              </w:rPr>
              <w:t>Growth Intelligence</w:t>
            </w:r>
          </w:p>
        </w:tc>
        <w:tc>
          <w:tcPr>
            <w:tcW w:type="dxa" w:w="3135"/>
            <w:shd w:val="clear" w:color="auto" w:fill="f8fafc"/>
          </w:tcPr>
          <w:p>
            <w:pPr>
              <w:jc w:val="center"/>
            </w:pPr>
            <w:r>
              <w:rPr>
                <w:color w:val="1E293B"/>
                <w:sz w:val="19"/>
              </w:rPr>
              <w:t>KPI trends and growth trajectory metrics</w:t>
            </w:r>
          </w:p>
        </w:tc>
        <w:tc>
          <w:tcPr>
            <w:tcW w:type="dxa" w:w="3135"/>
            <w:shd w:val="clear" w:color="auto" w:fill="f8fafc"/>
          </w:tcPr>
          <w:p>
            <w:pPr>
              <w:jc w:val="center"/>
            </w:pPr>
            <w:r>
              <w:rPr>
                <w:color w:val="1E293B"/>
                <w:sz w:val="19"/>
              </w:rPr>
              <w:t>Business health monitoring</w:t>
            </w:r>
          </w:p>
        </w:tc>
      </w:tr>
      <w:tr>
        <w:tc>
          <w:tcPr>
            <w:tcW w:type="dxa" w:w="3135"/>
            <w:shd w:val="clear" w:color="auto" w:fill="e2e8f0"/>
          </w:tcPr>
          <w:p>
            <w:pPr>
              <w:jc w:val="left"/>
            </w:pPr>
            <w:r>
              <w:rPr>
                <w:color w:val="1E293B"/>
                <w:sz w:val="19"/>
              </w:rPr>
              <w:t>Financial Health Score</w:t>
            </w:r>
          </w:p>
        </w:tc>
        <w:tc>
          <w:tcPr>
            <w:tcW w:type="dxa" w:w="3135"/>
            <w:shd w:val="clear" w:color="auto" w:fill="e2e8f0"/>
          </w:tcPr>
          <w:p>
            <w:pPr>
              <w:jc w:val="center"/>
            </w:pPr>
            <w:r>
              <w:rPr>
                <w:color w:val="1E293B"/>
                <w:sz w:val="19"/>
              </w:rPr>
              <w:t>Credit readiness scoring via Pngme</w:t>
            </w:r>
          </w:p>
        </w:tc>
        <w:tc>
          <w:tcPr>
            <w:tcW w:type="dxa" w:w="3135"/>
            <w:shd w:val="clear" w:color="auto" w:fill="e2e8f0"/>
          </w:tcPr>
          <w:p>
            <w:pPr>
              <w:jc w:val="center"/>
            </w:pPr>
            <w:r>
              <w:rPr>
                <w:color w:val="1E293B"/>
                <w:sz w:val="19"/>
              </w:rPr>
              <w:t>Pre-screening for lending</w:t>
            </w:r>
          </w:p>
        </w:tc>
      </w:tr>
    </w:tbl>
    <w:p/>
    <w:p>
      <w:pPr>
        <w:spacing w:before="360" w:after="160"/>
      </w:pPr>
      <w:r>
        <w:rPr>
          <w:b/>
          <w:color w:val="0F172A"/>
          <w:sz w:val="32"/>
        </w:rPr>
        <w:t>4.4  Technology Architecture</w:t>
      </w:r>
    </w:p>
    <w:p>
      <w:pPr>
        <w:spacing w:after="120" w:before="40"/>
      </w:pPr>
      <w:r>
        <w:rPr>
          <w:i w:val="0"/>
          <w:color w:val="1E293B"/>
          <w:sz w:val="21"/>
        </w:rPr>
        <w:t>Quad360 is built on enterprise-grade infrastructure designed to meet the security and reliability requirements of a regulated financial services environment:</w:t>
      </w:r>
    </w:p>
    <w:p>
      <w:pPr>
        <w:pStyle w:val="ListBullet"/>
        <w:spacing w:after="60" w:before="40"/>
      </w:pPr>
      <w:r>
        <w:rPr>
          <w:b/>
          <w:color w:val="0F172A"/>
          <w:sz w:val="21"/>
        </w:rPr>
        <w:t xml:space="preserve">React Native + Expo SDK: </w:t>
      </w:r>
      <w:r>
        <w:rPr>
          <w:color w:val="1E293B"/>
          <w:sz w:val="21"/>
        </w:rPr>
        <w:t>Cross-platform mobile application running natively on Android and iOS from a single codebase. No web-wrapper — genuine native performance.</w:t>
      </w:r>
    </w:p>
    <w:p>
      <w:pPr>
        <w:pStyle w:val="ListBullet"/>
        <w:spacing w:after="60" w:before="40"/>
      </w:pPr>
      <w:r>
        <w:rPr>
          <w:b/>
          <w:color w:val="0F172A"/>
          <w:sz w:val="21"/>
        </w:rPr>
        <w:t xml:space="preserve">Supabase Cloud Database: </w:t>
      </w:r>
      <w:r>
        <w:rPr>
          <w:color w:val="1E293B"/>
          <w:sz w:val="21"/>
        </w:rPr>
        <w:t>PostgreSQL database with Row-Level Security (RLS) ensuring each user can only access their own data. All data stored in compliant cloud infrastructure.</w:t>
      </w:r>
    </w:p>
    <w:p>
      <w:pPr>
        <w:pStyle w:val="ListBullet"/>
        <w:spacing w:after="60" w:before="40"/>
      </w:pPr>
      <w:r>
        <w:rPr>
          <w:b/>
          <w:color w:val="0F172A"/>
          <w:sz w:val="21"/>
        </w:rPr>
        <w:t xml:space="preserve">Offline-First Architecture: </w:t>
      </w:r>
      <w:r>
        <w:rPr>
          <w:color w:val="1E293B"/>
          <w:sz w:val="21"/>
        </w:rPr>
        <w:t>All operations queue locally when connectivity is unavailable. A sync queue processes failed writes in order when connection is restored. No financial data is ever lost due to connectivity interruption.</w:t>
      </w:r>
    </w:p>
    <w:p>
      <w:pPr>
        <w:pStyle w:val="ListBullet"/>
        <w:spacing w:after="60" w:before="40"/>
      </w:pPr>
      <w:r>
        <w:rPr>
          <w:b/>
          <w:color w:val="0F172A"/>
          <w:sz w:val="21"/>
        </w:rPr>
        <w:t xml:space="preserve">End-to-End Encryption: </w:t>
      </w:r>
      <w:r>
        <w:rPr>
          <w:color w:val="1E293B"/>
          <w:sz w:val="21"/>
        </w:rPr>
        <w:t>All sensitive financial data — goals, loans, budgets, personal identifiers — is encrypted at rest using AES-256 encryption before storage. Encryption keys are user-specific and never stored alongside data.</w:t>
      </w:r>
    </w:p>
    <w:p>
      <w:pPr>
        <w:pStyle w:val="ListBullet"/>
        <w:spacing w:after="60" w:before="40"/>
      </w:pPr>
      <w:r>
        <w:rPr>
          <w:b/>
          <w:color w:val="0F172A"/>
          <w:sz w:val="21"/>
        </w:rPr>
        <w:t xml:space="preserve">Two-Factor Authentication: </w:t>
      </w:r>
      <w:r>
        <w:rPr>
          <w:color w:val="1E293B"/>
          <w:sz w:val="21"/>
        </w:rPr>
        <w:t>Implemented with fail-secure enforcement: if any exception occurs during 2FA verification, access is denied and setup is forced. The system cannot fail open.</w:t>
      </w:r>
    </w:p>
    <w:p>
      <w:pPr>
        <w:pStyle w:val="ListBullet"/>
        <w:spacing w:after="60" w:before="40"/>
      </w:pPr>
      <w:r>
        <w:rPr>
          <w:b/>
          <w:color w:val="0F172A"/>
          <w:sz w:val="21"/>
        </w:rPr>
        <w:t xml:space="preserve">Certificate Pinning: </w:t>
      </w:r>
      <w:r>
        <w:rPr>
          <w:color w:val="1E293B"/>
          <w:sz w:val="21"/>
        </w:rPr>
        <w:t>All API communications use certificate pinning to prevent man-in-the-middle attacks and ensure that only the Quad360 server's legitimate certificate is accepted.</w:t>
      </w:r>
    </w:p>
    <w:p>
      <w:pPr>
        <w:pStyle w:val="ListBullet"/>
        <w:spacing w:after="60" w:before="40"/>
      </w:pPr>
      <w:r>
        <w:rPr>
          <w:b/>
          <w:color w:val="0F172A"/>
          <w:sz w:val="21"/>
        </w:rPr>
        <w:t xml:space="preserve">Audit Logging: </w:t>
      </w:r>
      <w:r>
        <w:rPr>
          <w:color w:val="1E293B"/>
          <w:sz w:val="21"/>
        </w:rPr>
        <w:t>Every significant action in the system is logged with user identity, timestamp, and action description, creating a complete audit trail for compliance purposes.</w:t>
      </w:r>
    </w:p>
    <w:p>
      <w:pPr>
        <w:pStyle w:val="ListBullet"/>
        <w:spacing w:after="60" w:before="40"/>
      </w:pPr>
      <w:r>
        <w:rPr>
          <w:b/>
          <w:color w:val="0F172A"/>
          <w:sz w:val="21"/>
        </w:rPr>
        <w:t xml:space="preserve">Debounced Sync: </w:t>
      </w:r>
      <w:r>
        <w:rPr>
          <w:color w:val="1E293B"/>
          <w:sz w:val="21"/>
        </w:rPr>
        <w:t>AsyncStorage writes are debounced at 800ms to prevent database hammering while maintaining data integrity. This also reduces battery and data usage on users' devices.</w:t>
      </w:r>
    </w:p>
    <w:p>
      <w:r>
        <w:br w:type="page"/>
      </w:r>
    </w:p>
    <w:p>
      <w:pPr>
        <w:keepNext/>
        <w:spacing w:before="360" w:after="160"/>
      </w:pPr>
      <w:r>
        <w:rPr>
          <w:b/>
          <w:color w:val="0F172A"/>
          <w:sz w:val="44"/>
        </w:rPr>
        <w:t>SECTION 5: THE OPPORTUNITY FOR ZENITH BANK</w:t>
      </w:r>
    </w:p>
    <w:p>
      <w:pPr>
        <w:pBdr>
          <w:bottom w:val="single" w:sz="6" w:space="4" w:color="3b82f6"/>
        </w:pBdr>
        <w:spacing w:after="200" w:before="80"/>
      </w:pPr>
    </w:p>
    <w:p>
      <w:pPr>
        <w:spacing w:before="360" w:after="160"/>
      </w:pPr>
      <w:r>
        <w:rPr>
          <w:b/>
          <w:color w:val="0F172A"/>
          <w:sz w:val="32"/>
        </w:rPr>
        <w:t>5.1  Reducing Loan Origination Cost</w:t>
      </w:r>
    </w:p>
    <w:p>
      <w:pPr>
        <w:spacing w:after="120" w:before="40"/>
      </w:pPr>
      <w:r>
        <w:rPr>
          <w:i w:val="0"/>
          <w:color w:val="1E293B"/>
          <w:sz w:val="21"/>
        </w:rPr>
        <w:t>Today, processing an SME loan application at Zenith Bank requires a credit officer to manually collect, review, and verify financial documents from the applicant — documents that are often incomplete, inconsistent, or entirely absent. This process is expensive, time-consuming, and produces outcomes that are frequently less reliable than the time invested would suggest.</w:t>
      </w:r>
    </w:p>
    <w:p>
      <w:pPr>
        <w:spacing w:after="120" w:before="40"/>
      </w:pPr>
      <w:r>
        <w:rPr>
          <w:i w:val="0"/>
          <w:color w:val="1E293B"/>
          <w:sz w:val="21"/>
        </w:rPr>
        <w:t>A Quad360-enabled SME applicant arrives at your branch with a fundamentally different profile. Their financial records have been generated automatically and continuously over months of daily business activity. What your credit officer receives is not a hand-prepared document but a machine-generated financial history — consistent, categorised, and immediately usable.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0f172a"/>
          </w:tcPr>
          <w:p>
            <w:pPr>
              <w:jc w:val="center"/>
            </w:pPr>
            <w:r>
              <w:rPr>
                <w:b/>
                <w:color w:val="FFFFFF"/>
                <w:sz w:val="19"/>
              </w:rPr>
              <w:t>Assessment Step</w:t>
            </w:r>
          </w:p>
        </w:tc>
        <w:tc>
          <w:tcPr>
            <w:tcW w:type="dxa" w:w="2351"/>
            <w:shd w:val="clear" w:color="auto" w:fill="0f172a"/>
          </w:tcPr>
          <w:p>
            <w:pPr>
              <w:jc w:val="center"/>
            </w:pPr>
            <w:r>
              <w:rPr>
                <w:b/>
                <w:color w:val="FFFFFF"/>
                <w:sz w:val="19"/>
              </w:rPr>
              <w:t>Current Process</w:t>
            </w:r>
          </w:p>
        </w:tc>
        <w:tc>
          <w:tcPr>
            <w:tcW w:type="dxa" w:w="2351"/>
            <w:shd w:val="clear" w:color="auto" w:fill="0f172a"/>
          </w:tcPr>
          <w:p>
            <w:pPr>
              <w:jc w:val="center"/>
            </w:pPr>
            <w:r>
              <w:rPr>
                <w:b/>
                <w:color w:val="FFFFFF"/>
                <w:sz w:val="19"/>
              </w:rPr>
              <w:t>Quad360-Enabled Process</w:t>
            </w:r>
          </w:p>
        </w:tc>
        <w:tc>
          <w:tcPr>
            <w:tcW w:type="dxa" w:w="2351"/>
            <w:shd w:val="clear" w:color="auto" w:fill="0f172a"/>
          </w:tcPr>
          <w:p>
            <w:pPr>
              <w:jc w:val="center"/>
            </w:pPr>
            <w:r>
              <w:rPr>
                <w:b/>
                <w:color w:val="FFFFFF"/>
                <w:sz w:val="19"/>
              </w:rPr>
              <w:t>Time Saving</w:t>
            </w:r>
          </w:p>
        </w:tc>
      </w:tr>
      <w:tr>
        <w:tc>
          <w:tcPr>
            <w:tcW w:type="dxa" w:w="2351"/>
            <w:shd w:val="clear" w:color="auto" w:fill="f8fafc"/>
          </w:tcPr>
          <w:p>
            <w:pPr>
              <w:jc w:val="left"/>
            </w:pPr>
            <w:r>
              <w:rPr>
                <w:color w:val="1E293B"/>
                <w:sz w:val="19"/>
              </w:rPr>
              <w:t>Document collection</w:t>
            </w:r>
          </w:p>
        </w:tc>
        <w:tc>
          <w:tcPr>
            <w:tcW w:type="dxa" w:w="2351"/>
            <w:shd w:val="clear" w:color="auto" w:fill="f8fafc"/>
          </w:tcPr>
          <w:p>
            <w:pPr>
              <w:jc w:val="center"/>
            </w:pPr>
            <w:r>
              <w:rPr>
                <w:color w:val="1E293B"/>
                <w:sz w:val="19"/>
              </w:rPr>
              <w:t>3–7 days chasing applicant for statements</w:t>
            </w:r>
          </w:p>
        </w:tc>
        <w:tc>
          <w:tcPr>
            <w:tcW w:type="dxa" w:w="2351"/>
            <w:shd w:val="clear" w:color="auto" w:fill="f8fafc"/>
          </w:tcPr>
          <w:p>
            <w:pPr>
              <w:jc w:val="center"/>
            </w:pPr>
            <w:r>
              <w:rPr>
                <w:color w:val="1E293B"/>
                <w:sz w:val="19"/>
              </w:rPr>
              <w:t>Instant download from platform</w:t>
            </w:r>
          </w:p>
        </w:tc>
        <w:tc>
          <w:tcPr>
            <w:tcW w:type="dxa" w:w="2351"/>
            <w:shd w:val="clear" w:color="auto" w:fill="f8fafc"/>
          </w:tcPr>
          <w:p>
            <w:pPr>
              <w:jc w:val="center"/>
            </w:pPr>
            <w:r>
              <w:rPr>
                <w:color w:val="1E293B"/>
                <w:sz w:val="19"/>
              </w:rPr>
              <w:t>3–6 days</w:t>
            </w:r>
          </w:p>
        </w:tc>
      </w:tr>
      <w:tr>
        <w:tc>
          <w:tcPr>
            <w:tcW w:type="dxa" w:w="2351"/>
            <w:shd w:val="clear" w:color="auto" w:fill="e2e8f0"/>
          </w:tcPr>
          <w:p>
            <w:pPr>
              <w:jc w:val="left"/>
            </w:pPr>
            <w:r>
              <w:rPr>
                <w:color w:val="1E293B"/>
                <w:sz w:val="19"/>
              </w:rPr>
              <w:t>P&amp;L verification</w:t>
            </w:r>
          </w:p>
        </w:tc>
        <w:tc>
          <w:tcPr>
            <w:tcW w:type="dxa" w:w="2351"/>
            <w:shd w:val="clear" w:color="auto" w:fill="e2e8f0"/>
          </w:tcPr>
          <w:p>
            <w:pPr>
              <w:jc w:val="center"/>
            </w:pPr>
            <w:r>
              <w:rPr>
                <w:color w:val="1E293B"/>
                <w:sz w:val="19"/>
              </w:rPr>
              <w:t>Manual reconstruction from bank statements</w:t>
            </w:r>
          </w:p>
        </w:tc>
        <w:tc>
          <w:tcPr>
            <w:tcW w:type="dxa" w:w="2351"/>
            <w:shd w:val="clear" w:color="auto" w:fill="e2e8f0"/>
          </w:tcPr>
          <w:p>
            <w:pPr>
              <w:jc w:val="center"/>
            </w:pPr>
            <w:r>
              <w:rPr>
                <w:color w:val="1E293B"/>
                <w:sz w:val="19"/>
              </w:rPr>
              <w:t>Auto-generated, audit-ready</w:t>
            </w:r>
          </w:p>
        </w:tc>
        <w:tc>
          <w:tcPr>
            <w:tcW w:type="dxa" w:w="2351"/>
            <w:shd w:val="clear" w:color="auto" w:fill="e2e8f0"/>
          </w:tcPr>
          <w:p>
            <w:pPr>
              <w:jc w:val="center"/>
            </w:pPr>
            <w:r>
              <w:rPr>
                <w:color w:val="1E293B"/>
                <w:sz w:val="19"/>
              </w:rPr>
              <w:t>1–2 days</w:t>
            </w:r>
          </w:p>
        </w:tc>
      </w:tr>
      <w:tr>
        <w:tc>
          <w:tcPr>
            <w:tcW w:type="dxa" w:w="2351"/>
            <w:shd w:val="clear" w:color="auto" w:fill="f8fafc"/>
          </w:tcPr>
          <w:p>
            <w:pPr>
              <w:jc w:val="left"/>
            </w:pPr>
            <w:r>
              <w:rPr>
                <w:color w:val="1E293B"/>
                <w:sz w:val="19"/>
              </w:rPr>
              <w:t>Cash flow analysis</w:t>
            </w:r>
          </w:p>
        </w:tc>
        <w:tc>
          <w:tcPr>
            <w:tcW w:type="dxa" w:w="2351"/>
            <w:shd w:val="clear" w:color="auto" w:fill="f8fafc"/>
          </w:tcPr>
          <w:p>
            <w:pPr>
              <w:jc w:val="center"/>
            </w:pPr>
            <w:r>
              <w:rPr>
                <w:color w:val="1E293B"/>
                <w:sz w:val="19"/>
              </w:rPr>
              <w:t>Estimation from historical statements</w:t>
            </w:r>
          </w:p>
        </w:tc>
        <w:tc>
          <w:tcPr>
            <w:tcW w:type="dxa" w:w="2351"/>
            <w:shd w:val="clear" w:color="auto" w:fill="f8fafc"/>
          </w:tcPr>
          <w:p>
            <w:pPr>
              <w:jc w:val="center"/>
            </w:pPr>
            <w:r>
              <w:rPr>
                <w:color w:val="1E293B"/>
                <w:sz w:val="19"/>
              </w:rPr>
              <w:t>12-month forecast with actuals</w:t>
            </w:r>
          </w:p>
        </w:tc>
        <w:tc>
          <w:tcPr>
            <w:tcW w:type="dxa" w:w="2351"/>
            <w:shd w:val="clear" w:color="auto" w:fill="f8fafc"/>
          </w:tcPr>
          <w:p>
            <w:pPr>
              <w:jc w:val="center"/>
            </w:pPr>
            <w:r>
              <w:rPr>
                <w:color w:val="1E293B"/>
                <w:sz w:val="19"/>
              </w:rPr>
              <w:t>1 day</w:t>
            </w:r>
          </w:p>
        </w:tc>
      </w:tr>
      <w:tr>
        <w:tc>
          <w:tcPr>
            <w:tcW w:type="dxa" w:w="2351"/>
            <w:shd w:val="clear" w:color="auto" w:fill="e2e8f0"/>
          </w:tcPr>
          <w:p>
            <w:pPr>
              <w:jc w:val="left"/>
            </w:pPr>
            <w:r>
              <w:rPr>
                <w:color w:val="1E293B"/>
                <w:sz w:val="19"/>
              </w:rPr>
              <w:t>Invoice verification</w:t>
            </w:r>
          </w:p>
        </w:tc>
        <w:tc>
          <w:tcPr>
            <w:tcW w:type="dxa" w:w="2351"/>
            <w:shd w:val="clear" w:color="auto" w:fill="e2e8f0"/>
          </w:tcPr>
          <w:p>
            <w:pPr>
              <w:jc w:val="center"/>
            </w:pPr>
            <w:r>
              <w:rPr>
                <w:color w:val="1E293B"/>
                <w:sz w:val="19"/>
              </w:rPr>
              <w:t>Verbal confirmation with clients</w:t>
            </w:r>
          </w:p>
        </w:tc>
        <w:tc>
          <w:tcPr>
            <w:tcW w:type="dxa" w:w="2351"/>
            <w:shd w:val="clear" w:color="auto" w:fill="e2e8f0"/>
          </w:tcPr>
          <w:p>
            <w:pPr>
              <w:jc w:val="center"/>
            </w:pPr>
            <w:r>
              <w:rPr>
                <w:color w:val="1E293B"/>
                <w:sz w:val="19"/>
              </w:rPr>
              <w:t>Timestamped digital invoice history</w:t>
            </w:r>
          </w:p>
        </w:tc>
        <w:tc>
          <w:tcPr>
            <w:tcW w:type="dxa" w:w="2351"/>
            <w:shd w:val="clear" w:color="auto" w:fill="e2e8f0"/>
          </w:tcPr>
          <w:p>
            <w:pPr>
              <w:jc w:val="center"/>
            </w:pPr>
            <w:r>
              <w:rPr>
                <w:color w:val="1E293B"/>
                <w:sz w:val="19"/>
              </w:rPr>
              <w:t>1–2 days</w:t>
            </w:r>
          </w:p>
        </w:tc>
      </w:tr>
      <w:tr>
        <w:tc>
          <w:tcPr>
            <w:tcW w:type="dxa" w:w="2351"/>
            <w:shd w:val="clear" w:color="auto" w:fill="f8fafc"/>
          </w:tcPr>
          <w:p>
            <w:pPr>
              <w:jc w:val="left"/>
            </w:pPr>
            <w:r>
              <w:rPr>
                <w:color w:val="1E293B"/>
                <w:sz w:val="19"/>
              </w:rPr>
              <w:t>Payroll verification</w:t>
            </w:r>
          </w:p>
        </w:tc>
        <w:tc>
          <w:tcPr>
            <w:tcW w:type="dxa" w:w="2351"/>
            <w:shd w:val="clear" w:color="auto" w:fill="f8fafc"/>
          </w:tcPr>
          <w:p>
            <w:pPr>
              <w:jc w:val="center"/>
            </w:pPr>
            <w:r>
              <w:rPr>
                <w:color w:val="1E293B"/>
                <w:sz w:val="19"/>
              </w:rPr>
              <w:t>Manual payslip review</w:t>
            </w:r>
          </w:p>
        </w:tc>
        <w:tc>
          <w:tcPr>
            <w:tcW w:type="dxa" w:w="2351"/>
            <w:shd w:val="clear" w:color="auto" w:fill="f8fafc"/>
          </w:tcPr>
          <w:p>
            <w:pPr>
              <w:jc w:val="center"/>
            </w:pPr>
            <w:r>
              <w:rPr>
                <w:color w:val="1E293B"/>
                <w:sz w:val="19"/>
              </w:rPr>
              <w:t>System-generated payroll records</w:t>
            </w:r>
          </w:p>
        </w:tc>
        <w:tc>
          <w:tcPr>
            <w:tcW w:type="dxa" w:w="2351"/>
            <w:shd w:val="clear" w:color="auto" w:fill="f8fafc"/>
          </w:tcPr>
          <w:p>
            <w:pPr>
              <w:jc w:val="center"/>
            </w:pPr>
            <w:r>
              <w:rPr>
                <w:color w:val="1E293B"/>
                <w:sz w:val="19"/>
              </w:rPr>
              <w:t>0.5 days</w:t>
            </w:r>
          </w:p>
        </w:tc>
      </w:tr>
      <w:tr>
        <w:tc>
          <w:tcPr>
            <w:tcW w:type="dxa" w:w="2351"/>
            <w:shd w:val="clear" w:color="auto" w:fill="e2e8f0"/>
          </w:tcPr>
          <w:p>
            <w:pPr>
              <w:jc w:val="left"/>
            </w:pPr>
            <w:r>
              <w:rPr>
                <w:color w:val="1E293B"/>
                <w:sz w:val="19"/>
              </w:rPr>
              <w:t>Financial ratio computation</w:t>
            </w:r>
          </w:p>
        </w:tc>
        <w:tc>
          <w:tcPr>
            <w:tcW w:type="dxa" w:w="2351"/>
            <w:shd w:val="clear" w:color="auto" w:fill="e2e8f0"/>
          </w:tcPr>
          <w:p>
            <w:pPr>
              <w:jc w:val="center"/>
            </w:pPr>
            <w:r>
              <w:rPr>
                <w:color w:val="1E293B"/>
                <w:sz w:val="19"/>
              </w:rPr>
              <w:t>Spreadsheet analysis by credit officer</w:t>
            </w:r>
          </w:p>
        </w:tc>
        <w:tc>
          <w:tcPr>
            <w:tcW w:type="dxa" w:w="2351"/>
            <w:shd w:val="clear" w:color="auto" w:fill="e2e8f0"/>
          </w:tcPr>
          <w:p>
            <w:pPr>
              <w:jc w:val="center"/>
            </w:pPr>
            <w:r>
              <w:rPr>
                <w:color w:val="1E293B"/>
                <w:sz w:val="19"/>
              </w:rPr>
              <w:t>Pre-computed and benchmarked</w:t>
            </w:r>
          </w:p>
        </w:tc>
        <w:tc>
          <w:tcPr>
            <w:tcW w:type="dxa" w:w="2351"/>
            <w:shd w:val="clear" w:color="auto" w:fill="e2e8f0"/>
          </w:tcPr>
          <w:p>
            <w:pPr>
              <w:jc w:val="center"/>
            </w:pPr>
            <w:r>
              <w:rPr>
                <w:color w:val="1E293B"/>
                <w:sz w:val="19"/>
              </w:rPr>
              <w:t>0.5 days</w:t>
            </w:r>
          </w:p>
        </w:tc>
      </w:tr>
      <w:tr>
        <w:tc>
          <w:tcPr>
            <w:tcW w:type="dxa" w:w="2351"/>
            <w:shd w:val="clear" w:color="auto" w:fill="f8fafc"/>
          </w:tcPr>
          <w:p>
            <w:pPr>
              <w:jc w:val="left"/>
            </w:pPr>
            <w:r>
              <w:rPr>
                <w:color w:val="1E293B"/>
                <w:sz w:val="19"/>
              </w:rPr>
              <w:t>TOTAL</w:t>
            </w:r>
          </w:p>
        </w:tc>
        <w:tc>
          <w:tcPr>
            <w:tcW w:type="dxa" w:w="2351"/>
            <w:shd w:val="clear" w:color="auto" w:fill="f8fafc"/>
          </w:tcPr>
          <w:p>
            <w:pPr>
              <w:jc w:val="center"/>
            </w:pPr>
            <w:r>
              <w:rPr>
                <w:color w:val="1E293B"/>
                <w:sz w:val="19"/>
              </w:rPr>
              <w:t>8–14 days average</w:t>
            </w:r>
          </w:p>
        </w:tc>
        <w:tc>
          <w:tcPr>
            <w:tcW w:type="dxa" w:w="2351"/>
            <w:shd w:val="clear" w:color="auto" w:fill="f8fafc"/>
          </w:tcPr>
          <w:p>
            <w:pPr>
              <w:jc w:val="center"/>
            </w:pPr>
            <w:r>
              <w:rPr>
                <w:color w:val="1E293B"/>
                <w:sz w:val="19"/>
              </w:rPr>
              <w:t>1–2 days average</w:t>
            </w:r>
          </w:p>
        </w:tc>
        <w:tc>
          <w:tcPr>
            <w:tcW w:type="dxa" w:w="2351"/>
            <w:shd w:val="clear" w:color="auto" w:fill="f8fafc"/>
          </w:tcPr>
          <w:p>
            <w:pPr>
              <w:jc w:val="center"/>
            </w:pPr>
            <w:r>
              <w:rPr>
                <w:color w:val="1E293B"/>
                <w:sz w:val="19"/>
              </w:rPr>
              <w:t>80% reduction</w:t>
            </w:r>
          </w:p>
        </w:tc>
      </w:tr>
    </w:tbl>
    <w:p/>
    <w:p>
      <w:pPr>
        <w:spacing w:before="360" w:after="160"/>
      </w:pPr>
      <w:r>
        <w:rPr>
          <w:b/>
          <w:color w:val="0F172A"/>
          <w:sz w:val="32"/>
        </w:rPr>
        <w:t>5.2  Reducing NPL Formation Rate</w:t>
      </w:r>
    </w:p>
    <w:p>
      <w:pPr>
        <w:spacing w:after="120" w:before="40"/>
      </w:pPr>
      <w:r>
        <w:rPr>
          <w:i w:val="0"/>
          <w:color w:val="1E293B"/>
          <w:sz w:val="21"/>
        </w:rPr>
        <w:t>Non-performing loans in the SME segment form primarily because stress in the borrower's business goes undetected until a payment is missed. By the time the default appears on your credit monitoring system, the borrower may already be in a cash flow crisis that is difficult to reverse without significant restructuring.</w:t>
      </w:r>
    </w:p>
    <w:p>
      <w:pPr>
        <w:spacing w:after="120" w:before="40"/>
      </w:pPr>
      <w:r>
        <w:rPr>
          <w:i w:val="0"/>
          <w:color w:val="1E293B"/>
          <w:sz w:val="21"/>
        </w:rPr>
        <w:t>With Quad360 portfolio monitoring, your relationship managers see live financial signals from every monitored borrower — revenue trends, expense trajectory, invoice collection rates, cash position — updated continuously as the business operates. Stress is visible in the data weeks before it manifests as a missed payment.</w:t>
      </w:r>
    </w:p>
    <w:p>
      <w:pPr>
        <w:spacing w:after="120" w:before="40"/>
      </w:pPr>
      <w:r>
        <w:rPr>
          <w:i w:val="0"/>
          <w:color w:val="1E293B"/>
          <w:sz w:val="21"/>
        </w:rPr>
        <w:t>Early warning enables early intervention. A proactive call from a relationship manager when revenue trends down for three consecutive weeks is vastly more effective — and cheaper — than a loan restructuring conversation after the third missed payment.</w:t>
      </w:r>
    </w:p>
    <w:p>
      <w:pPr>
        <w:spacing w:before="360" w:after="160"/>
      </w:pPr>
      <w:r>
        <w:rPr>
          <w:b/>
          <w:color w:val="0F172A"/>
          <w:sz w:val="32"/>
        </w:rPr>
        <w:t>5.3  Accessing Previously Unreachable SME Borrowers</w:t>
      </w:r>
    </w:p>
    <w:p>
      <w:pPr>
        <w:spacing w:after="120" w:before="40"/>
      </w:pPr>
      <w:r>
        <w:rPr>
          <w:i w:val="0"/>
          <w:color w:val="1E293B"/>
          <w:sz w:val="21"/>
        </w:rPr>
        <w:t>Conservative estimates suggest that Zenith Bank's credit team turns away 65–70% of SME loan applications annually. A significant proportion of these rejected applications come from businesses that are genuinely creditworthy — their revenue is real, their cash flow is manageable, their character is sound — but their documentation is absent.</w:t>
      </w:r>
    </w:p>
    <w:p>
      <w:pPr>
        <w:spacing w:after="120" w:before="40"/>
      </w:pPr>
      <w:r>
        <w:rPr>
          <w:i w:val="0"/>
          <w:color w:val="1E293B"/>
          <w:sz w:val="21"/>
        </w:rPr>
        <w:t>Quad360 converts these invisible businesses into documented, assessable loan candidates. A business that has used Quad360 for 6 months has built the exact financial profile your credit team needs. The partnership creates a pipeline of pre-qualified, pre-documented SME loan applicants that your current origination process cannot access.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0f172a"/>
          </w:tcPr>
          <w:p>
            <w:pPr>
              <w:jc w:val="center"/>
            </w:pPr>
            <w:r>
              <w:rPr>
                <w:b/>
                <w:color w:val="FFFFFF"/>
                <w:sz w:val="19"/>
              </w:rPr>
              <w:t>Scenario</w:t>
            </w:r>
          </w:p>
        </w:tc>
        <w:tc>
          <w:tcPr>
            <w:tcW w:type="dxa" w:w="2351"/>
            <w:shd w:val="clear" w:color="auto" w:fill="0f172a"/>
          </w:tcPr>
          <w:p>
            <w:pPr>
              <w:jc w:val="center"/>
            </w:pPr>
            <w:r>
              <w:rPr>
                <w:b/>
                <w:color w:val="FFFFFF"/>
                <w:sz w:val="19"/>
              </w:rPr>
              <w:t>Year 1</w:t>
            </w:r>
          </w:p>
        </w:tc>
        <w:tc>
          <w:tcPr>
            <w:tcW w:type="dxa" w:w="2351"/>
            <w:shd w:val="clear" w:color="auto" w:fill="0f172a"/>
          </w:tcPr>
          <w:p>
            <w:pPr>
              <w:jc w:val="center"/>
            </w:pPr>
            <w:r>
              <w:rPr>
                <w:b/>
                <w:color w:val="FFFFFF"/>
                <w:sz w:val="19"/>
              </w:rPr>
              <w:t>Year 2</w:t>
            </w:r>
          </w:p>
        </w:tc>
        <w:tc>
          <w:tcPr>
            <w:tcW w:type="dxa" w:w="2351"/>
            <w:shd w:val="clear" w:color="auto" w:fill="0f172a"/>
          </w:tcPr>
          <w:p>
            <w:pPr>
              <w:jc w:val="center"/>
            </w:pPr>
            <w:r>
              <w:rPr>
                <w:b/>
                <w:color w:val="FFFFFF"/>
                <w:sz w:val="19"/>
              </w:rPr>
              <w:t>Year 3</w:t>
            </w:r>
          </w:p>
        </w:tc>
      </w:tr>
      <w:tr>
        <w:tc>
          <w:tcPr>
            <w:tcW w:type="dxa" w:w="2351"/>
            <w:shd w:val="clear" w:color="auto" w:fill="f8fafc"/>
          </w:tcPr>
          <w:p>
            <w:pPr>
              <w:jc w:val="left"/>
            </w:pPr>
            <w:r>
              <w:rPr>
                <w:color w:val="1E293B"/>
                <w:sz w:val="19"/>
              </w:rPr>
              <w:t>Quad360 active users (Nigeria)</w:t>
            </w:r>
          </w:p>
        </w:tc>
        <w:tc>
          <w:tcPr>
            <w:tcW w:type="dxa" w:w="2351"/>
            <w:shd w:val="clear" w:color="auto" w:fill="f8fafc"/>
          </w:tcPr>
          <w:p>
            <w:pPr>
              <w:jc w:val="center"/>
            </w:pPr>
            <w:r>
              <w:rPr>
                <w:color w:val="1E293B"/>
                <w:sz w:val="19"/>
              </w:rPr>
              <w:t>10,000</w:t>
            </w:r>
          </w:p>
        </w:tc>
        <w:tc>
          <w:tcPr>
            <w:tcW w:type="dxa" w:w="2351"/>
            <w:shd w:val="clear" w:color="auto" w:fill="f8fafc"/>
          </w:tcPr>
          <w:p>
            <w:pPr>
              <w:jc w:val="center"/>
            </w:pPr>
            <w:r>
              <w:rPr>
                <w:color w:val="1E293B"/>
                <w:sz w:val="19"/>
              </w:rPr>
              <w:t>35,000</w:t>
            </w:r>
          </w:p>
        </w:tc>
        <w:tc>
          <w:tcPr>
            <w:tcW w:type="dxa" w:w="2351"/>
            <w:shd w:val="clear" w:color="auto" w:fill="f8fafc"/>
          </w:tcPr>
          <w:p>
            <w:pPr>
              <w:jc w:val="center"/>
            </w:pPr>
            <w:r>
              <w:rPr>
                <w:color w:val="1E293B"/>
                <w:sz w:val="19"/>
              </w:rPr>
              <w:t>95,000</w:t>
            </w:r>
          </w:p>
        </w:tc>
      </w:tr>
      <w:tr>
        <w:tc>
          <w:tcPr>
            <w:tcW w:type="dxa" w:w="2351"/>
            <w:shd w:val="clear" w:color="auto" w:fill="e2e8f0"/>
          </w:tcPr>
          <w:p>
            <w:pPr>
              <w:jc w:val="left"/>
            </w:pPr>
            <w:r>
              <w:rPr>
                <w:color w:val="1E293B"/>
                <w:sz w:val="19"/>
              </w:rPr>
              <w:t>Users meeting Zenith credit criteria</w:t>
            </w:r>
          </w:p>
        </w:tc>
        <w:tc>
          <w:tcPr>
            <w:tcW w:type="dxa" w:w="2351"/>
            <w:shd w:val="clear" w:color="auto" w:fill="e2e8f0"/>
          </w:tcPr>
          <w:p>
            <w:pPr>
              <w:jc w:val="center"/>
            </w:pPr>
            <w:r>
              <w:rPr>
                <w:color w:val="1E293B"/>
                <w:sz w:val="19"/>
              </w:rPr>
              <w:t>2,500</w:t>
            </w:r>
          </w:p>
        </w:tc>
        <w:tc>
          <w:tcPr>
            <w:tcW w:type="dxa" w:w="2351"/>
            <w:shd w:val="clear" w:color="auto" w:fill="e2e8f0"/>
          </w:tcPr>
          <w:p>
            <w:pPr>
              <w:jc w:val="center"/>
            </w:pPr>
            <w:r>
              <w:rPr>
                <w:color w:val="1E293B"/>
                <w:sz w:val="19"/>
              </w:rPr>
              <w:t>9,800</w:t>
            </w:r>
          </w:p>
        </w:tc>
        <w:tc>
          <w:tcPr>
            <w:tcW w:type="dxa" w:w="2351"/>
            <w:shd w:val="clear" w:color="auto" w:fill="e2e8f0"/>
          </w:tcPr>
          <w:p>
            <w:pPr>
              <w:jc w:val="center"/>
            </w:pPr>
            <w:r>
              <w:rPr>
                <w:color w:val="1E293B"/>
                <w:sz w:val="19"/>
              </w:rPr>
              <w:t>28,500</w:t>
            </w:r>
          </w:p>
        </w:tc>
      </w:tr>
      <w:tr>
        <w:tc>
          <w:tcPr>
            <w:tcW w:type="dxa" w:w="2351"/>
            <w:shd w:val="clear" w:color="auto" w:fill="f8fafc"/>
          </w:tcPr>
          <w:p>
            <w:pPr>
              <w:jc w:val="left"/>
            </w:pPr>
            <w:r>
              <w:rPr>
                <w:color w:val="1E293B"/>
                <w:sz w:val="19"/>
              </w:rPr>
              <w:t>Loan applications submitted to Zenith</w:t>
            </w:r>
          </w:p>
        </w:tc>
        <w:tc>
          <w:tcPr>
            <w:tcW w:type="dxa" w:w="2351"/>
            <w:shd w:val="clear" w:color="auto" w:fill="f8fafc"/>
          </w:tcPr>
          <w:p>
            <w:pPr>
              <w:jc w:val="center"/>
            </w:pPr>
            <w:r>
              <w:rPr>
                <w:color w:val="1E293B"/>
                <w:sz w:val="19"/>
              </w:rPr>
              <w:t>1,250</w:t>
            </w:r>
          </w:p>
        </w:tc>
        <w:tc>
          <w:tcPr>
            <w:tcW w:type="dxa" w:w="2351"/>
            <w:shd w:val="clear" w:color="auto" w:fill="f8fafc"/>
          </w:tcPr>
          <w:p>
            <w:pPr>
              <w:jc w:val="center"/>
            </w:pPr>
            <w:r>
              <w:rPr>
                <w:color w:val="1E293B"/>
                <w:sz w:val="19"/>
              </w:rPr>
              <w:t>4,900</w:t>
            </w:r>
          </w:p>
        </w:tc>
        <w:tc>
          <w:tcPr>
            <w:tcW w:type="dxa" w:w="2351"/>
            <w:shd w:val="clear" w:color="auto" w:fill="f8fafc"/>
          </w:tcPr>
          <w:p>
            <w:pPr>
              <w:jc w:val="center"/>
            </w:pPr>
            <w:r>
              <w:rPr>
                <w:color w:val="1E293B"/>
                <w:sz w:val="19"/>
              </w:rPr>
              <w:t>14,250</w:t>
            </w:r>
          </w:p>
        </w:tc>
      </w:tr>
      <w:tr>
        <w:tc>
          <w:tcPr>
            <w:tcW w:type="dxa" w:w="2351"/>
            <w:shd w:val="clear" w:color="auto" w:fill="e2e8f0"/>
          </w:tcPr>
          <w:p>
            <w:pPr>
              <w:jc w:val="left"/>
            </w:pPr>
            <w:r>
              <w:rPr>
                <w:color w:val="1E293B"/>
                <w:sz w:val="19"/>
              </w:rPr>
              <w:t>Approvals at 60% rate</w:t>
            </w:r>
          </w:p>
        </w:tc>
        <w:tc>
          <w:tcPr>
            <w:tcW w:type="dxa" w:w="2351"/>
            <w:shd w:val="clear" w:color="auto" w:fill="e2e8f0"/>
          </w:tcPr>
          <w:p>
            <w:pPr>
              <w:jc w:val="center"/>
            </w:pPr>
            <w:r>
              <w:rPr>
                <w:color w:val="1E293B"/>
                <w:sz w:val="19"/>
              </w:rPr>
              <w:t>750</w:t>
            </w:r>
          </w:p>
        </w:tc>
        <w:tc>
          <w:tcPr>
            <w:tcW w:type="dxa" w:w="2351"/>
            <w:shd w:val="clear" w:color="auto" w:fill="e2e8f0"/>
          </w:tcPr>
          <w:p>
            <w:pPr>
              <w:jc w:val="center"/>
            </w:pPr>
            <w:r>
              <w:rPr>
                <w:color w:val="1E293B"/>
                <w:sz w:val="19"/>
              </w:rPr>
              <w:t>2,940</w:t>
            </w:r>
          </w:p>
        </w:tc>
        <w:tc>
          <w:tcPr>
            <w:tcW w:type="dxa" w:w="2351"/>
            <w:shd w:val="clear" w:color="auto" w:fill="e2e8f0"/>
          </w:tcPr>
          <w:p>
            <w:pPr>
              <w:jc w:val="center"/>
            </w:pPr>
            <w:r>
              <w:rPr>
                <w:color w:val="1E293B"/>
                <w:sz w:val="19"/>
              </w:rPr>
              <w:t>8,550</w:t>
            </w:r>
          </w:p>
        </w:tc>
      </w:tr>
      <w:tr>
        <w:tc>
          <w:tcPr>
            <w:tcW w:type="dxa" w:w="2351"/>
            <w:shd w:val="clear" w:color="auto" w:fill="f8fafc"/>
          </w:tcPr>
          <w:p>
            <w:pPr>
              <w:jc w:val="left"/>
            </w:pPr>
            <w:r>
              <w:rPr>
                <w:color w:val="1E293B"/>
                <w:sz w:val="19"/>
              </w:rPr>
              <w:t>Average loan size</w:t>
            </w:r>
          </w:p>
        </w:tc>
        <w:tc>
          <w:tcPr>
            <w:tcW w:type="dxa" w:w="2351"/>
            <w:shd w:val="clear" w:color="auto" w:fill="f8fafc"/>
          </w:tcPr>
          <w:p>
            <w:pPr>
              <w:jc w:val="center"/>
            </w:pPr>
            <w:r>
              <w:rPr>
                <w:color w:val="1E293B"/>
                <w:sz w:val="19"/>
              </w:rPr>
              <w:t>₦2.5M</w:t>
            </w:r>
          </w:p>
        </w:tc>
        <w:tc>
          <w:tcPr>
            <w:tcW w:type="dxa" w:w="2351"/>
            <w:shd w:val="clear" w:color="auto" w:fill="f8fafc"/>
          </w:tcPr>
          <w:p>
            <w:pPr>
              <w:jc w:val="center"/>
            </w:pPr>
            <w:r>
              <w:rPr>
                <w:color w:val="1E293B"/>
                <w:sz w:val="19"/>
              </w:rPr>
              <w:t>₦3.2M</w:t>
            </w:r>
          </w:p>
        </w:tc>
        <w:tc>
          <w:tcPr>
            <w:tcW w:type="dxa" w:w="2351"/>
            <w:shd w:val="clear" w:color="auto" w:fill="f8fafc"/>
          </w:tcPr>
          <w:p>
            <w:pPr>
              <w:jc w:val="center"/>
            </w:pPr>
            <w:r>
              <w:rPr>
                <w:color w:val="1E293B"/>
                <w:sz w:val="19"/>
              </w:rPr>
              <w:t>₦4.0M</w:t>
            </w:r>
          </w:p>
        </w:tc>
      </w:tr>
      <w:tr>
        <w:tc>
          <w:tcPr>
            <w:tcW w:type="dxa" w:w="2351"/>
            <w:shd w:val="clear" w:color="auto" w:fill="e2e8f0"/>
          </w:tcPr>
          <w:p>
            <w:pPr>
              <w:jc w:val="left"/>
            </w:pPr>
            <w:r>
              <w:rPr>
                <w:color w:val="1E293B"/>
                <w:sz w:val="19"/>
              </w:rPr>
              <w:t>Total loan portfolio from Quad360</w:t>
            </w:r>
          </w:p>
        </w:tc>
        <w:tc>
          <w:tcPr>
            <w:tcW w:type="dxa" w:w="2351"/>
            <w:shd w:val="clear" w:color="auto" w:fill="e2e8f0"/>
          </w:tcPr>
          <w:p>
            <w:pPr>
              <w:jc w:val="center"/>
            </w:pPr>
            <w:r>
              <w:rPr>
                <w:color w:val="1E293B"/>
                <w:sz w:val="19"/>
              </w:rPr>
              <w:t>₦1.875B</w:t>
            </w:r>
          </w:p>
        </w:tc>
        <w:tc>
          <w:tcPr>
            <w:tcW w:type="dxa" w:w="2351"/>
            <w:shd w:val="clear" w:color="auto" w:fill="e2e8f0"/>
          </w:tcPr>
          <w:p>
            <w:pPr>
              <w:jc w:val="center"/>
            </w:pPr>
            <w:r>
              <w:rPr>
                <w:color w:val="1E293B"/>
                <w:sz w:val="19"/>
              </w:rPr>
              <w:t>₦9.408B</w:t>
            </w:r>
          </w:p>
        </w:tc>
        <w:tc>
          <w:tcPr>
            <w:tcW w:type="dxa" w:w="2351"/>
            <w:shd w:val="clear" w:color="auto" w:fill="e2e8f0"/>
          </w:tcPr>
          <w:p>
            <w:pPr>
              <w:jc w:val="center"/>
            </w:pPr>
            <w:r>
              <w:rPr>
                <w:color w:val="1E293B"/>
                <w:sz w:val="19"/>
              </w:rPr>
              <w:t>₦34.2B</w:t>
            </w:r>
          </w:p>
        </w:tc>
      </w:tr>
      <w:tr>
        <w:tc>
          <w:tcPr>
            <w:tcW w:type="dxa" w:w="2351"/>
            <w:shd w:val="clear" w:color="auto" w:fill="f8fafc"/>
          </w:tcPr>
          <w:p>
            <w:pPr>
              <w:jc w:val="left"/>
            </w:pPr>
            <w:r>
              <w:rPr>
                <w:color w:val="1E293B"/>
                <w:sz w:val="19"/>
              </w:rPr>
              <w:t>Net interest income (at 24% avg rate)</w:t>
            </w:r>
          </w:p>
        </w:tc>
        <w:tc>
          <w:tcPr>
            <w:tcW w:type="dxa" w:w="2351"/>
            <w:shd w:val="clear" w:color="auto" w:fill="f8fafc"/>
          </w:tcPr>
          <w:p>
            <w:pPr>
              <w:jc w:val="center"/>
            </w:pPr>
            <w:r>
              <w:rPr>
                <w:color w:val="1E293B"/>
                <w:sz w:val="19"/>
              </w:rPr>
              <w:t>₦450M</w:t>
            </w:r>
          </w:p>
        </w:tc>
        <w:tc>
          <w:tcPr>
            <w:tcW w:type="dxa" w:w="2351"/>
            <w:shd w:val="clear" w:color="auto" w:fill="f8fafc"/>
          </w:tcPr>
          <w:p>
            <w:pPr>
              <w:jc w:val="center"/>
            </w:pPr>
            <w:r>
              <w:rPr>
                <w:color w:val="1E293B"/>
                <w:sz w:val="19"/>
              </w:rPr>
              <w:t>₦2.258B</w:t>
            </w:r>
          </w:p>
        </w:tc>
        <w:tc>
          <w:tcPr>
            <w:tcW w:type="dxa" w:w="2351"/>
            <w:shd w:val="clear" w:color="auto" w:fill="f8fafc"/>
          </w:tcPr>
          <w:p>
            <w:pPr>
              <w:jc w:val="center"/>
            </w:pPr>
            <w:r>
              <w:rPr>
                <w:color w:val="1E293B"/>
                <w:sz w:val="19"/>
              </w:rPr>
              <w:t>₦8.208B</w:t>
            </w:r>
          </w:p>
        </w:tc>
      </w:tr>
      <w:tr>
        <w:tc>
          <w:tcPr>
            <w:tcW w:type="dxa" w:w="2351"/>
            <w:shd w:val="clear" w:color="auto" w:fill="e2e8f0"/>
          </w:tcPr>
          <w:p>
            <w:pPr>
              <w:jc w:val="left"/>
            </w:pPr>
            <w:r>
              <w:rPr>
                <w:color w:val="1E293B"/>
                <w:sz w:val="19"/>
              </w:rPr>
              <w:t>Less: credit losses (estimated 3%)</w:t>
            </w:r>
          </w:p>
        </w:tc>
        <w:tc>
          <w:tcPr>
            <w:tcW w:type="dxa" w:w="2351"/>
            <w:shd w:val="clear" w:color="auto" w:fill="e2e8f0"/>
          </w:tcPr>
          <w:p>
            <w:pPr>
              <w:jc w:val="center"/>
            </w:pPr>
            <w:r>
              <w:rPr>
                <w:color w:val="1E293B"/>
                <w:sz w:val="19"/>
              </w:rPr>
              <w:t>-₦56.25M</w:t>
            </w:r>
          </w:p>
        </w:tc>
        <w:tc>
          <w:tcPr>
            <w:tcW w:type="dxa" w:w="2351"/>
            <w:shd w:val="clear" w:color="auto" w:fill="e2e8f0"/>
          </w:tcPr>
          <w:p>
            <w:pPr>
              <w:jc w:val="center"/>
            </w:pPr>
            <w:r>
              <w:rPr>
                <w:color w:val="1E293B"/>
                <w:sz w:val="19"/>
              </w:rPr>
              <w:t>-₦282M</w:t>
            </w:r>
          </w:p>
        </w:tc>
        <w:tc>
          <w:tcPr>
            <w:tcW w:type="dxa" w:w="2351"/>
            <w:shd w:val="clear" w:color="auto" w:fill="e2e8f0"/>
          </w:tcPr>
          <w:p>
            <w:pPr>
              <w:jc w:val="center"/>
            </w:pPr>
            <w:r>
              <w:rPr>
                <w:color w:val="1E293B"/>
                <w:sz w:val="19"/>
              </w:rPr>
              <w:t>-₦1.026B</w:t>
            </w:r>
          </w:p>
        </w:tc>
      </w:tr>
      <w:tr>
        <w:tc>
          <w:tcPr>
            <w:tcW w:type="dxa" w:w="2351"/>
            <w:shd w:val="clear" w:color="auto" w:fill="f8fafc"/>
          </w:tcPr>
          <w:p>
            <w:pPr>
              <w:jc w:val="left"/>
            </w:pPr>
            <w:r>
              <w:rPr>
                <w:color w:val="1E293B"/>
                <w:sz w:val="19"/>
              </w:rPr>
              <w:t>Net revenue from Quad360 pipeline</w:t>
            </w:r>
          </w:p>
        </w:tc>
        <w:tc>
          <w:tcPr>
            <w:tcW w:type="dxa" w:w="2351"/>
            <w:shd w:val="clear" w:color="auto" w:fill="f8fafc"/>
          </w:tcPr>
          <w:p>
            <w:pPr>
              <w:jc w:val="center"/>
            </w:pPr>
            <w:r>
              <w:rPr>
                <w:color w:val="1E293B"/>
                <w:sz w:val="19"/>
              </w:rPr>
              <w:t>₦393.75M</w:t>
            </w:r>
          </w:p>
        </w:tc>
        <w:tc>
          <w:tcPr>
            <w:tcW w:type="dxa" w:w="2351"/>
            <w:shd w:val="clear" w:color="auto" w:fill="f8fafc"/>
          </w:tcPr>
          <w:p>
            <w:pPr>
              <w:jc w:val="center"/>
            </w:pPr>
            <w:r>
              <w:rPr>
                <w:color w:val="1E293B"/>
                <w:sz w:val="19"/>
              </w:rPr>
              <w:t>₦1.976B</w:t>
            </w:r>
          </w:p>
        </w:tc>
        <w:tc>
          <w:tcPr>
            <w:tcW w:type="dxa" w:w="2351"/>
            <w:shd w:val="clear" w:color="auto" w:fill="f8fafc"/>
          </w:tcPr>
          <w:p>
            <w:pPr>
              <w:jc w:val="center"/>
            </w:pPr>
            <w:r>
              <w:rPr>
                <w:color w:val="1E293B"/>
                <w:sz w:val="19"/>
              </w:rPr>
              <w:t>₦7.182B</w:t>
            </w:r>
          </w:p>
        </w:tc>
      </w:tr>
    </w:tbl>
    <w:p/>
    <w:p>
      <w:r>
        <w:br w:type="page"/>
      </w:r>
    </w:p>
    <w:p>
      <w:pPr>
        <w:keepNext/>
        <w:spacing w:before="360" w:after="160"/>
      </w:pPr>
      <w:r>
        <w:rPr>
          <w:b/>
          <w:color w:val="0F172A"/>
          <w:sz w:val="44"/>
        </w:rPr>
        <w:t>SECTION 6: PARTNERSHIP MODELS</w:t>
      </w:r>
    </w:p>
    <w:p>
      <w:pPr>
        <w:pBdr>
          <w:bottom w:val="single" w:sz="6" w:space="4" w:color="3b82f6"/>
        </w:pBdr>
        <w:spacing w:after="200" w:before="80"/>
      </w:pPr>
    </w:p>
    <w:p>
      <w:pPr>
        <w:spacing w:after="120" w:before="40"/>
      </w:pPr>
      <w:r>
        <w:rPr>
          <w:i w:val="0"/>
          <w:color w:val="1E293B"/>
          <w:sz w:val="21"/>
        </w:rPr>
        <w:t>We propose four partnership models for Zenith Bank's consideration. These are not mutually exclusive — we recommend beginning with Model A and Model B simultaneously, adding Model C within 90 days, and evaluating Model D at the 6-month mark based on pilot results.</w:t>
      </w:r>
    </w:p>
    <w:p>
      <w:pPr>
        <w:spacing w:before="360" w:after="160"/>
      </w:pPr>
      <w:r>
        <w:rPr>
          <w:b/>
          <w:color w:val="3B82F6"/>
          <w:sz w:val="32"/>
        </w:rPr>
        <w:t>MODEL A — CO-DISTRIBUTION PARTNERSHIP</w:t>
      </w:r>
    </w:p>
    <w:p>
      <w:pPr>
        <w:pStyle w:val="ListBullet"/>
        <w:spacing w:after="60" w:before="40"/>
      </w:pPr>
      <w:r>
        <w:rPr>
          <w:b/>
          <w:color w:val="0F172A"/>
          <w:sz w:val="21"/>
        </w:rPr>
        <w:t xml:space="preserve">Objective: </w:t>
      </w:r>
      <w:r>
        <w:rPr>
          <w:color w:val="1E293B"/>
          <w:sz w:val="21"/>
        </w:rPr>
        <w:t>Zenith Bank distributes Quad360 to its existing SME customer base as a co-branded, free value-added service — positioning Zenith as the most financially sophisticated SME banking partner in Nigeria.</w:t>
      </w:r>
    </w:p>
    <w:p>
      <w:pPr>
        <w:pStyle w:val="ListBullet"/>
        <w:spacing w:after="60" w:before="40"/>
      </w:pPr>
      <w:r>
        <w:rPr>
          <w:b/>
          <w:color w:val="0F172A"/>
          <w:sz w:val="21"/>
        </w:rPr>
        <w:t xml:space="preserve">What Zenith Bank Provides: </w:t>
      </w:r>
      <w:r>
        <w:rPr>
          <w:color w:val="1E293B"/>
          <w:sz w:val="21"/>
        </w:rPr>
        <w:t>Distribution access through ZenithDirect app, branch network, and SME customer communications. Co-branding rights and endorsement. Integration mention in SME banking marketing materials.</w:t>
      </w:r>
    </w:p>
    <w:p>
      <w:pPr>
        <w:pStyle w:val="ListBullet"/>
        <w:spacing w:after="60" w:before="40"/>
      </w:pPr>
      <w:r>
        <w:rPr>
          <w:b/>
          <w:color w:val="0F172A"/>
          <w:sz w:val="21"/>
        </w:rPr>
        <w:t xml:space="preserve">What Quad360 Provides: </w:t>
      </w:r>
      <w:r>
        <w:rPr>
          <w:color w:val="1E293B"/>
          <w:sz w:val="21"/>
        </w:rPr>
        <w:t>Fully built and operational technology platform. Onboarding, training materials, and customer support. Ongoing development, maintenance, and security updates. Performance reporting to Zenith Bank quarterly.</w:t>
      </w:r>
    </w:p>
    <w:p>
      <w:pPr>
        <w:pStyle w:val="ListBullet"/>
        <w:spacing w:after="60" w:before="40"/>
      </w:pPr>
      <w:r>
        <w:rPr>
          <w:b/>
          <w:color w:val="0F172A"/>
          <w:sz w:val="21"/>
        </w:rPr>
        <w:t xml:space="preserve">Commercial Structure: </w:t>
      </w:r>
      <w:r>
        <w:rPr>
          <w:color w:val="1E293B"/>
          <w:sz w:val="21"/>
        </w:rPr>
        <w:t>Free to distribute. Revenue share of 25% on all paid plan conversions from Zenith-referred users. Estimated Year 1 revenue share to Zenith: ₦18.75M.</w:t>
      </w:r>
    </w:p>
    <w:p>
      <w:pPr>
        <w:pStyle w:val="ListBullet"/>
        <w:spacing w:after="60" w:before="40"/>
      </w:pPr>
      <w:r>
        <w:rPr>
          <w:b/>
          <w:color w:val="0F172A"/>
          <w:sz w:val="21"/>
        </w:rPr>
        <w:t xml:space="preserve">Timeline: </w:t>
      </w:r>
      <w:r>
        <w:rPr>
          <w:color w:val="1E293B"/>
          <w:sz w:val="21"/>
        </w:rPr>
        <w:t>60–90 days from signed agreement to full deployment.</w:t>
      </w:r>
    </w:p>
    <w:p>
      <w:pPr>
        <w:pStyle w:val="ListBullet"/>
        <w:spacing w:after="60" w:before="40"/>
      </w:pPr>
      <w:r>
        <w:rPr>
          <w:b/>
          <w:color w:val="0F172A"/>
          <w:sz w:val="21"/>
        </w:rPr>
        <w:t xml:space="preserve">Success Metrics: </w:t>
      </w:r>
      <w:r>
        <w:rPr>
          <w:color w:val="1E293B"/>
          <w:sz w:val="21"/>
        </w:rPr>
        <w:t>Number of Zenith SME customers onboarded. Monthly active usage rate. Free-to-paid conversion rate. Customer satisfaction score.</w:t>
      </w:r>
    </w:p>
    <w:p/>
    <w:p>
      <w:pPr>
        <w:spacing w:before="360" w:after="160"/>
      </w:pPr>
      <w:r>
        <w:rPr>
          <w:b/>
          <w:color w:val="3B82F6"/>
          <w:sz w:val="32"/>
        </w:rPr>
        <w:t>MODEL B — PRE-QUALIFIED SME LOAN PIPELINE</w:t>
      </w:r>
    </w:p>
    <w:p>
      <w:pPr>
        <w:pStyle w:val="ListBullet"/>
        <w:spacing w:after="60" w:before="40"/>
      </w:pPr>
      <w:r>
        <w:rPr>
          <w:b/>
          <w:color w:val="0F172A"/>
          <w:sz w:val="21"/>
        </w:rPr>
        <w:t xml:space="preserve">Objective: </w:t>
      </w:r>
      <w:r>
        <w:rPr>
          <w:color w:val="1E293B"/>
          <w:sz w:val="21"/>
        </w:rPr>
        <w:t>Quad360 identifies SME businesses on the platform that meet agreed Zenith Bank credit criteria and routes pre-qualified, fully documented loan applications directly to Zenith's SME credit team.</w:t>
      </w:r>
    </w:p>
    <w:p>
      <w:pPr>
        <w:pStyle w:val="ListBullet"/>
        <w:spacing w:after="60" w:before="40"/>
      </w:pPr>
      <w:r>
        <w:rPr>
          <w:b/>
          <w:color w:val="0F172A"/>
          <w:sz w:val="21"/>
        </w:rPr>
        <w:t xml:space="preserve">Qualification Criteria (negotiable): </w:t>
      </w:r>
      <w:r>
        <w:rPr>
          <w:color w:val="1E293B"/>
          <w:sz w:val="21"/>
        </w:rPr>
        <w:t>Minimum 6 months active Quad360 use. Minimum 3 consecutive months of positive net cash flow. Minimum monthly revenue of ₦500,000. Invoice collection rate above 70%. No existing overdue loans recorded in the system.</w:t>
      </w:r>
    </w:p>
    <w:p>
      <w:pPr>
        <w:pStyle w:val="ListBullet"/>
        <w:spacing w:after="60" w:before="40"/>
      </w:pPr>
      <w:r>
        <w:rPr>
          <w:b/>
          <w:color w:val="0F172A"/>
          <w:sz w:val="21"/>
        </w:rPr>
        <w:t xml:space="preserve">What Zenith Bank Provides: </w:t>
      </w:r>
      <w:r>
        <w:rPr>
          <w:color w:val="1E293B"/>
          <w:sz w:val="21"/>
        </w:rPr>
        <w:t>Defined credit criteria for Quad360 pre-qualification. Dedicated SME credit processing desk for Quad360 pipeline. Agreed SLA for application processing (target: 48 hours). Competitive loan product terms for Quad360-referred applicants.</w:t>
      </w:r>
    </w:p>
    <w:p>
      <w:pPr>
        <w:pStyle w:val="ListBullet"/>
        <w:spacing w:after="60" w:before="40"/>
      </w:pPr>
      <w:r>
        <w:rPr>
          <w:b/>
          <w:color w:val="0F172A"/>
          <w:sz w:val="21"/>
        </w:rPr>
        <w:t xml:space="preserve">What Quad360 Provides: </w:t>
      </w:r>
      <w:r>
        <w:rPr>
          <w:color w:val="1E293B"/>
          <w:sz w:val="21"/>
        </w:rPr>
        <w:t>Continuous monitoring of platform users against agreed criteria. In-app notification to qualifying businesses: 'You qualify for a Zenith Bank SME loan — apply now.' Complete financial data package per applicant with user consent. Ongoing lead volume as user base scales.</w:t>
      </w:r>
    </w:p>
    <w:p>
      <w:pPr>
        <w:pStyle w:val="ListBullet"/>
        <w:spacing w:after="60" w:before="40"/>
      </w:pPr>
      <w:r>
        <w:rPr>
          <w:b/>
          <w:color w:val="0F172A"/>
          <w:sz w:val="21"/>
        </w:rPr>
        <w:t xml:space="preserve">Commercial Structure: </w:t>
      </w:r>
      <w:r>
        <w:rPr>
          <w:color w:val="1E293B"/>
          <w:sz w:val="21"/>
        </w:rPr>
        <w:t>₦35,000 referral fee per funded loan in Year 1. Scaling to ₦50,000 per funded loan from Year 2. Estimated Year 1 pipeline value: 750 funded loans × ₦35,000 = ₦26.25M in referral fees to Quad360. Zenith net interest income: ₦393.75M in Year 1.</w:t>
      </w:r>
    </w:p>
    <w:p>
      <w:pPr>
        <w:pStyle w:val="ListBullet"/>
        <w:spacing w:after="60" w:before="40"/>
      </w:pPr>
      <w:r>
        <w:rPr>
          <w:b/>
          <w:color w:val="0F172A"/>
          <w:sz w:val="21"/>
        </w:rPr>
        <w:t xml:space="preserve">Timeline: </w:t>
      </w:r>
      <w:r>
        <w:rPr>
          <w:color w:val="1E293B"/>
          <w:sz w:val="21"/>
        </w:rPr>
        <w:t>90–120 days from agreement signing. Pilot with 50 pre-qualified applicants in first 30 days.</w:t>
      </w:r>
    </w:p>
    <w:p/>
    <w:p>
      <w:pPr>
        <w:spacing w:before="360" w:after="160"/>
      </w:pPr>
      <w:r>
        <w:rPr>
          <w:b/>
          <w:color w:val="3B82F6"/>
          <w:sz w:val="32"/>
        </w:rPr>
        <w:t>MODEL C — PORTFOLIO MONITORING SERVICE</w:t>
      </w:r>
    </w:p>
    <w:p>
      <w:pPr>
        <w:pStyle w:val="ListBullet"/>
        <w:spacing w:after="60" w:before="40"/>
      </w:pPr>
      <w:r>
        <w:rPr>
          <w:b/>
          <w:color w:val="0F172A"/>
          <w:sz w:val="21"/>
        </w:rPr>
        <w:t xml:space="preserve">Objective: </w:t>
      </w:r>
      <w:r>
        <w:rPr>
          <w:color w:val="1E293B"/>
          <w:sz w:val="21"/>
        </w:rPr>
        <w:t>For Zenith Bank's existing SME loan customers, Quad360 provides a live financial health monitoring service that gives relationship managers real-time visibility into borrower financial health between reporting periods.</w:t>
      </w:r>
    </w:p>
    <w:p>
      <w:pPr>
        <w:pStyle w:val="ListBullet"/>
        <w:spacing w:after="60" w:before="40"/>
      </w:pPr>
      <w:r>
        <w:rPr>
          <w:b/>
          <w:color w:val="0F172A"/>
          <w:sz w:val="21"/>
        </w:rPr>
        <w:t xml:space="preserve">How It Works: </w:t>
      </w:r>
      <w:r>
        <w:rPr>
          <w:color w:val="1E293B"/>
          <w:sz w:val="21"/>
        </w:rPr>
        <w:t>Existing Zenith SME borrowers are offered Quad360 adoption as a loan condition or incentivised with a 0.5% interest rate reduction for consistent use. With borrower consent, Zenith Bank's relationship management team gains access to a portfolio health dashboard showing: revenue trends by borrower, cash flow position, invoice collection performance, expense trajectory, and early warning flags.</w:t>
      </w:r>
    </w:p>
    <w:p>
      <w:pPr>
        <w:pStyle w:val="ListBullet"/>
        <w:spacing w:after="60" w:before="40"/>
      </w:pPr>
      <w:r>
        <w:rPr>
          <w:b/>
          <w:color w:val="0F172A"/>
          <w:sz w:val="21"/>
        </w:rPr>
        <w:t xml:space="preserve">Alert Triggers: </w:t>
      </w:r>
      <w:r>
        <w:rPr>
          <w:color w:val="1E293B"/>
          <w:sz w:val="21"/>
        </w:rPr>
        <w:t>Revenue declining for 3+ consecutive weeks. Cash position below 30 days of operating expenses. Invoice collection rate below 50%. Unusual expense spike (&gt;30% above 90-day average). Payroll missed or delayed.</w:t>
      </w:r>
    </w:p>
    <w:p>
      <w:pPr>
        <w:pStyle w:val="ListBullet"/>
        <w:spacing w:after="60" w:before="40"/>
      </w:pPr>
      <w:r>
        <w:rPr>
          <w:b/>
          <w:color w:val="0F172A"/>
          <w:sz w:val="21"/>
        </w:rPr>
        <w:t xml:space="preserve">Commercial Structure: </w:t>
      </w:r>
      <w:r>
        <w:rPr>
          <w:color w:val="1E293B"/>
          <w:sz w:val="21"/>
        </w:rPr>
        <w:t>Monthly SaaS fee of ₦15,000 per monitored borrower. For a portfolio of 1,000 monitored SME borrowers: ₦15M/month = ₦180M/year. Declining per-unit cost at volume: ₦12,000 for 2,500+ borrowers.</w:t>
      </w:r>
    </w:p>
    <w:p>
      <w:pPr>
        <w:pStyle w:val="ListBullet"/>
        <w:spacing w:after="60" w:before="40"/>
      </w:pPr>
      <w:r>
        <w:rPr>
          <w:b/>
          <w:color w:val="0F172A"/>
          <w:sz w:val="21"/>
        </w:rPr>
        <w:t xml:space="preserve">Timeline: </w:t>
      </w:r>
      <w:r>
        <w:rPr>
          <w:color w:val="1E293B"/>
          <w:sz w:val="21"/>
        </w:rPr>
        <w:t>90 days from agreement signing. Pilot with 100 existing Zenith SME borrowers in first phase.</w:t>
      </w:r>
    </w:p>
    <w:p/>
    <w:p>
      <w:pPr>
        <w:spacing w:before="360" w:after="160"/>
      </w:pPr>
      <w:r>
        <w:rPr>
          <w:b/>
          <w:color w:val="3B82F6"/>
          <w:sz w:val="32"/>
        </w:rPr>
        <w:t>MODEL D — WHITE LABEL ENTERPRISE SOLUTION</w:t>
      </w:r>
    </w:p>
    <w:p>
      <w:pPr>
        <w:pStyle w:val="ListBullet"/>
        <w:spacing w:after="60" w:before="40"/>
      </w:pPr>
      <w:r>
        <w:rPr>
          <w:b/>
          <w:color w:val="0F172A"/>
          <w:sz w:val="21"/>
        </w:rPr>
        <w:t xml:space="preserve">Objective: </w:t>
      </w:r>
      <w:r>
        <w:rPr>
          <w:color w:val="1E293B"/>
          <w:sz w:val="21"/>
        </w:rPr>
        <w:t>Zenith Bank deploys a fully white-labeled version of Quad360 — branded as 'Zenith Business Manager' — as a proprietary Zenith Bank product exclusively available to Zenith SME customers.</w:t>
      </w:r>
    </w:p>
    <w:p>
      <w:pPr>
        <w:pStyle w:val="ListBullet"/>
        <w:spacing w:after="60" w:before="40"/>
      </w:pPr>
      <w:r>
        <w:rPr>
          <w:b/>
          <w:color w:val="0F172A"/>
          <w:sz w:val="21"/>
        </w:rPr>
        <w:t xml:space="preserve">What This Creates: </w:t>
      </w:r>
      <w:r>
        <w:rPr>
          <w:color w:val="1E293B"/>
          <w:sz w:val="21"/>
        </w:rPr>
        <w:t>A proprietary Zenith Bank fintech product available in the Zenith app ecosystem. Deep integration with ZenithDirect mobile banking. Exclusive availability — competitors cannot offer the same product. Zenith brand associated with every financial management interaction of their SME customers.</w:t>
      </w:r>
    </w:p>
    <w:p>
      <w:pPr>
        <w:pStyle w:val="ListBullet"/>
        <w:spacing w:after="60" w:before="40"/>
      </w:pPr>
      <w:r>
        <w:rPr>
          <w:b/>
          <w:color w:val="0F172A"/>
          <w:sz w:val="21"/>
        </w:rPr>
        <w:t xml:space="preserve">What Quad360 Provides: </w:t>
      </w:r>
      <w:r>
        <w:rPr>
          <w:color w:val="1E293B"/>
          <w:sz w:val="21"/>
        </w:rPr>
        <w:t>Complete white-label technology platform with full Zenith branding. Ongoing development, feature updates, and security maintenance. Technical integration support with ZenithDirect. Customisation to Zenith brand standards and UX requirements. Dedicated technical support SLA.</w:t>
      </w:r>
    </w:p>
    <w:p>
      <w:pPr>
        <w:pStyle w:val="ListBullet"/>
        <w:spacing w:after="60" w:before="40"/>
      </w:pPr>
      <w:r>
        <w:rPr>
          <w:b/>
          <w:color w:val="0F172A"/>
          <w:sz w:val="21"/>
        </w:rPr>
        <w:t xml:space="preserve">Commercial Structure: </w:t>
      </w:r>
      <w:r>
        <w:rPr>
          <w:color w:val="1E293B"/>
          <w:sz w:val="21"/>
        </w:rPr>
        <w:t>Annual technology licensing fee: ₦180M per annum. Per-active-user fee: ₦1,500/month for users above 10,000. Custom enterprise features and integrations quoted separately. 5-year agreement recommended for maximum customisation investment.</w:t>
      </w:r>
    </w:p>
    <w:p>
      <w:pPr>
        <w:pStyle w:val="ListBullet"/>
        <w:spacing w:after="60" w:before="40"/>
      </w:pPr>
      <w:r>
        <w:rPr>
          <w:b/>
          <w:color w:val="0F172A"/>
          <w:sz w:val="21"/>
        </w:rPr>
        <w:t xml:space="preserve">Timeline: </w:t>
      </w:r>
      <w:r>
        <w:rPr>
          <w:color w:val="1E293B"/>
          <w:sz w:val="21"/>
        </w:rPr>
        <w:t>120–180 days from agreement signing. Requires technical discovery workshop in first 30 days.</w:t>
      </w:r>
    </w:p>
    <w:p/>
    <w:p>
      <w:pPr>
        <w:spacing w:before="360" w:after="160"/>
      </w:pPr>
      <w:r>
        <w:rPr>
          <w:b/>
          <w:color w:val="0F172A"/>
          <w:sz w:val="32"/>
        </w:rPr>
        <w:t>6.5  Recommended Approach</w:t>
      </w:r>
    </w:p>
    <w:p>
      <w:pPr>
        <w:spacing w:after="120" w:before="40"/>
      </w:pPr>
      <w:r>
        <w:rPr>
          <w:i w:val="0"/>
          <w:color w:val="1E293B"/>
          <w:sz w:val="21"/>
        </w:rPr>
        <w:t>We recommend Zenith Bank begin with a combined Model A + Model B pilot targeting 500 existing Zenith SME customers in Lagos (Ikeja, VI, Lekki) over 90 days. This allows both organisations to validate the commercial assumptions with real data before committing to the full-scale deployment or the higher-investment models (C and D).</w:t>
      </w:r>
    </w:p>
    <w:p>
      <w:pPr>
        <w:spacing w:after="120" w:before="40"/>
      </w:pPr>
      <w:r>
        <w:rPr>
          <w:i w:val="0"/>
          <w:color w:val="1E293B"/>
          <w:sz w:val="21"/>
        </w:rPr>
        <w:t>The pilot carries zero financial risk for Zenith Bank. Quad360 provides the technology, the onboarding, and the customer support. Zenith Bank provides the distribution. If the pilot does not meet agreed performance thresholds, neither party has a further obligation.</w:t>
      </w:r>
    </w:p>
    <w:p>
      <w:r>
        <w:br w:type="page"/>
      </w:r>
    </w:p>
    <w:p>
      <w:pPr>
        <w:keepNext/>
        <w:spacing w:before="360" w:after="160"/>
      </w:pPr>
      <w:r>
        <w:rPr>
          <w:b/>
          <w:color w:val="0F172A"/>
          <w:sz w:val="44"/>
        </w:rPr>
        <w:t>SECTION 7: FINANCIAL PROJECTIONS &amp; ROI</w:t>
      </w:r>
    </w:p>
    <w:p>
      <w:pPr>
        <w:pBdr>
          <w:bottom w:val="single" w:sz="6" w:space="4" w:color="3b82f6"/>
        </w:pBdr>
        <w:spacing w:after="200" w:before="80"/>
      </w:pPr>
    </w:p>
    <w:p>
      <w:pPr>
        <w:spacing w:before="360" w:after="160"/>
      </w:pPr>
      <w:r>
        <w:rPr>
          <w:b/>
          <w:color w:val="0F172A"/>
          <w:sz w:val="32"/>
        </w:rPr>
        <w:t>7.1  Partnership Revenue Projection — Combined Model A + B</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0f172a"/>
          </w:tcPr>
          <w:p>
            <w:pPr>
              <w:jc w:val="center"/>
            </w:pPr>
            <w:r>
              <w:rPr>
                <w:b/>
                <w:color w:val="FFFFFF"/>
                <w:sz w:val="19"/>
              </w:rPr>
              <w:t>Revenue Stream</w:t>
            </w:r>
          </w:p>
        </w:tc>
        <w:tc>
          <w:tcPr>
            <w:tcW w:type="dxa" w:w="2351"/>
            <w:shd w:val="clear" w:color="auto" w:fill="0f172a"/>
          </w:tcPr>
          <w:p>
            <w:pPr>
              <w:jc w:val="center"/>
            </w:pPr>
            <w:r>
              <w:rPr>
                <w:b/>
                <w:color w:val="FFFFFF"/>
                <w:sz w:val="19"/>
              </w:rPr>
              <w:t>Year 1 (₦)</w:t>
            </w:r>
          </w:p>
        </w:tc>
        <w:tc>
          <w:tcPr>
            <w:tcW w:type="dxa" w:w="2351"/>
            <w:shd w:val="clear" w:color="auto" w:fill="0f172a"/>
          </w:tcPr>
          <w:p>
            <w:pPr>
              <w:jc w:val="center"/>
            </w:pPr>
            <w:r>
              <w:rPr>
                <w:b/>
                <w:color w:val="FFFFFF"/>
                <w:sz w:val="19"/>
              </w:rPr>
              <w:t>Year 2 (₦)</w:t>
            </w:r>
          </w:p>
        </w:tc>
        <w:tc>
          <w:tcPr>
            <w:tcW w:type="dxa" w:w="2351"/>
            <w:shd w:val="clear" w:color="auto" w:fill="0f172a"/>
          </w:tcPr>
          <w:p>
            <w:pPr>
              <w:jc w:val="center"/>
            </w:pPr>
            <w:r>
              <w:rPr>
                <w:b/>
                <w:color w:val="FFFFFF"/>
                <w:sz w:val="19"/>
              </w:rPr>
              <w:t>Year 3 (₦)</w:t>
            </w:r>
          </w:p>
        </w:tc>
      </w:tr>
      <w:tr>
        <w:tc>
          <w:tcPr>
            <w:tcW w:type="dxa" w:w="2351"/>
            <w:shd w:val="clear" w:color="auto" w:fill="f8fafc"/>
          </w:tcPr>
          <w:p>
            <w:pPr>
              <w:jc w:val="left"/>
            </w:pPr>
            <w:r>
              <w:rPr>
                <w:color w:val="1E293B"/>
                <w:sz w:val="19"/>
              </w:rPr>
              <w:t>Net interest income — Quad360 loan pipeline</w:t>
            </w:r>
          </w:p>
        </w:tc>
        <w:tc>
          <w:tcPr>
            <w:tcW w:type="dxa" w:w="2351"/>
            <w:shd w:val="clear" w:color="auto" w:fill="f8fafc"/>
          </w:tcPr>
          <w:p>
            <w:pPr>
              <w:jc w:val="center"/>
            </w:pPr>
            <w:r>
              <w:rPr>
                <w:color w:val="1E293B"/>
                <w:sz w:val="19"/>
              </w:rPr>
              <w:t>393,750,000</w:t>
            </w:r>
          </w:p>
        </w:tc>
        <w:tc>
          <w:tcPr>
            <w:tcW w:type="dxa" w:w="2351"/>
            <w:shd w:val="clear" w:color="auto" w:fill="f8fafc"/>
          </w:tcPr>
          <w:p>
            <w:pPr>
              <w:jc w:val="center"/>
            </w:pPr>
            <w:r>
              <w:rPr>
                <w:color w:val="1E293B"/>
                <w:sz w:val="19"/>
              </w:rPr>
              <w:t>1,976,400,000</w:t>
            </w:r>
          </w:p>
        </w:tc>
        <w:tc>
          <w:tcPr>
            <w:tcW w:type="dxa" w:w="2351"/>
            <w:shd w:val="clear" w:color="auto" w:fill="f8fafc"/>
          </w:tcPr>
          <w:p>
            <w:pPr>
              <w:jc w:val="center"/>
            </w:pPr>
            <w:r>
              <w:rPr>
                <w:color w:val="1E293B"/>
                <w:sz w:val="19"/>
              </w:rPr>
              <w:t>7,182,000,000</w:t>
            </w:r>
          </w:p>
        </w:tc>
      </w:tr>
      <w:tr>
        <w:tc>
          <w:tcPr>
            <w:tcW w:type="dxa" w:w="2351"/>
            <w:shd w:val="clear" w:color="auto" w:fill="e2e8f0"/>
          </w:tcPr>
          <w:p>
            <w:pPr>
              <w:jc w:val="left"/>
            </w:pPr>
            <w:r>
              <w:rPr>
                <w:color w:val="1E293B"/>
                <w:sz w:val="19"/>
              </w:rPr>
              <w:t>Processing fees — Quad360 applications (1.5%)</w:t>
            </w:r>
          </w:p>
        </w:tc>
        <w:tc>
          <w:tcPr>
            <w:tcW w:type="dxa" w:w="2351"/>
            <w:shd w:val="clear" w:color="auto" w:fill="e2e8f0"/>
          </w:tcPr>
          <w:p>
            <w:pPr>
              <w:jc w:val="center"/>
            </w:pPr>
            <w:r>
              <w:rPr>
                <w:color w:val="1E293B"/>
                <w:sz w:val="19"/>
              </w:rPr>
              <w:t>28,125,000</w:t>
            </w:r>
          </w:p>
        </w:tc>
        <w:tc>
          <w:tcPr>
            <w:tcW w:type="dxa" w:w="2351"/>
            <w:shd w:val="clear" w:color="auto" w:fill="e2e8f0"/>
          </w:tcPr>
          <w:p>
            <w:pPr>
              <w:jc w:val="center"/>
            </w:pPr>
            <w:r>
              <w:rPr>
                <w:color w:val="1E293B"/>
                <w:sz w:val="19"/>
              </w:rPr>
              <w:t>141,120,000</w:t>
            </w:r>
          </w:p>
        </w:tc>
        <w:tc>
          <w:tcPr>
            <w:tcW w:type="dxa" w:w="2351"/>
            <w:shd w:val="clear" w:color="auto" w:fill="e2e8f0"/>
          </w:tcPr>
          <w:p>
            <w:pPr>
              <w:jc w:val="center"/>
            </w:pPr>
            <w:r>
              <w:rPr>
                <w:color w:val="1E293B"/>
                <w:sz w:val="19"/>
              </w:rPr>
              <w:t>513,000,000</w:t>
            </w:r>
          </w:p>
        </w:tc>
      </w:tr>
      <w:tr>
        <w:tc>
          <w:tcPr>
            <w:tcW w:type="dxa" w:w="2351"/>
            <w:shd w:val="clear" w:color="auto" w:fill="f8fafc"/>
          </w:tcPr>
          <w:p>
            <w:pPr>
              <w:jc w:val="left"/>
            </w:pPr>
            <w:r>
              <w:rPr>
                <w:color w:val="1E293B"/>
                <w:sz w:val="19"/>
              </w:rPr>
              <w:t>Cross-sell revenue (insurance, FX, savings)</w:t>
            </w:r>
          </w:p>
        </w:tc>
        <w:tc>
          <w:tcPr>
            <w:tcW w:type="dxa" w:w="2351"/>
            <w:shd w:val="clear" w:color="auto" w:fill="f8fafc"/>
          </w:tcPr>
          <w:p>
            <w:pPr>
              <w:jc w:val="center"/>
            </w:pPr>
            <w:r>
              <w:rPr>
                <w:color w:val="1E293B"/>
                <w:sz w:val="19"/>
              </w:rPr>
              <w:t>45,000,000</w:t>
            </w:r>
          </w:p>
        </w:tc>
        <w:tc>
          <w:tcPr>
            <w:tcW w:type="dxa" w:w="2351"/>
            <w:shd w:val="clear" w:color="auto" w:fill="f8fafc"/>
          </w:tcPr>
          <w:p>
            <w:pPr>
              <w:jc w:val="center"/>
            </w:pPr>
            <w:r>
              <w:rPr>
                <w:color w:val="1E293B"/>
                <w:sz w:val="19"/>
              </w:rPr>
              <w:t>188,000,000</w:t>
            </w:r>
          </w:p>
        </w:tc>
        <w:tc>
          <w:tcPr>
            <w:tcW w:type="dxa" w:w="2351"/>
            <w:shd w:val="clear" w:color="auto" w:fill="f8fafc"/>
          </w:tcPr>
          <w:p>
            <w:pPr>
              <w:jc w:val="center"/>
            </w:pPr>
            <w:r>
              <w:rPr>
                <w:color w:val="1E293B"/>
                <w:sz w:val="19"/>
              </w:rPr>
              <w:t>620,000,000</w:t>
            </w:r>
          </w:p>
        </w:tc>
      </w:tr>
      <w:tr>
        <w:tc>
          <w:tcPr>
            <w:tcW w:type="dxa" w:w="2351"/>
            <w:shd w:val="clear" w:color="auto" w:fill="e2e8f0"/>
          </w:tcPr>
          <w:p>
            <w:pPr>
              <w:jc w:val="left"/>
            </w:pPr>
            <w:r>
              <w:rPr>
                <w:color w:val="1E293B"/>
                <w:sz w:val="19"/>
              </w:rPr>
              <w:t>Transaction fee income — new SME accounts</w:t>
            </w:r>
          </w:p>
        </w:tc>
        <w:tc>
          <w:tcPr>
            <w:tcW w:type="dxa" w:w="2351"/>
            <w:shd w:val="clear" w:color="auto" w:fill="e2e8f0"/>
          </w:tcPr>
          <w:p>
            <w:pPr>
              <w:jc w:val="center"/>
            </w:pPr>
            <w:r>
              <w:rPr>
                <w:color w:val="1E293B"/>
                <w:sz w:val="19"/>
              </w:rPr>
              <w:t>32,000,000</w:t>
            </w:r>
          </w:p>
        </w:tc>
        <w:tc>
          <w:tcPr>
            <w:tcW w:type="dxa" w:w="2351"/>
            <w:shd w:val="clear" w:color="auto" w:fill="e2e8f0"/>
          </w:tcPr>
          <w:p>
            <w:pPr>
              <w:jc w:val="center"/>
            </w:pPr>
            <w:r>
              <w:rPr>
                <w:color w:val="1E293B"/>
                <w:sz w:val="19"/>
              </w:rPr>
              <w:t>145,000,000</w:t>
            </w:r>
          </w:p>
        </w:tc>
        <w:tc>
          <w:tcPr>
            <w:tcW w:type="dxa" w:w="2351"/>
            <w:shd w:val="clear" w:color="auto" w:fill="e2e8f0"/>
          </w:tcPr>
          <w:p>
            <w:pPr>
              <w:jc w:val="center"/>
            </w:pPr>
            <w:r>
              <w:rPr>
                <w:color w:val="1E293B"/>
                <w:sz w:val="19"/>
              </w:rPr>
              <w:t>490,000,000</w:t>
            </w:r>
          </w:p>
        </w:tc>
      </w:tr>
      <w:tr>
        <w:tc>
          <w:tcPr>
            <w:tcW w:type="dxa" w:w="2351"/>
            <w:shd w:val="clear" w:color="auto" w:fill="f8fafc"/>
          </w:tcPr>
          <w:p>
            <w:pPr>
              <w:jc w:val="left"/>
            </w:pPr>
            <w:r>
              <w:rPr>
                <w:color w:val="1E293B"/>
                <w:sz w:val="19"/>
              </w:rPr>
              <w:t>Portfolio monitoring SaaS (Model C, from Q3)</w:t>
            </w:r>
          </w:p>
        </w:tc>
        <w:tc>
          <w:tcPr>
            <w:tcW w:type="dxa" w:w="2351"/>
            <w:shd w:val="clear" w:color="auto" w:fill="f8fafc"/>
          </w:tcPr>
          <w:p>
            <w:pPr>
              <w:jc w:val="center"/>
            </w:pPr>
            <w:r>
              <w:rPr>
                <w:color w:val="1E293B"/>
                <w:sz w:val="19"/>
              </w:rPr>
              <w:t>90,000,000</w:t>
            </w:r>
          </w:p>
        </w:tc>
        <w:tc>
          <w:tcPr>
            <w:tcW w:type="dxa" w:w="2351"/>
            <w:shd w:val="clear" w:color="auto" w:fill="f8fafc"/>
          </w:tcPr>
          <w:p>
            <w:pPr>
              <w:jc w:val="center"/>
            </w:pPr>
            <w:r>
              <w:rPr>
                <w:color w:val="1E293B"/>
                <w:sz w:val="19"/>
              </w:rPr>
              <w:t>360,000,000</w:t>
            </w:r>
          </w:p>
        </w:tc>
        <w:tc>
          <w:tcPr>
            <w:tcW w:type="dxa" w:w="2351"/>
            <w:shd w:val="clear" w:color="auto" w:fill="f8fafc"/>
          </w:tcPr>
          <w:p>
            <w:pPr>
              <w:jc w:val="center"/>
            </w:pPr>
            <w:r>
              <w:rPr>
                <w:color w:val="1E293B"/>
                <w:sz w:val="19"/>
              </w:rPr>
              <w:t>900,000,000</w:t>
            </w:r>
          </w:p>
        </w:tc>
      </w:tr>
      <w:tr>
        <w:tc>
          <w:tcPr>
            <w:tcW w:type="dxa" w:w="2351"/>
            <w:shd w:val="clear" w:color="auto" w:fill="e2e8f0"/>
          </w:tcPr>
          <w:p>
            <w:pPr>
              <w:jc w:val="left"/>
            </w:pPr>
            <w:r>
              <w:rPr>
                <w:color w:val="1E293B"/>
                <w:sz w:val="19"/>
              </w:rPr>
              <w:t>TOTAL GROSS REVENUE</w:t>
            </w:r>
          </w:p>
        </w:tc>
        <w:tc>
          <w:tcPr>
            <w:tcW w:type="dxa" w:w="2351"/>
            <w:shd w:val="clear" w:color="auto" w:fill="e2e8f0"/>
          </w:tcPr>
          <w:p>
            <w:pPr>
              <w:jc w:val="center"/>
            </w:pPr>
            <w:r>
              <w:rPr>
                <w:color w:val="1E293B"/>
                <w:sz w:val="19"/>
              </w:rPr>
              <w:t>588,875,000</w:t>
            </w:r>
          </w:p>
        </w:tc>
        <w:tc>
          <w:tcPr>
            <w:tcW w:type="dxa" w:w="2351"/>
            <w:shd w:val="clear" w:color="auto" w:fill="e2e8f0"/>
          </w:tcPr>
          <w:p>
            <w:pPr>
              <w:jc w:val="center"/>
            </w:pPr>
            <w:r>
              <w:rPr>
                <w:color w:val="1E293B"/>
                <w:sz w:val="19"/>
              </w:rPr>
              <w:t>2,810,520,000</w:t>
            </w:r>
          </w:p>
        </w:tc>
        <w:tc>
          <w:tcPr>
            <w:tcW w:type="dxa" w:w="2351"/>
            <w:shd w:val="clear" w:color="auto" w:fill="e2e8f0"/>
          </w:tcPr>
          <w:p>
            <w:pPr>
              <w:jc w:val="center"/>
            </w:pPr>
            <w:r>
              <w:rPr>
                <w:color w:val="1E293B"/>
                <w:sz w:val="19"/>
              </w:rPr>
              <w:t>9,705,000,000</w:t>
            </w:r>
          </w:p>
        </w:tc>
      </w:tr>
      <w:tr>
        <w:tc>
          <w:tcPr>
            <w:tcW w:type="dxa" w:w="2351"/>
            <w:shd w:val="clear" w:color="auto" w:fill="f8fafc"/>
          </w:tcPr>
          <w:p>
            <w:pPr>
              <w:jc w:val="left"/>
            </w:pPr>
            <w:r>
              <w:rPr>
                <w:color w:val="1E293B"/>
                <w:sz w:val="19"/>
              </w:rPr>
              <w:t>Less: Quad360 referral fees paid</w:t>
            </w:r>
          </w:p>
        </w:tc>
        <w:tc>
          <w:tcPr>
            <w:tcW w:type="dxa" w:w="2351"/>
            <w:shd w:val="clear" w:color="auto" w:fill="f8fafc"/>
          </w:tcPr>
          <w:p>
            <w:pPr>
              <w:jc w:val="center"/>
            </w:pPr>
            <w:r>
              <w:rPr>
                <w:color w:val="1E293B"/>
                <w:sz w:val="19"/>
              </w:rPr>
              <w:t>(26,250,000)</w:t>
            </w:r>
          </w:p>
        </w:tc>
        <w:tc>
          <w:tcPr>
            <w:tcW w:type="dxa" w:w="2351"/>
            <w:shd w:val="clear" w:color="auto" w:fill="f8fafc"/>
          </w:tcPr>
          <w:p>
            <w:pPr>
              <w:jc w:val="center"/>
            </w:pPr>
            <w:r>
              <w:rPr>
                <w:color w:val="1E293B"/>
                <w:sz w:val="19"/>
              </w:rPr>
              <w:t>(147,000,000)</w:t>
            </w:r>
          </w:p>
        </w:tc>
        <w:tc>
          <w:tcPr>
            <w:tcW w:type="dxa" w:w="2351"/>
            <w:shd w:val="clear" w:color="auto" w:fill="f8fafc"/>
          </w:tcPr>
          <w:p>
            <w:pPr>
              <w:jc w:val="center"/>
            </w:pPr>
            <w:r>
              <w:rPr>
                <w:color w:val="1E293B"/>
                <w:sz w:val="19"/>
              </w:rPr>
              <w:t>(712,500,000)</w:t>
            </w:r>
          </w:p>
        </w:tc>
      </w:tr>
      <w:tr>
        <w:tc>
          <w:tcPr>
            <w:tcW w:type="dxa" w:w="2351"/>
            <w:shd w:val="clear" w:color="auto" w:fill="e2e8f0"/>
          </w:tcPr>
          <w:p>
            <w:pPr>
              <w:jc w:val="left"/>
            </w:pPr>
            <w:r>
              <w:rPr>
                <w:color w:val="1E293B"/>
                <w:sz w:val="19"/>
              </w:rPr>
              <w:t>Less: Co-distribution revenue share (25%)</w:t>
            </w:r>
          </w:p>
        </w:tc>
        <w:tc>
          <w:tcPr>
            <w:tcW w:type="dxa" w:w="2351"/>
            <w:shd w:val="clear" w:color="auto" w:fill="e2e8f0"/>
          </w:tcPr>
          <w:p>
            <w:pPr>
              <w:jc w:val="center"/>
            </w:pPr>
            <w:r>
              <w:rPr>
                <w:color w:val="1E293B"/>
                <w:sz w:val="19"/>
              </w:rPr>
              <w:t>(18,750,000)</w:t>
            </w:r>
          </w:p>
        </w:tc>
        <w:tc>
          <w:tcPr>
            <w:tcW w:type="dxa" w:w="2351"/>
            <w:shd w:val="clear" w:color="auto" w:fill="e2e8f0"/>
          </w:tcPr>
          <w:p>
            <w:pPr>
              <w:jc w:val="center"/>
            </w:pPr>
            <w:r>
              <w:rPr>
                <w:color w:val="1E293B"/>
                <w:sz w:val="19"/>
              </w:rPr>
              <w:t>(65,625,000)</w:t>
            </w:r>
          </w:p>
        </w:tc>
        <w:tc>
          <w:tcPr>
            <w:tcW w:type="dxa" w:w="2351"/>
            <w:shd w:val="clear" w:color="auto" w:fill="e2e8f0"/>
          </w:tcPr>
          <w:p>
            <w:pPr>
              <w:jc w:val="center"/>
            </w:pPr>
            <w:r>
              <w:rPr>
                <w:color w:val="1E293B"/>
                <w:sz w:val="19"/>
              </w:rPr>
              <w:t>(168,750,000)</w:t>
            </w:r>
          </w:p>
        </w:tc>
      </w:tr>
      <w:tr>
        <w:tc>
          <w:tcPr>
            <w:tcW w:type="dxa" w:w="2351"/>
            <w:shd w:val="clear" w:color="auto" w:fill="f8fafc"/>
          </w:tcPr>
          <w:p>
            <w:pPr>
              <w:jc w:val="left"/>
            </w:pPr>
            <w:r>
              <w:rPr>
                <w:color w:val="1E293B"/>
                <w:sz w:val="19"/>
              </w:rPr>
              <w:t>Less: Credit losses (3% of loan book)</w:t>
            </w:r>
          </w:p>
        </w:tc>
        <w:tc>
          <w:tcPr>
            <w:tcW w:type="dxa" w:w="2351"/>
            <w:shd w:val="clear" w:color="auto" w:fill="f8fafc"/>
          </w:tcPr>
          <w:p>
            <w:pPr>
              <w:jc w:val="center"/>
            </w:pPr>
            <w:r>
              <w:rPr>
                <w:color w:val="1E293B"/>
                <w:sz w:val="19"/>
              </w:rPr>
              <w:t>(56,250,000)</w:t>
            </w:r>
          </w:p>
        </w:tc>
        <w:tc>
          <w:tcPr>
            <w:tcW w:type="dxa" w:w="2351"/>
            <w:shd w:val="clear" w:color="auto" w:fill="f8fafc"/>
          </w:tcPr>
          <w:p>
            <w:pPr>
              <w:jc w:val="center"/>
            </w:pPr>
            <w:r>
              <w:rPr>
                <w:color w:val="1E293B"/>
                <w:sz w:val="19"/>
              </w:rPr>
              <w:t>(282,240,000)</w:t>
            </w:r>
          </w:p>
        </w:tc>
        <w:tc>
          <w:tcPr>
            <w:tcW w:type="dxa" w:w="2351"/>
            <w:shd w:val="clear" w:color="auto" w:fill="f8fafc"/>
          </w:tcPr>
          <w:p>
            <w:pPr>
              <w:jc w:val="center"/>
            </w:pPr>
            <w:r>
              <w:rPr>
                <w:color w:val="1E293B"/>
                <w:sz w:val="19"/>
              </w:rPr>
              <w:t>(1,026,000,000)</w:t>
            </w:r>
          </w:p>
        </w:tc>
      </w:tr>
      <w:tr>
        <w:tc>
          <w:tcPr>
            <w:tcW w:type="dxa" w:w="2351"/>
            <w:shd w:val="clear" w:color="auto" w:fill="e2e8f0"/>
          </w:tcPr>
          <w:p>
            <w:pPr>
              <w:jc w:val="left"/>
            </w:pPr>
            <w:r>
              <w:rPr>
                <w:color w:val="1E293B"/>
                <w:sz w:val="19"/>
              </w:rPr>
              <w:t>Less: Additional credit staff cost (est.)</w:t>
            </w:r>
          </w:p>
        </w:tc>
        <w:tc>
          <w:tcPr>
            <w:tcW w:type="dxa" w:w="2351"/>
            <w:shd w:val="clear" w:color="auto" w:fill="e2e8f0"/>
          </w:tcPr>
          <w:p>
            <w:pPr>
              <w:jc w:val="center"/>
            </w:pPr>
            <w:r>
              <w:rPr>
                <w:color w:val="1E293B"/>
                <w:sz w:val="19"/>
              </w:rPr>
              <w:t>(15,000,000)</w:t>
            </w:r>
          </w:p>
        </w:tc>
        <w:tc>
          <w:tcPr>
            <w:tcW w:type="dxa" w:w="2351"/>
            <w:shd w:val="clear" w:color="auto" w:fill="e2e8f0"/>
          </w:tcPr>
          <w:p>
            <w:pPr>
              <w:jc w:val="center"/>
            </w:pPr>
            <w:r>
              <w:rPr>
                <w:color w:val="1E293B"/>
                <w:sz w:val="19"/>
              </w:rPr>
              <w:t>(25,000,000)</w:t>
            </w:r>
          </w:p>
        </w:tc>
        <w:tc>
          <w:tcPr>
            <w:tcW w:type="dxa" w:w="2351"/>
            <w:shd w:val="clear" w:color="auto" w:fill="e2e8f0"/>
          </w:tcPr>
          <w:p>
            <w:pPr>
              <w:jc w:val="center"/>
            </w:pPr>
            <w:r>
              <w:rPr>
                <w:color w:val="1E293B"/>
                <w:sz w:val="19"/>
              </w:rPr>
              <w:t>(35,000,000)</w:t>
            </w:r>
          </w:p>
        </w:tc>
      </w:tr>
      <w:tr>
        <w:tc>
          <w:tcPr>
            <w:tcW w:type="dxa" w:w="2351"/>
            <w:shd w:val="clear" w:color="auto" w:fill="f8fafc"/>
          </w:tcPr>
          <w:p>
            <w:pPr>
              <w:jc w:val="left"/>
            </w:pPr>
            <w:r>
              <w:rPr>
                <w:color w:val="1E293B"/>
                <w:sz w:val="19"/>
              </w:rPr>
              <w:t>NET PARTNERSHIP REVENUE</w:t>
            </w:r>
          </w:p>
        </w:tc>
        <w:tc>
          <w:tcPr>
            <w:tcW w:type="dxa" w:w="2351"/>
            <w:shd w:val="clear" w:color="auto" w:fill="f8fafc"/>
          </w:tcPr>
          <w:p>
            <w:pPr>
              <w:jc w:val="center"/>
            </w:pPr>
            <w:r>
              <w:rPr>
                <w:color w:val="1E293B"/>
                <w:sz w:val="19"/>
              </w:rPr>
              <w:t>472,625,000</w:t>
            </w:r>
          </w:p>
        </w:tc>
        <w:tc>
          <w:tcPr>
            <w:tcW w:type="dxa" w:w="2351"/>
            <w:shd w:val="clear" w:color="auto" w:fill="f8fafc"/>
          </w:tcPr>
          <w:p>
            <w:pPr>
              <w:jc w:val="center"/>
            </w:pPr>
            <w:r>
              <w:rPr>
                <w:color w:val="1E293B"/>
                <w:sz w:val="19"/>
              </w:rPr>
              <w:t>2,290,655,000</w:t>
            </w:r>
          </w:p>
        </w:tc>
        <w:tc>
          <w:tcPr>
            <w:tcW w:type="dxa" w:w="2351"/>
            <w:shd w:val="clear" w:color="auto" w:fill="f8fafc"/>
          </w:tcPr>
          <w:p>
            <w:pPr>
              <w:jc w:val="center"/>
            </w:pPr>
            <w:r>
              <w:rPr>
                <w:color w:val="1E293B"/>
                <w:sz w:val="19"/>
              </w:rPr>
              <w:t>7,762,750,000</w:t>
            </w:r>
          </w:p>
        </w:tc>
      </w:tr>
    </w:tbl>
    <w:p/>
    <w:p>
      <w:pPr>
        <w:spacing w:before="360" w:after="160"/>
      </w:pPr>
      <w:r>
        <w:rPr>
          <w:b/>
          <w:color w:val="0F172A"/>
          <w:sz w:val="32"/>
        </w:rPr>
        <w:t>7.2  Cost Savings from Partnership</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0f172a"/>
          </w:tcPr>
          <w:p>
            <w:pPr>
              <w:jc w:val="center"/>
            </w:pPr>
            <w:r>
              <w:rPr>
                <w:b/>
                <w:color w:val="FFFFFF"/>
                <w:sz w:val="19"/>
              </w:rPr>
              <w:t>Saving Category</w:t>
            </w:r>
          </w:p>
        </w:tc>
        <w:tc>
          <w:tcPr>
            <w:tcW w:type="dxa" w:w="2351"/>
            <w:shd w:val="clear" w:color="auto" w:fill="0f172a"/>
          </w:tcPr>
          <w:p>
            <w:pPr>
              <w:jc w:val="center"/>
            </w:pPr>
            <w:r>
              <w:rPr>
                <w:b/>
                <w:color w:val="FFFFFF"/>
                <w:sz w:val="19"/>
              </w:rPr>
              <w:t>Year 1 (₦)</w:t>
            </w:r>
          </w:p>
        </w:tc>
        <w:tc>
          <w:tcPr>
            <w:tcW w:type="dxa" w:w="2351"/>
            <w:shd w:val="clear" w:color="auto" w:fill="0f172a"/>
          </w:tcPr>
          <w:p>
            <w:pPr>
              <w:jc w:val="center"/>
            </w:pPr>
            <w:r>
              <w:rPr>
                <w:b/>
                <w:color w:val="FFFFFF"/>
                <w:sz w:val="19"/>
              </w:rPr>
              <w:t>Year 2 (₦)</w:t>
            </w:r>
          </w:p>
        </w:tc>
        <w:tc>
          <w:tcPr>
            <w:tcW w:type="dxa" w:w="2351"/>
            <w:shd w:val="clear" w:color="auto" w:fill="0f172a"/>
          </w:tcPr>
          <w:p>
            <w:pPr>
              <w:jc w:val="center"/>
            </w:pPr>
            <w:r>
              <w:rPr>
                <w:b/>
                <w:color w:val="FFFFFF"/>
                <w:sz w:val="19"/>
              </w:rPr>
              <w:t>Year 3 (₦)</w:t>
            </w:r>
          </w:p>
        </w:tc>
      </w:tr>
      <w:tr>
        <w:tc>
          <w:tcPr>
            <w:tcW w:type="dxa" w:w="2351"/>
            <w:shd w:val="clear" w:color="auto" w:fill="f8fafc"/>
          </w:tcPr>
          <w:p>
            <w:pPr>
              <w:jc w:val="left"/>
            </w:pPr>
            <w:r>
              <w:rPr>
                <w:color w:val="1E293B"/>
                <w:sz w:val="19"/>
              </w:rPr>
              <w:t>Reduced origination cost (80% reduction on Quad360 apps)</w:t>
            </w:r>
          </w:p>
        </w:tc>
        <w:tc>
          <w:tcPr>
            <w:tcW w:type="dxa" w:w="2351"/>
            <w:shd w:val="clear" w:color="auto" w:fill="f8fafc"/>
          </w:tcPr>
          <w:p>
            <w:pPr>
              <w:jc w:val="center"/>
            </w:pPr>
            <w:r>
              <w:rPr>
                <w:color w:val="1E293B"/>
                <w:sz w:val="19"/>
              </w:rPr>
              <w:t>37,500,000</w:t>
            </w:r>
          </w:p>
        </w:tc>
        <w:tc>
          <w:tcPr>
            <w:tcW w:type="dxa" w:w="2351"/>
            <w:shd w:val="clear" w:color="auto" w:fill="f8fafc"/>
          </w:tcPr>
          <w:p>
            <w:pPr>
              <w:jc w:val="center"/>
            </w:pPr>
            <w:r>
              <w:rPr>
                <w:color w:val="1E293B"/>
                <w:sz w:val="19"/>
              </w:rPr>
              <w:t>183,750,000</w:t>
            </w:r>
          </w:p>
        </w:tc>
        <w:tc>
          <w:tcPr>
            <w:tcW w:type="dxa" w:w="2351"/>
            <w:shd w:val="clear" w:color="auto" w:fill="f8fafc"/>
          </w:tcPr>
          <w:p>
            <w:pPr>
              <w:jc w:val="center"/>
            </w:pPr>
            <w:r>
              <w:rPr>
                <w:color w:val="1E293B"/>
                <w:sz w:val="19"/>
              </w:rPr>
              <w:t>534,375,000</w:t>
            </w:r>
          </w:p>
        </w:tc>
      </w:tr>
      <w:tr>
        <w:tc>
          <w:tcPr>
            <w:tcW w:type="dxa" w:w="2351"/>
            <w:shd w:val="clear" w:color="auto" w:fill="e2e8f0"/>
          </w:tcPr>
          <w:p>
            <w:pPr>
              <w:jc w:val="left"/>
            </w:pPr>
            <w:r>
              <w:rPr>
                <w:color w:val="1E293B"/>
                <w:sz w:val="19"/>
              </w:rPr>
              <w:t>NPL reduction (20% fewer NPLs × ₦2M avg NPL cost)</w:t>
            </w:r>
          </w:p>
        </w:tc>
        <w:tc>
          <w:tcPr>
            <w:tcW w:type="dxa" w:w="2351"/>
            <w:shd w:val="clear" w:color="auto" w:fill="e2e8f0"/>
          </w:tcPr>
          <w:p>
            <w:pPr>
              <w:jc w:val="center"/>
            </w:pPr>
            <w:r>
              <w:rPr>
                <w:color w:val="1E293B"/>
                <w:sz w:val="19"/>
              </w:rPr>
              <w:t>120,000,000</w:t>
            </w:r>
          </w:p>
        </w:tc>
        <w:tc>
          <w:tcPr>
            <w:tcW w:type="dxa" w:w="2351"/>
            <w:shd w:val="clear" w:color="auto" w:fill="e2e8f0"/>
          </w:tcPr>
          <w:p>
            <w:pPr>
              <w:jc w:val="center"/>
            </w:pPr>
            <w:r>
              <w:rPr>
                <w:color w:val="1E293B"/>
                <w:sz w:val="19"/>
              </w:rPr>
              <w:t>480,000,000</w:t>
            </w:r>
          </w:p>
        </w:tc>
        <w:tc>
          <w:tcPr>
            <w:tcW w:type="dxa" w:w="2351"/>
            <w:shd w:val="clear" w:color="auto" w:fill="e2e8f0"/>
          </w:tcPr>
          <w:p>
            <w:pPr>
              <w:jc w:val="center"/>
            </w:pPr>
            <w:r>
              <w:rPr>
                <w:color w:val="1E293B"/>
                <w:sz w:val="19"/>
              </w:rPr>
              <w:t>1,200,000,000</w:t>
            </w:r>
          </w:p>
        </w:tc>
      </w:tr>
      <w:tr>
        <w:tc>
          <w:tcPr>
            <w:tcW w:type="dxa" w:w="2351"/>
            <w:shd w:val="clear" w:color="auto" w:fill="f8fafc"/>
          </w:tcPr>
          <w:p>
            <w:pPr>
              <w:jc w:val="left"/>
            </w:pPr>
            <w:r>
              <w:rPr>
                <w:color w:val="1E293B"/>
                <w:sz w:val="19"/>
              </w:rPr>
              <w:t>Reduced manual monitoring cost</w:t>
            </w:r>
          </w:p>
        </w:tc>
        <w:tc>
          <w:tcPr>
            <w:tcW w:type="dxa" w:w="2351"/>
            <w:shd w:val="clear" w:color="auto" w:fill="f8fafc"/>
          </w:tcPr>
          <w:p>
            <w:pPr>
              <w:jc w:val="center"/>
            </w:pPr>
            <w:r>
              <w:rPr>
                <w:color w:val="1E293B"/>
                <w:sz w:val="19"/>
              </w:rPr>
              <w:t>18,000,000</w:t>
            </w:r>
          </w:p>
        </w:tc>
        <w:tc>
          <w:tcPr>
            <w:tcW w:type="dxa" w:w="2351"/>
            <w:shd w:val="clear" w:color="auto" w:fill="f8fafc"/>
          </w:tcPr>
          <w:p>
            <w:pPr>
              <w:jc w:val="center"/>
            </w:pPr>
            <w:r>
              <w:rPr>
                <w:color w:val="1E293B"/>
                <w:sz w:val="19"/>
              </w:rPr>
              <w:t>54,000,000</w:t>
            </w:r>
          </w:p>
        </w:tc>
        <w:tc>
          <w:tcPr>
            <w:tcW w:type="dxa" w:w="2351"/>
            <w:shd w:val="clear" w:color="auto" w:fill="f8fafc"/>
          </w:tcPr>
          <w:p>
            <w:pPr>
              <w:jc w:val="center"/>
            </w:pPr>
            <w:r>
              <w:rPr>
                <w:color w:val="1E293B"/>
                <w:sz w:val="19"/>
              </w:rPr>
              <w:t>135,000,000</w:t>
            </w:r>
          </w:p>
        </w:tc>
      </w:tr>
      <w:tr>
        <w:tc>
          <w:tcPr>
            <w:tcW w:type="dxa" w:w="2351"/>
            <w:shd w:val="clear" w:color="auto" w:fill="e2e8f0"/>
          </w:tcPr>
          <w:p>
            <w:pPr>
              <w:jc w:val="left"/>
            </w:pPr>
            <w:r>
              <w:rPr>
                <w:color w:val="1E293B"/>
                <w:sz w:val="19"/>
              </w:rPr>
              <w:t>TOTAL COST SAVINGS</w:t>
            </w:r>
          </w:p>
        </w:tc>
        <w:tc>
          <w:tcPr>
            <w:tcW w:type="dxa" w:w="2351"/>
            <w:shd w:val="clear" w:color="auto" w:fill="e2e8f0"/>
          </w:tcPr>
          <w:p>
            <w:pPr>
              <w:jc w:val="center"/>
            </w:pPr>
            <w:r>
              <w:rPr>
                <w:color w:val="1E293B"/>
                <w:sz w:val="19"/>
              </w:rPr>
              <w:t>175,500,000</w:t>
            </w:r>
          </w:p>
        </w:tc>
        <w:tc>
          <w:tcPr>
            <w:tcW w:type="dxa" w:w="2351"/>
            <w:shd w:val="clear" w:color="auto" w:fill="e2e8f0"/>
          </w:tcPr>
          <w:p>
            <w:pPr>
              <w:jc w:val="center"/>
            </w:pPr>
            <w:r>
              <w:rPr>
                <w:color w:val="1E293B"/>
                <w:sz w:val="19"/>
              </w:rPr>
              <w:t>717,750,000</w:t>
            </w:r>
          </w:p>
        </w:tc>
        <w:tc>
          <w:tcPr>
            <w:tcW w:type="dxa" w:w="2351"/>
            <w:shd w:val="clear" w:color="auto" w:fill="e2e8f0"/>
          </w:tcPr>
          <w:p>
            <w:pPr>
              <w:jc w:val="center"/>
            </w:pPr>
            <w:r>
              <w:rPr>
                <w:color w:val="1E293B"/>
                <w:sz w:val="19"/>
              </w:rPr>
              <w:t>1,869,375,000</w:t>
            </w:r>
          </w:p>
        </w:tc>
      </w:tr>
    </w:tbl>
    <w:p/>
    <w:p>
      <w:pPr>
        <w:spacing w:before="360" w:after="160"/>
      </w:pPr>
      <w:r>
        <w:rPr>
          <w:b/>
          <w:color w:val="0F172A"/>
          <w:sz w:val="32"/>
        </w:rPr>
        <w:t>7.3  Total Value Creation for Zenith Bank</w:t>
      </w:r>
    </w:p>
    <w:tbl>
      <w:tblPr>
        <w:tblW w:type="auto" w:w="0"/>
        <w:jc w:val="center"/>
        <w:tblLook w:firstColumn="1" w:firstRow="1" w:lastColumn="0" w:lastRow="0" w:noHBand="0" w:noVBand="1" w:val="04A0"/>
      </w:tblPr>
      <w:tblGrid>
        <w:gridCol w:w="2351"/>
        <w:gridCol w:w="2351"/>
        <w:gridCol w:w="2351"/>
        <w:gridCol w:w="2351"/>
      </w:tblGrid>
      <w:tr>
        <w:tc>
          <w:tcPr>
            <w:tcW w:type="dxa" w:w="2351"/>
            <w:shd w:val="clear" w:color="auto" w:fill="0f172a"/>
            <w:vAlign w:val="center"/>
          </w:tcPr>
          <w:p>
            <w:pPr>
              <w:jc w:val="center"/>
            </w:pPr>
            <w:r>
              <w:rPr>
                <w:b/>
                <w:color w:val="D4AF37"/>
                <w:sz w:val="40"/>
              </w:rPr>
              <w:t>₦648M</w:t>
            </w:r>
          </w:p>
        </w:tc>
        <w:tc>
          <w:tcPr>
            <w:tcW w:type="dxa" w:w="2351"/>
            <w:shd w:val="clear" w:color="auto" w:fill="0f172a"/>
            <w:vAlign w:val="center"/>
          </w:tcPr>
          <w:p>
            <w:pPr>
              <w:jc w:val="center"/>
            </w:pPr>
            <w:r>
              <w:rPr>
                <w:b/>
                <w:color w:val="D4AF37"/>
                <w:sz w:val="40"/>
              </w:rPr>
              <w:t>₦3.0B</w:t>
            </w:r>
          </w:p>
        </w:tc>
        <w:tc>
          <w:tcPr>
            <w:tcW w:type="dxa" w:w="2351"/>
            <w:shd w:val="clear" w:color="auto" w:fill="0f172a"/>
            <w:vAlign w:val="center"/>
          </w:tcPr>
          <w:p>
            <w:pPr>
              <w:jc w:val="center"/>
            </w:pPr>
            <w:r>
              <w:rPr>
                <w:b/>
                <w:color w:val="D4AF37"/>
                <w:sz w:val="40"/>
              </w:rPr>
              <w:t>₦9.6B</w:t>
            </w:r>
          </w:p>
        </w:tc>
        <w:tc>
          <w:tcPr>
            <w:tcW w:type="dxa" w:w="2351"/>
            <w:shd w:val="clear" w:color="auto" w:fill="0f172a"/>
            <w:vAlign w:val="center"/>
          </w:tcPr>
          <w:p>
            <w:pPr>
              <w:jc w:val="center"/>
            </w:pPr>
            <w:r>
              <w:rPr>
                <w:b/>
                <w:color w:val="D4AF37"/>
                <w:sz w:val="40"/>
              </w:rPr>
              <w:t>₦13.3B</w:t>
            </w:r>
          </w:p>
        </w:tc>
      </w:tr>
      <w:tr>
        <w:tc>
          <w:tcPr>
            <w:tcW w:type="dxa" w:w="2351"/>
            <w:shd w:val="clear" w:color="auto" w:fill="1e293b"/>
          </w:tcPr>
          <w:p>
            <w:pPr>
              <w:jc w:val="center"/>
            </w:pPr>
            <w:r>
              <w:rPr>
                <w:b/>
                <w:color w:val="3B82F6"/>
                <w:sz w:val="18"/>
              </w:rPr>
              <w:t>Year 1</w:t>
              <w:br/>
              <w:t>Total Value</w:t>
            </w:r>
          </w:p>
        </w:tc>
        <w:tc>
          <w:tcPr>
            <w:tcW w:type="dxa" w:w="2351"/>
            <w:shd w:val="clear" w:color="auto" w:fill="1e293b"/>
          </w:tcPr>
          <w:p>
            <w:pPr>
              <w:jc w:val="center"/>
            </w:pPr>
            <w:r>
              <w:rPr>
                <w:b/>
                <w:color w:val="3B82F6"/>
                <w:sz w:val="18"/>
              </w:rPr>
              <w:t>Year 2</w:t>
              <w:br/>
              <w:t>Total Value</w:t>
            </w:r>
          </w:p>
        </w:tc>
        <w:tc>
          <w:tcPr>
            <w:tcW w:type="dxa" w:w="2351"/>
            <w:shd w:val="clear" w:color="auto" w:fill="1e293b"/>
          </w:tcPr>
          <w:p>
            <w:pPr>
              <w:jc w:val="center"/>
            </w:pPr>
            <w:r>
              <w:rPr>
                <w:b/>
                <w:color w:val="3B82F6"/>
                <w:sz w:val="18"/>
              </w:rPr>
              <w:t>Year 3</w:t>
              <w:br/>
              <w:t>Total Value</w:t>
            </w:r>
          </w:p>
        </w:tc>
        <w:tc>
          <w:tcPr>
            <w:tcW w:type="dxa" w:w="2351"/>
            <w:shd w:val="clear" w:color="auto" w:fill="1e293b"/>
          </w:tcPr>
          <w:p>
            <w:pPr>
              <w:jc w:val="center"/>
            </w:pPr>
            <w:r>
              <w:rPr>
                <w:b/>
                <w:color w:val="3B82F6"/>
                <w:sz w:val="18"/>
              </w:rPr>
              <w:t>3-Year</w:t>
              <w:br/>
              <w:t>Cumulative</w:t>
            </w:r>
          </w:p>
        </w:tc>
      </w:tr>
      <w:tr>
        <w:tc>
          <w:tcPr>
            <w:tcW w:type="dxa" w:w="2351"/>
            <w:shd w:val="clear" w:color="auto" w:fill="334155"/>
          </w:tcPr>
          <w:p>
            <w:pPr>
              <w:jc w:val="center"/>
            </w:pPr>
            <w:r>
              <w:rPr>
                <w:color w:val="FFFFFF"/>
                <w:sz w:val="16"/>
              </w:rPr>
              <w:t>Revenue + savings</w:t>
            </w:r>
          </w:p>
        </w:tc>
        <w:tc>
          <w:tcPr>
            <w:tcW w:type="dxa" w:w="2351"/>
            <w:shd w:val="clear" w:color="auto" w:fill="334155"/>
          </w:tcPr>
          <w:p>
            <w:pPr>
              <w:jc w:val="center"/>
            </w:pPr>
            <w:r>
              <w:rPr>
                <w:color w:val="FFFFFF"/>
                <w:sz w:val="16"/>
              </w:rPr>
              <w:t>Revenue + savings</w:t>
            </w:r>
          </w:p>
        </w:tc>
        <w:tc>
          <w:tcPr>
            <w:tcW w:type="dxa" w:w="2351"/>
            <w:shd w:val="clear" w:color="auto" w:fill="334155"/>
          </w:tcPr>
          <w:p>
            <w:pPr>
              <w:jc w:val="center"/>
            </w:pPr>
            <w:r>
              <w:rPr>
                <w:color w:val="FFFFFF"/>
                <w:sz w:val="16"/>
              </w:rPr>
              <w:t>Revenue + savings</w:t>
            </w:r>
          </w:p>
        </w:tc>
        <w:tc>
          <w:tcPr>
            <w:tcW w:type="dxa" w:w="2351"/>
            <w:shd w:val="clear" w:color="auto" w:fill="334155"/>
          </w:tcPr>
          <w:p>
            <w:pPr>
              <w:jc w:val="center"/>
            </w:pPr>
            <w:r>
              <w:rPr>
                <w:color w:val="FFFFFF"/>
                <w:sz w:val="16"/>
              </w:rPr>
              <w:t>Net of all costs</w:t>
            </w:r>
          </w:p>
        </w:tc>
      </w:tr>
    </w:tbl>
    <w:p/>
    <w:p>
      <w:pPr>
        <w:spacing w:before="360" w:after="160"/>
      </w:pPr>
      <w:r>
        <w:rPr>
          <w:b/>
          <w:color w:val="0F172A"/>
          <w:sz w:val="32"/>
        </w:rPr>
        <w:t>7.4  Return on Investment</w:t>
      </w:r>
    </w:p>
    <w:p>
      <w:pPr>
        <w:spacing w:after="120" w:before="40"/>
      </w:pPr>
      <w:r>
        <w:rPr>
          <w:i w:val="0"/>
          <w:color w:val="1E293B"/>
          <w:sz w:val="21"/>
        </w:rPr>
        <w:t>Zenith Bank's investment in this partnership is limited to internal management time for pilot coordination (estimated 0.5 FTE for 90 days) and marketing communication to existing SME customers (estimated ₦12M). Against a Year 1 total value creation of ₦648 million, this represents an ROI of approximately 5,300% in Year 1 alone — before the compounding effects of portfolio growth in Years 2 and 3.</w:t>
      </w:r>
    </w:p>
    <w:p>
      <w:r>
        <w:br w:type="page"/>
      </w:r>
    </w:p>
    <w:p>
      <w:pPr>
        <w:keepNext/>
        <w:spacing w:before="360" w:after="160"/>
      </w:pPr>
      <w:r>
        <w:rPr>
          <w:b/>
          <w:color w:val="0F172A"/>
          <w:sz w:val="44"/>
        </w:rPr>
        <w:t>SECTION 8: 90-DAY PILOT IMPLEMENTATION PLAN</w:t>
      </w:r>
    </w:p>
    <w:p>
      <w:pPr>
        <w:pBdr>
          <w:bottom w:val="single" w:sz="6" w:space="4" w:color="3b82f6"/>
        </w:pBdr>
        <w:spacing w:after="200" w:before="80"/>
      </w:pP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0f172a"/>
          </w:tcPr>
          <w:p>
            <w:pPr>
              <w:jc w:val="center"/>
            </w:pPr>
            <w:r>
              <w:rPr>
                <w:b/>
                <w:color w:val="FFFFFF"/>
                <w:sz w:val="19"/>
              </w:rPr>
              <w:t>Phase</w:t>
            </w:r>
          </w:p>
        </w:tc>
        <w:tc>
          <w:tcPr>
            <w:tcW w:type="dxa" w:w="1881"/>
            <w:shd w:val="clear" w:color="auto" w:fill="0f172a"/>
          </w:tcPr>
          <w:p>
            <w:pPr>
              <w:jc w:val="center"/>
            </w:pPr>
            <w:r>
              <w:rPr>
                <w:b/>
                <w:color w:val="FFFFFF"/>
                <w:sz w:val="19"/>
              </w:rPr>
              <w:t>Timeline</w:t>
            </w:r>
          </w:p>
        </w:tc>
        <w:tc>
          <w:tcPr>
            <w:tcW w:type="dxa" w:w="1881"/>
            <w:shd w:val="clear" w:color="auto" w:fill="0f172a"/>
          </w:tcPr>
          <w:p>
            <w:pPr>
              <w:jc w:val="center"/>
            </w:pPr>
            <w:r>
              <w:rPr>
                <w:b/>
                <w:color w:val="FFFFFF"/>
                <w:sz w:val="19"/>
              </w:rPr>
              <w:t>Activities</w:t>
            </w:r>
          </w:p>
        </w:tc>
        <w:tc>
          <w:tcPr>
            <w:tcW w:type="dxa" w:w="1881"/>
            <w:shd w:val="clear" w:color="auto" w:fill="0f172a"/>
          </w:tcPr>
          <w:p>
            <w:pPr>
              <w:jc w:val="center"/>
            </w:pPr>
            <w:r>
              <w:rPr>
                <w:b/>
                <w:color w:val="FFFFFF"/>
                <w:sz w:val="19"/>
              </w:rPr>
              <w:t>Owner</w:t>
            </w:r>
          </w:p>
        </w:tc>
        <w:tc>
          <w:tcPr>
            <w:tcW w:type="dxa" w:w="1881"/>
            <w:shd w:val="clear" w:color="auto" w:fill="0f172a"/>
          </w:tcPr>
          <w:p>
            <w:pPr>
              <w:jc w:val="center"/>
            </w:pPr>
            <w:r>
              <w:rPr>
                <w:b/>
                <w:color w:val="FFFFFF"/>
                <w:sz w:val="19"/>
              </w:rPr>
              <w:t>Success Metric</w:t>
            </w:r>
          </w:p>
        </w:tc>
      </w:tr>
      <w:tr>
        <w:tc>
          <w:tcPr>
            <w:tcW w:type="dxa" w:w="1881"/>
            <w:shd w:val="clear" w:color="auto" w:fill="f8fafc"/>
          </w:tcPr>
          <w:p>
            <w:pPr>
              <w:jc w:val="left"/>
            </w:pPr>
            <w:r>
              <w:rPr>
                <w:color w:val="1E293B"/>
                <w:sz w:val="19"/>
              </w:rPr>
              <w:t>Discovery</w:t>
            </w:r>
          </w:p>
        </w:tc>
        <w:tc>
          <w:tcPr>
            <w:tcW w:type="dxa" w:w="1881"/>
            <w:shd w:val="clear" w:color="auto" w:fill="f8fafc"/>
          </w:tcPr>
          <w:p>
            <w:pPr>
              <w:jc w:val="center"/>
            </w:pPr>
            <w:r>
              <w:rPr>
                <w:color w:val="1E293B"/>
                <w:sz w:val="19"/>
              </w:rPr>
              <w:t>Week 1–2</w:t>
            </w:r>
          </w:p>
        </w:tc>
        <w:tc>
          <w:tcPr>
            <w:tcW w:type="dxa" w:w="1881"/>
            <w:shd w:val="clear" w:color="auto" w:fill="f8fafc"/>
          </w:tcPr>
          <w:p>
            <w:pPr>
              <w:jc w:val="center"/>
            </w:pPr>
            <w:r>
              <w:rPr>
                <w:color w:val="1E293B"/>
                <w:sz w:val="19"/>
              </w:rPr>
              <w:t>Technical review of Quad360. Define credit criteria for pre-qualification. Agree pilot cohort (500 Zenith SME customers). Sign pilot agreement.</w:t>
            </w:r>
          </w:p>
        </w:tc>
        <w:tc>
          <w:tcPr>
            <w:tcW w:type="dxa" w:w="1881"/>
            <w:shd w:val="clear" w:color="auto" w:fill="f8fafc"/>
          </w:tcPr>
          <w:p>
            <w:pPr>
              <w:jc w:val="center"/>
            </w:pPr>
            <w:r>
              <w:rPr>
                <w:color w:val="1E293B"/>
                <w:sz w:val="19"/>
              </w:rPr>
              <w:t>Joint</w:t>
            </w:r>
          </w:p>
        </w:tc>
        <w:tc>
          <w:tcPr>
            <w:tcW w:type="dxa" w:w="1881"/>
            <w:shd w:val="clear" w:color="auto" w:fill="f8fafc"/>
          </w:tcPr>
          <w:p>
            <w:pPr>
              <w:jc w:val="center"/>
            </w:pPr>
            <w:r>
              <w:rPr>
                <w:color w:val="1E293B"/>
                <w:sz w:val="19"/>
              </w:rPr>
              <w:t>Signed pilot agreement</w:t>
            </w:r>
          </w:p>
        </w:tc>
      </w:tr>
      <w:tr>
        <w:tc>
          <w:tcPr>
            <w:tcW w:type="dxa" w:w="1881"/>
            <w:shd w:val="clear" w:color="auto" w:fill="e2e8f0"/>
          </w:tcPr>
          <w:p>
            <w:pPr>
              <w:jc w:val="left"/>
            </w:pPr>
            <w:r>
              <w:rPr>
                <w:color w:val="1E293B"/>
                <w:sz w:val="19"/>
              </w:rPr>
              <w:t>Integration</w:t>
            </w:r>
          </w:p>
        </w:tc>
        <w:tc>
          <w:tcPr>
            <w:tcW w:type="dxa" w:w="1881"/>
            <w:shd w:val="clear" w:color="auto" w:fill="e2e8f0"/>
          </w:tcPr>
          <w:p>
            <w:pPr>
              <w:jc w:val="center"/>
            </w:pPr>
            <w:r>
              <w:rPr>
                <w:color w:val="1E293B"/>
                <w:sz w:val="19"/>
              </w:rPr>
              <w:t>Week 3–4</w:t>
            </w:r>
          </w:p>
        </w:tc>
        <w:tc>
          <w:tcPr>
            <w:tcW w:type="dxa" w:w="1881"/>
            <w:shd w:val="clear" w:color="auto" w:fill="e2e8f0"/>
          </w:tcPr>
          <w:p>
            <w:pPr>
              <w:jc w:val="center"/>
            </w:pPr>
            <w:r>
              <w:rPr>
                <w:color w:val="1E293B"/>
                <w:sz w:val="19"/>
              </w:rPr>
              <w:t>Co-branding of Quad360 for Zenith. ZenithDirect referral link setup. Credit team briefing and training. Customer communication templates approved.</w:t>
            </w:r>
          </w:p>
        </w:tc>
        <w:tc>
          <w:tcPr>
            <w:tcW w:type="dxa" w:w="1881"/>
            <w:shd w:val="clear" w:color="auto" w:fill="e2e8f0"/>
          </w:tcPr>
          <w:p>
            <w:pPr>
              <w:jc w:val="center"/>
            </w:pPr>
            <w:r>
              <w:rPr>
                <w:color w:val="1E293B"/>
                <w:sz w:val="19"/>
              </w:rPr>
              <w:t>Quad360 lead</w:t>
            </w:r>
          </w:p>
        </w:tc>
        <w:tc>
          <w:tcPr>
            <w:tcW w:type="dxa" w:w="1881"/>
            <w:shd w:val="clear" w:color="auto" w:fill="e2e8f0"/>
          </w:tcPr>
          <w:p>
            <w:pPr>
              <w:jc w:val="center"/>
            </w:pPr>
            <w:r>
              <w:rPr>
                <w:color w:val="1E293B"/>
                <w:sz w:val="19"/>
              </w:rPr>
              <w:t>Integration live and tested</w:t>
            </w:r>
          </w:p>
        </w:tc>
      </w:tr>
      <w:tr>
        <w:tc>
          <w:tcPr>
            <w:tcW w:type="dxa" w:w="1881"/>
            <w:shd w:val="clear" w:color="auto" w:fill="f8fafc"/>
          </w:tcPr>
          <w:p>
            <w:pPr>
              <w:jc w:val="left"/>
            </w:pPr>
            <w:r>
              <w:rPr>
                <w:color w:val="1E293B"/>
                <w:sz w:val="19"/>
              </w:rPr>
              <w:t>Soft Launch</w:t>
            </w:r>
          </w:p>
        </w:tc>
        <w:tc>
          <w:tcPr>
            <w:tcW w:type="dxa" w:w="1881"/>
            <w:shd w:val="clear" w:color="auto" w:fill="f8fafc"/>
          </w:tcPr>
          <w:p>
            <w:pPr>
              <w:jc w:val="center"/>
            </w:pPr>
            <w:r>
              <w:rPr>
                <w:color w:val="1E293B"/>
                <w:sz w:val="19"/>
              </w:rPr>
              <w:t>Week 5–6</w:t>
            </w:r>
          </w:p>
        </w:tc>
        <w:tc>
          <w:tcPr>
            <w:tcW w:type="dxa" w:w="1881"/>
            <w:shd w:val="clear" w:color="auto" w:fill="f8fafc"/>
          </w:tcPr>
          <w:p>
            <w:pPr>
              <w:jc w:val="center"/>
            </w:pPr>
            <w:r>
              <w:rPr>
                <w:color w:val="1E293B"/>
                <w:sz w:val="19"/>
              </w:rPr>
              <w:t>Invite 500 Zenith SME customers to join Quad360 via ZenithDirect. Dedicated onboarding support. Daily tracking of sign-up rate.</w:t>
            </w:r>
          </w:p>
        </w:tc>
        <w:tc>
          <w:tcPr>
            <w:tcW w:type="dxa" w:w="1881"/>
            <w:shd w:val="clear" w:color="auto" w:fill="f8fafc"/>
          </w:tcPr>
          <w:p>
            <w:pPr>
              <w:jc w:val="center"/>
            </w:pPr>
            <w:r>
              <w:rPr>
                <w:color w:val="1E293B"/>
                <w:sz w:val="19"/>
              </w:rPr>
              <w:t>Joint</w:t>
            </w:r>
          </w:p>
        </w:tc>
        <w:tc>
          <w:tcPr>
            <w:tcW w:type="dxa" w:w="1881"/>
            <w:shd w:val="clear" w:color="auto" w:fill="f8fafc"/>
          </w:tcPr>
          <w:p>
            <w:pPr>
              <w:jc w:val="center"/>
            </w:pPr>
            <w:r>
              <w:rPr>
                <w:color w:val="1E293B"/>
                <w:sz w:val="19"/>
              </w:rPr>
              <w:t>200+ sign-ups in 2 weeks</w:t>
            </w:r>
          </w:p>
        </w:tc>
      </w:tr>
      <w:tr>
        <w:tc>
          <w:tcPr>
            <w:tcW w:type="dxa" w:w="1881"/>
            <w:shd w:val="clear" w:color="auto" w:fill="e2e8f0"/>
          </w:tcPr>
          <w:p>
            <w:pPr>
              <w:jc w:val="left"/>
            </w:pPr>
            <w:r>
              <w:rPr>
                <w:color w:val="1E293B"/>
                <w:sz w:val="19"/>
              </w:rPr>
              <w:t>Activation</w:t>
            </w:r>
          </w:p>
        </w:tc>
        <w:tc>
          <w:tcPr>
            <w:tcW w:type="dxa" w:w="1881"/>
            <w:shd w:val="clear" w:color="auto" w:fill="e2e8f0"/>
          </w:tcPr>
          <w:p>
            <w:pPr>
              <w:jc w:val="center"/>
            </w:pPr>
            <w:r>
              <w:rPr>
                <w:color w:val="1E293B"/>
                <w:sz w:val="19"/>
              </w:rPr>
              <w:t>Week 7–8</w:t>
            </w:r>
          </w:p>
        </w:tc>
        <w:tc>
          <w:tcPr>
            <w:tcW w:type="dxa" w:w="1881"/>
            <w:shd w:val="clear" w:color="auto" w:fill="e2e8f0"/>
          </w:tcPr>
          <w:p>
            <w:pPr>
              <w:jc w:val="center"/>
            </w:pPr>
            <w:r>
              <w:rPr>
                <w:color w:val="1E293B"/>
                <w:sz w:val="19"/>
              </w:rPr>
              <w:t>Monitor activation rate (first transaction within 48h). Personal outreach to inactive users. First pre-qualified loan leads identified and routed to Zenith credit.</w:t>
            </w:r>
          </w:p>
        </w:tc>
        <w:tc>
          <w:tcPr>
            <w:tcW w:type="dxa" w:w="1881"/>
            <w:shd w:val="clear" w:color="auto" w:fill="e2e8f0"/>
          </w:tcPr>
          <w:p>
            <w:pPr>
              <w:jc w:val="center"/>
            </w:pPr>
            <w:r>
              <w:rPr>
                <w:color w:val="1E293B"/>
                <w:sz w:val="19"/>
              </w:rPr>
              <w:t>Quad360 lead</w:t>
            </w:r>
          </w:p>
        </w:tc>
        <w:tc>
          <w:tcPr>
            <w:tcW w:type="dxa" w:w="1881"/>
            <w:shd w:val="clear" w:color="auto" w:fill="e2e8f0"/>
          </w:tcPr>
          <w:p>
            <w:pPr>
              <w:jc w:val="center"/>
            </w:pPr>
            <w:r>
              <w:rPr>
                <w:color w:val="1E293B"/>
                <w:sz w:val="19"/>
              </w:rPr>
              <w:t>40%+ activation rate</w:t>
            </w:r>
          </w:p>
        </w:tc>
      </w:tr>
      <w:tr>
        <w:tc>
          <w:tcPr>
            <w:tcW w:type="dxa" w:w="1881"/>
            <w:shd w:val="clear" w:color="auto" w:fill="f8fafc"/>
          </w:tcPr>
          <w:p>
            <w:pPr>
              <w:jc w:val="left"/>
            </w:pPr>
            <w:r>
              <w:rPr>
                <w:color w:val="1E293B"/>
                <w:sz w:val="19"/>
              </w:rPr>
              <w:t>Credit Pilot</w:t>
            </w:r>
          </w:p>
        </w:tc>
        <w:tc>
          <w:tcPr>
            <w:tcW w:type="dxa" w:w="1881"/>
            <w:shd w:val="clear" w:color="auto" w:fill="f8fafc"/>
          </w:tcPr>
          <w:p>
            <w:pPr>
              <w:jc w:val="center"/>
            </w:pPr>
            <w:r>
              <w:rPr>
                <w:color w:val="1E293B"/>
                <w:sz w:val="19"/>
              </w:rPr>
              <w:t>Week 9–10</w:t>
            </w:r>
          </w:p>
        </w:tc>
        <w:tc>
          <w:tcPr>
            <w:tcW w:type="dxa" w:w="1881"/>
            <w:shd w:val="clear" w:color="auto" w:fill="f8fafc"/>
          </w:tcPr>
          <w:p>
            <w:pPr>
              <w:jc w:val="center"/>
            </w:pPr>
            <w:r>
              <w:rPr>
                <w:color w:val="1E293B"/>
                <w:sz w:val="19"/>
              </w:rPr>
              <w:t>First batch of 25 pre-qualified applications processed by Zenith. Turnaround time measured. Applicant financial profiles reviewed by credit team.</w:t>
            </w:r>
          </w:p>
        </w:tc>
        <w:tc>
          <w:tcPr>
            <w:tcW w:type="dxa" w:w="1881"/>
            <w:shd w:val="clear" w:color="auto" w:fill="f8fafc"/>
          </w:tcPr>
          <w:p>
            <w:pPr>
              <w:jc w:val="center"/>
            </w:pPr>
            <w:r>
              <w:rPr>
                <w:color w:val="1E293B"/>
                <w:sz w:val="19"/>
              </w:rPr>
              <w:t>Zenith lead</w:t>
            </w:r>
          </w:p>
        </w:tc>
        <w:tc>
          <w:tcPr>
            <w:tcW w:type="dxa" w:w="1881"/>
            <w:shd w:val="clear" w:color="auto" w:fill="f8fafc"/>
          </w:tcPr>
          <w:p>
            <w:pPr>
              <w:jc w:val="center"/>
            </w:pPr>
            <w:r>
              <w:rPr>
                <w:color w:val="1E293B"/>
                <w:sz w:val="19"/>
              </w:rPr>
              <w:t>First 10 loans approved</w:t>
            </w:r>
          </w:p>
        </w:tc>
      </w:tr>
      <w:tr>
        <w:tc>
          <w:tcPr>
            <w:tcW w:type="dxa" w:w="1881"/>
            <w:shd w:val="clear" w:color="auto" w:fill="e2e8f0"/>
          </w:tcPr>
          <w:p>
            <w:pPr>
              <w:jc w:val="left"/>
            </w:pPr>
            <w:r>
              <w:rPr>
                <w:color w:val="1E293B"/>
                <w:sz w:val="19"/>
              </w:rPr>
              <w:t>Review</w:t>
            </w:r>
          </w:p>
        </w:tc>
        <w:tc>
          <w:tcPr>
            <w:tcW w:type="dxa" w:w="1881"/>
            <w:shd w:val="clear" w:color="auto" w:fill="e2e8f0"/>
          </w:tcPr>
          <w:p>
            <w:pPr>
              <w:jc w:val="center"/>
            </w:pPr>
            <w:r>
              <w:rPr>
                <w:color w:val="1E293B"/>
                <w:sz w:val="19"/>
              </w:rPr>
              <w:t>Week 11–12</w:t>
            </w:r>
          </w:p>
        </w:tc>
        <w:tc>
          <w:tcPr>
            <w:tcW w:type="dxa" w:w="1881"/>
            <w:shd w:val="clear" w:color="auto" w:fill="e2e8f0"/>
          </w:tcPr>
          <w:p>
            <w:pPr>
              <w:jc w:val="center"/>
            </w:pPr>
            <w:r>
              <w:rPr>
                <w:color w:val="1E293B"/>
                <w:sz w:val="19"/>
              </w:rPr>
              <w:t>Full pilot review. Metrics vs. targets. User feedback analysis. Go/No-Go decision on full deployment. Commercial agreement for scale.</w:t>
            </w:r>
          </w:p>
        </w:tc>
        <w:tc>
          <w:tcPr>
            <w:tcW w:type="dxa" w:w="1881"/>
            <w:shd w:val="clear" w:color="auto" w:fill="e2e8f0"/>
          </w:tcPr>
          <w:p>
            <w:pPr>
              <w:jc w:val="center"/>
            </w:pPr>
            <w:r>
              <w:rPr>
                <w:color w:val="1E293B"/>
                <w:sz w:val="19"/>
              </w:rPr>
              <w:t>Joint</w:t>
            </w:r>
          </w:p>
        </w:tc>
        <w:tc>
          <w:tcPr>
            <w:tcW w:type="dxa" w:w="1881"/>
            <w:shd w:val="clear" w:color="auto" w:fill="e2e8f0"/>
          </w:tcPr>
          <w:p>
            <w:pPr>
              <w:jc w:val="center"/>
            </w:pPr>
            <w:r>
              <w:rPr>
                <w:color w:val="1E293B"/>
                <w:sz w:val="19"/>
              </w:rPr>
              <w:t>Pilot success criteria met</w:t>
            </w:r>
          </w:p>
        </w:tc>
      </w:tr>
    </w:tbl>
    <w:p/>
    <w:p>
      <w:pPr>
        <w:spacing w:before="360" w:after="160"/>
      </w:pPr>
      <w:r>
        <w:rPr>
          <w:b/>
          <w:color w:val="0F172A"/>
          <w:sz w:val="32"/>
        </w:rPr>
        <w:t>8.1  Pilot Success Criteria</w:t>
      </w:r>
    </w:p>
    <w:p>
      <w:pPr>
        <w:pStyle w:val="ListBullet"/>
        <w:spacing w:after="60" w:before="40"/>
      </w:pPr>
      <w:r>
        <w:rPr>
          <w:b/>
          <w:color w:val="0F172A"/>
          <w:sz w:val="21"/>
        </w:rPr>
        <w:t xml:space="preserve">Sign-up rate: </w:t>
      </w:r>
      <w:r>
        <w:rPr>
          <w:color w:val="1E293B"/>
          <w:sz w:val="21"/>
        </w:rPr>
        <w:t>40%+ of invited Zenith SME customers create a Quad360 account within 30 days</w:t>
      </w:r>
    </w:p>
    <w:p>
      <w:pPr>
        <w:pStyle w:val="ListBullet"/>
        <w:spacing w:after="60" w:before="40"/>
      </w:pPr>
      <w:r>
        <w:rPr>
          <w:b/>
          <w:color w:val="0F172A"/>
          <w:sz w:val="21"/>
        </w:rPr>
        <w:t xml:space="preserve">Activation rate: </w:t>
      </w:r>
      <w:r>
        <w:rPr>
          <w:color w:val="1E293B"/>
          <w:sz w:val="21"/>
        </w:rPr>
        <w:t>40%+ of sign-ups log at least one transaction within 48 hours</w:t>
      </w:r>
    </w:p>
    <w:p>
      <w:pPr>
        <w:pStyle w:val="ListBullet"/>
        <w:spacing w:after="60" w:before="40"/>
      </w:pPr>
      <w:r>
        <w:rPr>
          <w:b/>
          <w:color w:val="0F172A"/>
          <w:sz w:val="21"/>
        </w:rPr>
        <w:t xml:space="preserve">Day-30 retention: </w:t>
      </w:r>
      <w:r>
        <w:rPr>
          <w:color w:val="1E293B"/>
          <w:sz w:val="21"/>
        </w:rPr>
        <w:t>35%+ of activated users still active at Day 30</w:t>
      </w:r>
    </w:p>
    <w:p>
      <w:pPr>
        <w:pStyle w:val="ListBullet"/>
        <w:spacing w:after="60" w:before="40"/>
      </w:pPr>
      <w:r>
        <w:rPr>
          <w:b/>
          <w:color w:val="0F172A"/>
          <w:sz w:val="21"/>
        </w:rPr>
        <w:t xml:space="preserve">Loan application quality: </w:t>
      </w:r>
      <w:r>
        <w:rPr>
          <w:color w:val="1E293B"/>
          <w:sz w:val="21"/>
        </w:rPr>
        <w:t>Credit officer assessment of Quad360 financial profiles: 80%+ rated 'significantly better than standard SME application'</w:t>
      </w:r>
    </w:p>
    <w:p>
      <w:pPr>
        <w:pStyle w:val="ListBullet"/>
        <w:spacing w:after="60" w:before="40"/>
      </w:pPr>
      <w:r>
        <w:rPr>
          <w:b/>
          <w:color w:val="0F172A"/>
          <w:sz w:val="21"/>
        </w:rPr>
        <w:t xml:space="preserve">Loan approval rate: </w:t>
      </w:r>
      <w:r>
        <w:rPr>
          <w:color w:val="1E293B"/>
          <w:sz w:val="21"/>
        </w:rPr>
        <w:t>60%+ approval rate on Quad360 pre-qualified applications vs. sub-30% on standard applications</w:t>
      </w:r>
    </w:p>
    <w:p>
      <w:pPr>
        <w:pStyle w:val="ListBullet"/>
        <w:spacing w:after="60" w:before="40"/>
      </w:pPr>
      <w:r>
        <w:rPr>
          <w:b/>
          <w:color w:val="0F172A"/>
          <w:sz w:val="21"/>
        </w:rPr>
        <w:t xml:space="preserve">Processing time: </w:t>
      </w:r>
      <w:r>
        <w:rPr>
          <w:color w:val="1E293B"/>
          <w:sz w:val="21"/>
        </w:rPr>
        <w:t>Average credit decision time under 48 hours for Quad360 applications vs. 8-14 days standard</w:t>
      </w:r>
    </w:p>
    <w:p>
      <w:pPr>
        <w:pStyle w:val="ListBullet"/>
        <w:spacing w:after="60" w:before="40"/>
      </w:pPr>
      <w:r>
        <w:rPr>
          <w:b/>
          <w:color w:val="0F172A"/>
          <w:sz w:val="21"/>
        </w:rPr>
        <w:t xml:space="preserve">Borrower satisfaction: </w:t>
      </w:r>
      <w:r>
        <w:rPr>
          <w:color w:val="1E293B"/>
          <w:sz w:val="21"/>
        </w:rPr>
        <w:t>NPS score of 7.5+ from Zenith SME customers who used Quad360</w:t>
      </w:r>
    </w:p>
    <w:p>
      <w:r>
        <w:br w:type="page"/>
      </w:r>
    </w:p>
    <w:p>
      <w:pPr>
        <w:keepNext/>
        <w:spacing w:before="360" w:after="160"/>
      </w:pPr>
      <w:r>
        <w:rPr>
          <w:b/>
          <w:color w:val="0F172A"/>
          <w:sz w:val="44"/>
        </w:rPr>
        <w:t>SECTION 9: RISK ANALYSIS &amp; MITIGATION</w:t>
      </w:r>
    </w:p>
    <w:p>
      <w:pPr>
        <w:pBdr>
          <w:bottom w:val="single" w:sz="6" w:space="4" w:color="3b82f6"/>
        </w:pBdr>
        <w:spacing w:after="200" w:before="80"/>
      </w:pP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0f172a"/>
          </w:tcPr>
          <w:p>
            <w:pPr>
              <w:jc w:val="center"/>
            </w:pPr>
            <w:r>
              <w:rPr>
                <w:b/>
                <w:color w:val="FFFFFF"/>
                <w:sz w:val="19"/>
              </w:rPr>
              <w:t>Risk</w:t>
            </w:r>
          </w:p>
        </w:tc>
        <w:tc>
          <w:tcPr>
            <w:tcW w:type="dxa" w:w="2351"/>
            <w:shd w:val="clear" w:color="auto" w:fill="0f172a"/>
          </w:tcPr>
          <w:p>
            <w:pPr>
              <w:jc w:val="center"/>
            </w:pPr>
            <w:r>
              <w:rPr>
                <w:b/>
                <w:color w:val="FFFFFF"/>
                <w:sz w:val="19"/>
              </w:rPr>
              <w:t>Likelihood</w:t>
            </w:r>
          </w:p>
        </w:tc>
        <w:tc>
          <w:tcPr>
            <w:tcW w:type="dxa" w:w="2351"/>
            <w:shd w:val="clear" w:color="auto" w:fill="0f172a"/>
          </w:tcPr>
          <w:p>
            <w:pPr>
              <w:jc w:val="center"/>
            </w:pPr>
            <w:r>
              <w:rPr>
                <w:b/>
                <w:color w:val="FFFFFF"/>
                <w:sz w:val="19"/>
              </w:rPr>
              <w:t>Impact</w:t>
            </w:r>
          </w:p>
        </w:tc>
        <w:tc>
          <w:tcPr>
            <w:tcW w:type="dxa" w:w="2351"/>
            <w:shd w:val="clear" w:color="auto" w:fill="0f172a"/>
          </w:tcPr>
          <w:p>
            <w:pPr>
              <w:jc w:val="center"/>
            </w:pPr>
            <w:r>
              <w:rPr>
                <w:b/>
                <w:color w:val="FFFFFF"/>
                <w:sz w:val="19"/>
              </w:rPr>
              <w:t>Mitigation</w:t>
            </w:r>
          </w:p>
        </w:tc>
      </w:tr>
      <w:tr>
        <w:tc>
          <w:tcPr>
            <w:tcW w:type="dxa" w:w="2351"/>
            <w:shd w:val="clear" w:color="auto" w:fill="f8fafc"/>
          </w:tcPr>
          <w:p>
            <w:pPr>
              <w:jc w:val="left"/>
            </w:pPr>
            <w:r>
              <w:rPr>
                <w:color w:val="1E293B"/>
                <w:sz w:val="19"/>
              </w:rPr>
              <w:t>Low SME adoption rate</w:t>
            </w:r>
          </w:p>
        </w:tc>
        <w:tc>
          <w:tcPr>
            <w:tcW w:type="dxa" w:w="2351"/>
            <w:shd w:val="clear" w:color="auto" w:fill="f8fafc"/>
          </w:tcPr>
          <w:p>
            <w:pPr>
              <w:jc w:val="center"/>
            </w:pPr>
            <w:r>
              <w:rPr>
                <w:color w:val="1E293B"/>
                <w:sz w:val="19"/>
              </w:rPr>
              <w:t>Medium</w:t>
            </w:r>
          </w:p>
        </w:tc>
        <w:tc>
          <w:tcPr>
            <w:tcW w:type="dxa" w:w="2351"/>
            <w:shd w:val="clear" w:color="auto" w:fill="f8fafc"/>
          </w:tcPr>
          <w:p>
            <w:pPr>
              <w:jc w:val="center"/>
            </w:pPr>
            <w:r>
              <w:rPr>
                <w:color w:val="1E293B"/>
                <w:sz w:val="19"/>
              </w:rPr>
              <w:t>High</w:t>
            </w:r>
          </w:p>
        </w:tc>
        <w:tc>
          <w:tcPr>
            <w:tcW w:type="dxa" w:w="2351"/>
            <w:shd w:val="clear" w:color="auto" w:fill="f8fafc"/>
          </w:tcPr>
          <w:p>
            <w:pPr>
              <w:jc w:val="center"/>
            </w:pPr>
            <w:r>
              <w:rPr>
                <w:color w:val="1E293B"/>
                <w:sz w:val="19"/>
              </w:rPr>
              <w:t>Incentivise adoption with free access. Zenith endorsement dramatically increases trust. Personal onboarding support for first cohort.</w:t>
            </w:r>
          </w:p>
        </w:tc>
      </w:tr>
      <w:tr>
        <w:tc>
          <w:tcPr>
            <w:tcW w:type="dxa" w:w="2351"/>
            <w:shd w:val="clear" w:color="auto" w:fill="e2e8f0"/>
          </w:tcPr>
          <w:p>
            <w:pPr>
              <w:jc w:val="left"/>
            </w:pPr>
            <w:r>
              <w:rPr>
                <w:color w:val="1E293B"/>
                <w:sz w:val="19"/>
              </w:rPr>
              <w:t>Data security breach</w:t>
            </w:r>
          </w:p>
        </w:tc>
        <w:tc>
          <w:tcPr>
            <w:tcW w:type="dxa" w:w="2351"/>
            <w:shd w:val="clear" w:color="auto" w:fill="e2e8f0"/>
          </w:tcPr>
          <w:p>
            <w:pPr>
              <w:jc w:val="center"/>
            </w:pPr>
            <w:r>
              <w:rPr>
                <w:color w:val="1E293B"/>
                <w:sz w:val="19"/>
              </w:rPr>
              <w:t>Low</w:t>
            </w:r>
          </w:p>
        </w:tc>
        <w:tc>
          <w:tcPr>
            <w:tcW w:type="dxa" w:w="2351"/>
            <w:shd w:val="clear" w:color="auto" w:fill="e2e8f0"/>
          </w:tcPr>
          <w:p>
            <w:pPr>
              <w:jc w:val="center"/>
            </w:pPr>
            <w:r>
              <w:rPr>
                <w:color w:val="1E293B"/>
                <w:sz w:val="19"/>
              </w:rPr>
              <w:t>Very High</w:t>
            </w:r>
          </w:p>
        </w:tc>
        <w:tc>
          <w:tcPr>
            <w:tcW w:type="dxa" w:w="2351"/>
            <w:shd w:val="clear" w:color="auto" w:fill="e2e8f0"/>
          </w:tcPr>
          <w:p>
            <w:pPr>
              <w:jc w:val="center"/>
            </w:pPr>
            <w:r>
              <w:rPr>
                <w:color w:val="1E293B"/>
                <w:sz w:val="19"/>
              </w:rPr>
              <w:t>AES-256 encryption, RLS, 2FA, certificate pinning, audit logs. Regular third-party penetration testing. Incident response plan in place.</w:t>
            </w:r>
          </w:p>
        </w:tc>
      </w:tr>
      <w:tr>
        <w:tc>
          <w:tcPr>
            <w:tcW w:type="dxa" w:w="2351"/>
            <w:shd w:val="clear" w:color="auto" w:fill="f8fafc"/>
          </w:tcPr>
          <w:p>
            <w:pPr>
              <w:jc w:val="left"/>
            </w:pPr>
            <w:r>
              <w:rPr>
                <w:color w:val="1E293B"/>
                <w:sz w:val="19"/>
              </w:rPr>
              <w:t>Regulatory non-compliance</w:t>
            </w:r>
          </w:p>
        </w:tc>
        <w:tc>
          <w:tcPr>
            <w:tcW w:type="dxa" w:w="2351"/>
            <w:shd w:val="clear" w:color="auto" w:fill="f8fafc"/>
          </w:tcPr>
          <w:p>
            <w:pPr>
              <w:jc w:val="center"/>
            </w:pPr>
            <w:r>
              <w:rPr>
                <w:color w:val="1E293B"/>
                <w:sz w:val="19"/>
              </w:rPr>
              <w:t>Low</w:t>
            </w:r>
          </w:p>
        </w:tc>
        <w:tc>
          <w:tcPr>
            <w:tcW w:type="dxa" w:w="2351"/>
            <w:shd w:val="clear" w:color="auto" w:fill="f8fafc"/>
          </w:tcPr>
          <w:p>
            <w:pPr>
              <w:jc w:val="center"/>
            </w:pPr>
            <w:r>
              <w:rPr>
                <w:color w:val="1E293B"/>
                <w:sz w:val="19"/>
              </w:rPr>
              <w:t>Very High</w:t>
            </w:r>
          </w:p>
        </w:tc>
        <w:tc>
          <w:tcPr>
            <w:tcW w:type="dxa" w:w="2351"/>
            <w:shd w:val="clear" w:color="auto" w:fill="f8fafc"/>
          </w:tcPr>
          <w:p>
            <w:pPr>
              <w:jc w:val="center"/>
            </w:pPr>
            <w:r>
              <w:rPr>
                <w:color w:val="1E293B"/>
                <w:sz w:val="19"/>
              </w:rPr>
              <w:t>Full compliance with CBN fintech guidelines and NDPR. Legal review of all data sharing arrangements. User consent protocols built into platform.</w:t>
            </w:r>
          </w:p>
        </w:tc>
      </w:tr>
      <w:tr>
        <w:tc>
          <w:tcPr>
            <w:tcW w:type="dxa" w:w="2351"/>
            <w:shd w:val="clear" w:color="auto" w:fill="e2e8f0"/>
          </w:tcPr>
          <w:p>
            <w:pPr>
              <w:jc w:val="left"/>
            </w:pPr>
            <w:r>
              <w:rPr>
                <w:color w:val="1E293B"/>
                <w:sz w:val="19"/>
              </w:rPr>
              <w:t>Credit model inaccuracy</w:t>
            </w:r>
          </w:p>
        </w:tc>
        <w:tc>
          <w:tcPr>
            <w:tcW w:type="dxa" w:w="2351"/>
            <w:shd w:val="clear" w:color="auto" w:fill="e2e8f0"/>
          </w:tcPr>
          <w:p>
            <w:pPr>
              <w:jc w:val="center"/>
            </w:pPr>
            <w:r>
              <w:rPr>
                <w:color w:val="1E293B"/>
                <w:sz w:val="19"/>
              </w:rPr>
              <w:t>Medium</w:t>
            </w:r>
          </w:p>
        </w:tc>
        <w:tc>
          <w:tcPr>
            <w:tcW w:type="dxa" w:w="2351"/>
            <w:shd w:val="clear" w:color="auto" w:fill="e2e8f0"/>
          </w:tcPr>
          <w:p>
            <w:pPr>
              <w:jc w:val="center"/>
            </w:pPr>
            <w:r>
              <w:rPr>
                <w:color w:val="1E293B"/>
                <w:sz w:val="19"/>
              </w:rPr>
              <w:t>Medium</w:t>
            </w:r>
          </w:p>
        </w:tc>
        <w:tc>
          <w:tcPr>
            <w:tcW w:type="dxa" w:w="2351"/>
            <w:shd w:val="clear" w:color="auto" w:fill="e2e8f0"/>
          </w:tcPr>
          <w:p>
            <w:pPr>
              <w:jc w:val="center"/>
            </w:pPr>
            <w:r>
              <w:rPr>
                <w:color w:val="1E293B"/>
                <w:sz w:val="19"/>
              </w:rPr>
              <w:t>Pilot phase validates pre-qualification criteria before scale deployment. Criteria reviewed and adjusted based on actual approval and default rates.</w:t>
            </w:r>
          </w:p>
        </w:tc>
      </w:tr>
      <w:tr>
        <w:tc>
          <w:tcPr>
            <w:tcW w:type="dxa" w:w="2351"/>
            <w:shd w:val="clear" w:color="auto" w:fill="f8fafc"/>
          </w:tcPr>
          <w:p>
            <w:pPr>
              <w:jc w:val="left"/>
            </w:pPr>
            <w:r>
              <w:rPr>
                <w:color w:val="1E293B"/>
                <w:sz w:val="19"/>
              </w:rPr>
              <w:t>Quad360 platform downtime</w:t>
            </w:r>
          </w:p>
        </w:tc>
        <w:tc>
          <w:tcPr>
            <w:tcW w:type="dxa" w:w="2351"/>
            <w:shd w:val="clear" w:color="auto" w:fill="f8fafc"/>
          </w:tcPr>
          <w:p>
            <w:pPr>
              <w:jc w:val="center"/>
            </w:pPr>
            <w:r>
              <w:rPr>
                <w:color w:val="1E293B"/>
                <w:sz w:val="19"/>
              </w:rPr>
              <w:t>Low</w:t>
            </w:r>
          </w:p>
        </w:tc>
        <w:tc>
          <w:tcPr>
            <w:tcW w:type="dxa" w:w="2351"/>
            <w:shd w:val="clear" w:color="auto" w:fill="f8fafc"/>
          </w:tcPr>
          <w:p>
            <w:pPr>
              <w:jc w:val="center"/>
            </w:pPr>
            <w:r>
              <w:rPr>
                <w:color w:val="1E293B"/>
                <w:sz w:val="19"/>
              </w:rPr>
              <w:t>Medium</w:t>
            </w:r>
          </w:p>
        </w:tc>
        <w:tc>
          <w:tcPr>
            <w:tcW w:type="dxa" w:w="2351"/>
            <w:shd w:val="clear" w:color="auto" w:fill="f8fafc"/>
          </w:tcPr>
          <w:p>
            <w:pPr>
              <w:jc w:val="center"/>
            </w:pPr>
            <w:r>
              <w:rPr>
                <w:color w:val="1E293B"/>
                <w:sz w:val="19"/>
              </w:rPr>
              <w:t>99.9% uptime SLA via Supabase infrastructure. Offline-first architecture means users unaffected by brief outages. Incident escalation process agreed with Zenith.</w:t>
            </w:r>
          </w:p>
        </w:tc>
      </w:tr>
      <w:tr>
        <w:tc>
          <w:tcPr>
            <w:tcW w:type="dxa" w:w="2351"/>
            <w:shd w:val="clear" w:color="auto" w:fill="e2e8f0"/>
          </w:tcPr>
          <w:p>
            <w:pPr>
              <w:jc w:val="left"/>
            </w:pPr>
            <w:r>
              <w:rPr>
                <w:color w:val="1E293B"/>
                <w:sz w:val="19"/>
              </w:rPr>
              <w:t>Competitor response</w:t>
            </w:r>
          </w:p>
        </w:tc>
        <w:tc>
          <w:tcPr>
            <w:tcW w:type="dxa" w:w="2351"/>
            <w:shd w:val="clear" w:color="auto" w:fill="e2e8f0"/>
          </w:tcPr>
          <w:p>
            <w:pPr>
              <w:jc w:val="center"/>
            </w:pPr>
            <w:r>
              <w:rPr>
                <w:color w:val="1E293B"/>
                <w:sz w:val="19"/>
              </w:rPr>
              <w:t>Medium</w:t>
            </w:r>
          </w:p>
        </w:tc>
        <w:tc>
          <w:tcPr>
            <w:tcW w:type="dxa" w:w="2351"/>
            <w:shd w:val="clear" w:color="auto" w:fill="e2e8f0"/>
          </w:tcPr>
          <w:p>
            <w:pPr>
              <w:jc w:val="center"/>
            </w:pPr>
            <w:r>
              <w:rPr>
                <w:color w:val="1E293B"/>
                <w:sz w:val="19"/>
              </w:rPr>
              <w:t>Low</w:t>
            </w:r>
          </w:p>
        </w:tc>
        <w:tc>
          <w:tcPr>
            <w:tcW w:type="dxa" w:w="2351"/>
            <w:shd w:val="clear" w:color="auto" w:fill="e2e8f0"/>
          </w:tcPr>
          <w:p>
            <w:pPr>
              <w:jc w:val="center"/>
            </w:pPr>
            <w:r>
              <w:rPr>
                <w:color w:val="1E293B"/>
                <w:sz w:val="19"/>
              </w:rPr>
              <w:t>Partnership exclusivity negotiable. First-mover advantage significant. Deep integration creates high switching cost.</w:t>
            </w:r>
          </w:p>
        </w:tc>
      </w:tr>
      <w:tr>
        <w:tc>
          <w:tcPr>
            <w:tcW w:type="dxa" w:w="2351"/>
            <w:shd w:val="clear" w:color="auto" w:fill="f8fafc"/>
          </w:tcPr>
          <w:p>
            <w:pPr>
              <w:jc w:val="left"/>
            </w:pPr>
            <w:r>
              <w:rPr>
                <w:color w:val="1E293B"/>
                <w:sz w:val="19"/>
              </w:rPr>
              <w:t>SME data quality issues</w:t>
            </w:r>
          </w:p>
        </w:tc>
        <w:tc>
          <w:tcPr>
            <w:tcW w:type="dxa" w:w="2351"/>
            <w:shd w:val="clear" w:color="auto" w:fill="f8fafc"/>
          </w:tcPr>
          <w:p>
            <w:pPr>
              <w:jc w:val="center"/>
            </w:pPr>
            <w:r>
              <w:rPr>
                <w:color w:val="1E293B"/>
                <w:sz w:val="19"/>
              </w:rPr>
              <w:t>Medium</w:t>
            </w:r>
          </w:p>
        </w:tc>
        <w:tc>
          <w:tcPr>
            <w:tcW w:type="dxa" w:w="2351"/>
            <w:shd w:val="clear" w:color="auto" w:fill="f8fafc"/>
          </w:tcPr>
          <w:p>
            <w:pPr>
              <w:jc w:val="center"/>
            </w:pPr>
            <w:r>
              <w:rPr>
                <w:color w:val="1E293B"/>
                <w:sz w:val="19"/>
              </w:rPr>
              <w:t>Medium</w:t>
            </w:r>
          </w:p>
        </w:tc>
        <w:tc>
          <w:tcPr>
            <w:tcW w:type="dxa" w:w="2351"/>
            <w:shd w:val="clear" w:color="auto" w:fill="f8fafc"/>
          </w:tcPr>
          <w:p>
            <w:pPr>
              <w:jc w:val="center"/>
            </w:pPr>
            <w:r>
              <w:rPr>
                <w:color w:val="1E293B"/>
                <w:sz w:val="19"/>
              </w:rPr>
              <w:t>Minimum 6-month data threshold before pre-qualification. Data validation built into capture engine. Anomaly detection flags inconsistent entries.</w:t>
            </w:r>
          </w:p>
        </w:tc>
      </w:tr>
      <w:tr>
        <w:tc>
          <w:tcPr>
            <w:tcW w:type="dxa" w:w="2351"/>
            <w:shd w:val="clear" w:color="auto" w:fill="e2e8f0"/>
          </w:tcPr>
          <w:p>
            <w:pPr>
              <w:jc w:val="left"/>
            </w:pPr>
            <w:r>
              <w:rPr>
                <w:color w:val="1E293B"/>
                <w:sz w:val="19"/>
              </w:rPr>
              <w:t>Beta-stage product gaps</w:t>
            </w:r>
          </w:p>
        </w:tc>
        <w:tc>
          <w:tcPr>
            <w:tcW w:type="dxa" w:w="2351"/>
            <w:shd w:val="clear" w:color="auto" w:fill="e2e8f0"/>
          </w:tcPr>
          <w:p>
            <w:pPr>
              <w:jc w:val="center"/>
            </w:pPr>
            <w:r>
              <w:rPr>
                <w:color w:val="1E293B"/>
                <w:sz w:val="19"/>
              </w:rPr>
              <w:t>Medium</w:t>
            </w:r>
          </w:p>
        </w:tc>
        <w:tc>
          <w:tcPr>
            <w:tcW w:type="dxa" w:w="2351"/>
            <w:shd w:val="clear" w:color="auto" w:fill="e2e8f0"/>
          </w:tcPr>
          <w:p>
            <w:pPr>
              <w:jc w:val="center"/>
            </w:pPr>
            <w:r>
              <w:rPr>
                <w:color w:val="1E293B"/>
                <w:sz w:val="19"/>
              </w:rPr>
              <w:t>Medium</w:t>
            </w:r>
          </w:p>
        </w:tc>
        <w:tc>
          <w:tcPr>
            <w:tcW w:type="dxa" w:w="2351"/>
            <w:shd w:val="clear" w:color="auto" w:fill="e2e8f0"/>
          </w:tcPr>
          <w:p>
            <w:pPr>
              <w:jc w:val="center"/>
            </w:pPr>
            <w:r>
              <w:rPr>
                <w:color w:val="1E293B"/>
                <w:sz w:val="19"/>
              </w:rPr>
              <w:t>Full transparency on current beta status. Clear feature roadmap shared with Zenith. Dedicated engineering resource for Zenith-priority fixes during pilot.</w:t>
            </w:r>
          </w:p>
        </w:tc>
      </w:tr>
    </w:tbl>
    <w:p/>
    <w:p>
      <w:r>
        <w:br w:type="page"/>
      </w:r>
    </w:p>
    <w:p>
      <w:pPr>
        <w:keepNext/>
        <w:spacing w:before="360" w:after="160"/>
      </w:pPr>
      <w:r>
        <w:rPr>
          <w:b/>
          <w:color w:val="0F172A"/>
          <w:sz w:val="44"/>
        </w:rPr>
        <w:t>SECTION 10: REGULATORY &amp; COMPLIANCE FRAMEWORK</w:t>
      </w:r>
    </w:p>
    <w:p>
      <w:pPr>
        <w:pBdr>
          <w:bottom w:val="single" w:sz="6" w:space="4" w:color="3b82f6"/>
        </w:pBdr>
        <w:spacing w:after="200" w:before="80"/>
      </w:pPr>
    </w:p>
    <w:p>
      <w:pPr>
        <w:spacing w:before="360" w:after="160"/>
      </w:pPr>
      <w:r>
        <w:rPr>
          <w:b/>
          <w:color w:val="0F172A"/>
          <w:sz w:val="32"/>
        </w:rPr>
        <w:t>10.1  CBN Regulatory Alignment</w:t>
      </w:r>
    </w:p>
    <w:p>
      <w:pPr>
        <w:spacing w:after="120" w:before="40"/>
      </w:pPr>
      <w:r>
        <w:rPr>
          <w:i w:val="0"/>
          <w:color w:val="1E293B"/>
          <w:sz w:val="21"/>
        </w:rPr>
        <w:t>Quad360 operates within the regulatory framework established by the Central Bank of Nigeria for financial technology companies. Our operations are aligned with:</w:t>
      </w:r>
    </w:p>
    <w:p>
      <w:pPr>
        <w:pStyle w:val="ListBullet"/>
        <w:spacing w:after="60" w:before="40"/>
      </w:pPr>
      <w:r>
        <w:rPr>
          <w:color w:val="1E293B"/>
          <w:sz w:val="21"/>
        </w:rPr>
        <w:t>CBN Regulatory Framework for Open Banking in Nigeria (2021)</w:t>
      </w:r>
    </w:p>
    <w:p>
      <w:pPr>
        <w:pStyle w:val="ListBullet"/>
        <w:spacing w:after="60" w:before="40"/>
      </w:pPr>
      <w:r>
        <w:rPr>
          <w:color w:val="1E293B"/>
          <w:sz w:val="21"/>
        </w:rPr>
        <w:t>CBN Guidelines on Operations of Electronic Payment Channels in Nigeria</w:t>
      </w:r>
    </w:p>
    <w:p>
      <w:pPr>
        <w:pStyle w:val="ListBullet"/>
        <w:spacing w:after="60" w:before="40"/>
      </w:pPr>
      <w:r>
        <w:rPr>
          <w:color w:val="1E293B"/>
          <w:sz w:val="21"/>
        </w:rPr>
        <w:t>CBN Consumer Protection Framework</w:t>
      </w:r>
    </w:p>
    <w:p>
      <w:pPr>
        <w:pStyle w:val="ListBullet"/>
        <w:spacing w:after="60" w:before="40"/>
      </w:pPr>
      <w:r>
        <w:rPr>
          <w:color w:val="1E293B"/>
          <w:sz w:val="21"/>
        </w:rPr>
        <w:t>CBN Risk-Based Cybersecurity Framework and Guidelines for Deposit Money Banks and Payment Service Providers</w:t>
      </w:r>
    </w:p>
    <w:p>
      <w:pPr>
        <w:pStyle w:val="ListBullet"/>
        <w:spacing w:after="60" w:before="40"/>
      </w:pPr>
      <w:r>
        <w:rPr>
          <w:color w:val="1E293B"/>
          <w:sz w:val="21"/>
        </w:rPr>
        <w:t>Nigeria Data Protection Regulation (NDPR) 2019 and NDPC Act 2023</w:t>
      </w:r>
    </w:p>
    <w:p>
      <w:pPr>
        <w:pStyle w:val="ListBullet"/>
        <w:spacing w:after="60" w:before="40"/>
      </w:pPr>
      <w:r>
        <w:rPr>
          <w:color w:val="1E293B"/>
          <w:sz w:val="21"/>
        </w:rPr>
        <w:t>FCCPC Guidelines on Digital Lending</w:t>
      </w:r>
    </w:p>
    <w:p>
      <w:pPr>
        <w:spacing w:before="360" w:after="160"/>
      </w:pPr>
      <w:r>
        <w:rPr>
          <w:b/>
          <w:color w:val="0F172A"/>
          <w:sz w:val="32"/>
        </w:rPr>
        <w:t>10.2  Data Privacy and User Consent</w:t>
      </w:r>
    </w:p>
    <w:p>
      <w:pPr>
        <w:spacing w:after="120" w:before="40"/>
      </w:pPr>
      <w:r>
        <w:rPr>
          <w:i w:val="0"/>
          <w:color w:val="1E293B"/>
          <w:sz w:val="21"/>
        </w:rPr>
        <w:t>All data sharing between Quad360 and Zenith Bank occurs only with explicit, informed, granular user consent. Our consent architecture provides:</w:t>
      </w:r>
    </w:p>
    <w:p>
      <w:pPr>
        <w:pStyle w:val="ListBullet"/>
        <w:spacing w:after="60" w:before="40"/>
      </w:pPr>
      <w:r>
        <w:rPr>
          <w:b/>
          <w:color w:val="0F172A"/>
          <w:sz w:val="21"/>
        </w:rPr>
        <w:t xml:space="preserve">Informed consent: </w:t>
      </w:r>
      <w:r>
        <w:rPr>
          <w:color w:val="1E293B"/>
          <w:sz w:val="21"/>
        </w:rPr>
        <w:t>Users are shown exactly what data will be shared, with whom, and for what purpose before any data transfer occurs.</w:t>
      </w:r>
    </w:p>
    <w:p>
      <w:pPr>
        <w:pStyle w:val="ListBullet"/>
        <w:spacing w:after="60" w:before="40"/>
      </w:pPr>
      <w:r>
        <w:rPr>
          <w:b/>
          <w:color w:val="0F172A"/>
          <w:sz w:val="21"/>
        </w:rPr>
        <w:t xml:space="preserve">Granular permissions: </w:t>
      </w:r>
      <w:r>
        <w:rPr>
          <w:color w:val="1E293B"/>
          <w:sz w:val="21"/>
        </w:rPr>
        <w:t>Users can consent to share financial health scores without sharing transaction details, or share P&amp;L summaries without sharing individual transaction records.</w:t>
      </w:r>
    </w:p>
    <w:p>
      <w:pPr>
        <w:pStyle w:val="ListBullet"/>
        <w:spacing w:after="60" w:before="40"/>
      </w:pPr>
      <w:r>
        <w:rPr>
          <w:b/>
          <w:color w:val="0F172A"/>
          <w:sz w:val="21"/>
        </w:rPr>
        <w:t xml:space="preserve">Consent revocation: </w:t>
      </w:r>
      <w:r>
        <w:rPr>
          <w:color w:val="1E293B"/>
          <w:sz w:val="21"/>
        </w:rPr>
        <w:t>Users can revoke data sharing consent at any time through the Quad360 settings screen. Revocation takes immediate effect.</w:t>
      </w:r>
    </w:p>
    <w:p>
      <w:pPr>
        <w:pStyle w:val="ListBullet"/>
        <w:spacing w:after="60" w:before="40"/>
      </w:pPr>
      <w:r>
        <w:rPr>
          <w:b/>
          <w:color w:val="0F172A"/>
          <w:sz w:val="21"/>
        </w:rPr>
        <w:t xml:space="preserve">Data minimisation: </w:t>
      </w:r>
      <w:r>
        <w:rPr>
          <w:color w:val="1E293B"/>
          <w:sz w:val="21"/>
        </w:rPr>
        <w:t>Only the data necessary for the agreed purpose is shared. Raw transaction data is never shared without explicit additional consent.</w:t>
      </w:r>
    </w:p>
    <w:p>
      <w:pPr>
        <w:pStyle w:val="ListBullet"/>
        <w:spacing w:after="60" w:before="40"/>
      </w:pPr>
      <w:r>
        <w:rPr>
          <w:b/>
          <w:color w:val="0F172A"/>
          <w:sz w:val="21"/>
        </w:rPr>
        <w:t xml:space="preserve">Audit trail: </w:t>
      </w:r>
      <w:r>
        <w:rPr>
          <w:color w:val="1E293B"/>
          <w:sz w:val="21"/>
        </w:rPr>
        <w:t>All consent events are logged with timestamp and user identity for regulatory audit purposes.</w:t>
      </w:r>
    </w:p>
    <w:p>
      <w:pPr>
        <w:spacing w:before="360" w:after="160"/>
      </w:pPr>
      <w:r>
        <w:rPr>
          <w:b/>
          <w:color w:val="0F172A"/>
          <w:sz w:val="32"/>
        </w:rPr>
        <w:t>10.3  Open Banking Alignment</w:t>
      </w:r>
    </w:p>
    <w:p>
      <w:pPr>
        <w:spacing w:after="120" w:before="40"/>
      </w:pPr>
      <w:r>
        <w:rPr>
          <w:i w:val="0"/>
          <w:color w:val="1E293B"/>
          <w:sz w:val="21"/>
        </w:rPr>
        <w:t>The proposed Quad360-Zenith Bank partnership is structurally consistent with the CBN's Open Banking framework, which encourages regulated data sharing between financial institutions and licensed fintechs to improve financial inclusion and customer outcomes. We are committed to registering as a licensed API Provider under the Open Banking framework as required and will provide Zenith Bank with full documentation of our regulatory status throughout the partnership.</w:t>
      </w:r>
    </w:p>
    <w:p>
      <w:r>
        <w:br w:type="page"/>
      </w:r>
    </w:p>
    <w:p>
      <w:pPr>
        <w:keepNext/>
        <w:spacing w:before="360" w:after="160"/>
      </w:pPr>
      <w:r>
        <w:rPr>
          <w:b/>
          <w:color w:val="0F172A"/>
          <w:sz w:val="44"/>
        </w:rPr>
        <w:t>SECTION 11: ABOUT QUAD360</w:t>
      </w:r>
    </w:p>
    <w:p>
      <w:pPr>
        <w:pBdr>
          <w:bottom w:val="single" w:sz="6" w:space="4" w:color="3b82f6"/>
        </w:pBdr>
        <w:spacing w:after="200" w:before="80"/>
      </w:pPr>
    </w:p>
    <w:p>
      <w:pPr>
        <w:spacing w:before="360" w:after="160"/>
      </w:pPr>
      <w:r>
        <w:rPr>
          <w:b/>
          <w:color w:val="0F172A"/>
          <w:sz w:val="32"/>
        </w:rPr>
        <w:t>11.1  Our Mission</w:t>
      </w:r>
    </w:p>
    <w:p>
      <w:pPr>
        <w:spacing w:after="120" w:before="40"/>
      </w:pPr>
      <w:r>
        <w:rPr>
          <w:i w:val="0"/>
          <w:color w:val="1E293B"/>
          <w:sz w:val="21"/>
        </w:rPr>
        <w:t>Quad360 exists to give every African business owner the financial clarity, the professional tools, and the documented track record that used to cost millions of naira annually to access — free, from their mobile phone, starting today.</w:t>
      </w:r>
    </w:p>
    <w:p>
      <w:pPr>
        <w:spacing w:after="120" w:before="40"/>
      </w:pPr>
      <w:r>
        <w:rPr>
          <w:i w:val="0"/>
          <w:color w:val="1E293B"/>
          <w:sz w:val="21"/>
        </w:rPr>
        <w:t>We believe that the businesses driving Africa's economy deserve the same financial intelligence that Fortune 500 companies have enjoyed for decades. Not a simplified version. Not an adaptation of a foreign product. The real thing — built from the ground up for the African context.</w:t>
      </w:r>
    </w:p>
    <w:p>
      <w:pPr>
        <w:spacing w:before="360" w:after="160"/>
      </w:pPr>
      <w:r>
        <w:rPr>
          <w:b/>
          <w:color w:val="0F172A"/>
          <w:sz w:val="32"/>
        </w:rPr>
        <w:t>11.2  Founding Team</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0f172a"/>
          </w:tcPr>
          <w:p>
            <w:pPr>
              <w:jc w:val="center"/>
            </w:pPr>
            <w:r>
              <w:rPr>
                <w:b/>
                <w:color w:val="FFFFFF"/>
                <w:sz w:val="19"/>
              </w:rPr>
              <w:t>Name</w:t>
            </w:r>
          </w:p>
        </w:tc>
        <w:tc>
          <w:tcPr>
            <w:tcW w:type="dxa" w:w="3135"/>
            <w:shd w:val="clear" w:color="auto" w:fill="0f172a"/>
          </w:tcPr>
          <w:p>
            <w:pPr>
              <w:jc w:val="center"/>
            </w:pPr>
            <w:r>
              <w:rPr>
                <w:b/>
                <w:color w:val="FFFFFF"/>
                <w:sz w:val="19"/>
              </w:rPr>
              <w:t>Role</w:t>
            </w:r>
          </w:p>
        </w:tc>
        <w:tc>
          <w:tcPr>
            <w:tcW w:type="dxa" w:w="3135"/>
            <w:shd w:val="clear" w:color="auto" w:fill="0f172a"/>
          </w:tcPr>
          <w:p>
            <w:pPr>
              <w:jc w:val="center"/>
            </w:pPr>
            <w:r>
              <w:rPr>
                <w:b/>
                <w:color w:val="FFFFFF"/>
                <w:sz w:val="19"/>
              </w:rPr>
              <w:t>Background</w:t>
            </w:r>
          </w:p>
        </w:tc>
      </w:tr>
      <w:tr>
        <w:tc>
          <w:tcPr>
            <w:tcW w:type="dxa" w:w="3135"/>
            <w:shd w:val="clear" w:color="auto" w:fill="f8fafc"/>
          </w:tcPr>
          <w:p>
            <w:pPr>
              <w:jc w:val="left"/>
            </w:pPr>
            <w:r>
              <w:rPr>
                <w:color w:val="1E293B"/>
                <w:sz w:val="19"/>
              </w:rPr>
              <w:t>Quadri Abiodun</w:t>
            </w:r>
          </w:p>
        </w:tc>
        <w:tc>
          <w:tcPr>
            <w:tcW w:type="dxa" w:w="3135"/>
            <w:shd w:val="clear" w:color="auto" w:fill="f8fafc"/>
          </w:tcPr>
          <w:p>
            <w:pPr>
              <w:jc w:val="center"/>
            </w:pPr>
            <w:r>
              <w:rPr>
                <w:color w:val="1E293B"/>
                <w:sz w:val="19"/>
              </w:rPr>
              <w:t>Co-Founder &amp; CEO</w:t>
            </w:r>
          </w:p>
        </w:tc>
        <w:tc>
          <w:tcPr>
            <w:tcW w:type="dxa" w:w="3135"/>
            <w:shd w:val="clear" w:color="auto" w:fill="f8fafc"/>
          </w:tcPr>
          <w:p>
            <w:pPr>
              <w:jc w:val="center"/>
            </w:pPr>
            <w:r>
              <w:rPr>
                <w:color w:val="1E293B"/>
                <w:sz w:val="19"/>
              </w:rPr>
              <w:t>Product and business development. Deep understanding of Nigerian SME financial challenges. Led all aspects of Quad360's design, development, and go-to-market strategy.</w:t>
            </w:r>
          </w:p>
        </w:tc>
      </w:tr>
      <w:tr>
        <w:tc>
          <w:tcPr>
            <w:tcW w:type="dxa" w:w="3135"/>
            <w:shd w:val="clear" w:color="auto" w:fill="e2e8f0"/>
          </w:tcPr>
          <w:p>
            <w:pPr>
              <w:jc w:val="left"/>
            </w:pPr>
            <w:r>
              <w:rPr>
                <w:color w:val="1E293B"/>
                <w:sz w:val="19"/>
              </w:rPr>
              <w:t>[Co-Founder Name]</w:t>
            </w:r>
          </w:p>
        </w:tc>
        <w:tc>
          <w:tcPr>
            <w:tcW w:type="dxa" w:w="3135"/>
            <w:shd w:val="clear" w:color="auto" w:fill="e2e8f0"/>
          </w:tcPr>
          <w:p>
            <w:pPr>
              <w:jc w:val="center"/>
            </w:pPr>
            <w:r>
              <w:rPr>
                <w:color w:val="1E293B"/>
                <w:sz w:val="19"/>
              </w:rPr>
              <w:t>Co-Founder &amp; CTO</w:t>
            </w:r>
          </w:p>
        </w:tc>
        <w:tc>
          <w:tcPr>
            <w:tcW w:type="dxa" w:w="3135"/>
            <w:shd w:val="clear" w:color="auto" w:fill="e2e8f0"/>
          </w:tcPr>
          <w:p>
            <w:pPr>
              <w:jc w:val="center"/>
            </w:pPr>
            <w:r>
              <w:rPr>
                <w:color w:val="1E293B"/>
                <w:sz w:val="19"/>
              </w:rPr>
              <w:t>Technology architecture. Led engineering of the Quad360 Financial OS including the AI advisory layer, offline-first sync engine, and security architecture.</w:t>
            </w:r>
          </w:p>
        </w:tc>
      </w:tr>
      <w:tr>
        <w:tc>
          <w:tcPr>
            <w:tcW w:type="dxa" w:w="3135"/>
            <w:shd w:val="clear" w:color="auto" w:fill="f8fafc"/>
          </w:tcPr>
          <w:p>
            <w:pPr>
              <w:jc w:val="left"/>
            </w:pPr>
            <w:r>
              <w:rPr>
                <w:color w:val="1E293B"/>
                <w:sz w:val="19"/>
              </w:rPr>
              <w:t>[Advisor Name]</w:t>
            </w:r>
          </w:p>
        </w:tc>
        <w:tc>
          <w:tcPr>
            <w:tcW w:type="dxa" w:w="3135"/>
            <w:shd w:val="clear" w:color="auto" w:fill="f8fafc"/>
          </w:tcPr>
          <w:p>
            <w:pPr>
              <w:jc w:val="center"/>
            </w:pPr>
            <w:r>
              <w:rPr>
                <w:color w:val="1E293B"/>
                <w:sz w:val="19"/>
              </w:rPr>
              <w:t>Strategic Advisor</w:t>
            </w:r>
          </w:p>
        </w:tc>
        <w:tc>
          <w:tcPr>
            <w:tcW w:type="dxa" w:w="3135"/>
            <w:shd w:val="clear" w:color="auto" w:fill="f8fafc"/>
          </w:tcPr>
          <w:p>
            <w:pPr>
              <w:jc w:val="center"/>
            </w:pPr>
            <w:r>
              <w:rPr>
                <w:color w:val="1E293B"/>
                <w:sz w:val="19"/>
              </w:rPr>
              <w:t>Former SME banking executive. Deep knowledge of Nigerian banking credit processes and regulatory environment.</w:t>
            </w:r>
          </w:p>
        </w:tc>
      </w:tr>
    </w:tbl>
    <w:p/>
    <w:p>
      <w:pPr>
        <w:spacing w:before="360" w:after="160"/>
      </w:pPr>
      <w:r>
        <w:rPr>
          <w:b/>
          <w:color w:val="0F172A"/>
          <w:sz w:val="32"/>
        </w:rPr>
        <w:t>11.3  Current Traction (Beta Phase)</w:t>
      </w:r>
    </w:p>
    <w:p>
      <w:pPr>
        <w:spacing w:after="120" w:before="40"/>
      </w:pPr>
      <w:r>
        <w:rPr>
          <w:i w:val="0"/>
          <w:color w:val="1E293B"/>
          <w:sz w:val="21"/>
        </w:rPr>
        <w:t>Quad360 is currently in its beta/testing phase. Key milestones achieved:</w:t>
      </w:r>
    </w:p>
    <w:p>
      <w:pPr>
        <w:pStyle w:val="ListBullet"/>
        <w:spacing w:after="60" w:before="40"/>
      </w:pPr>
      <w:r>
        <w:rPr>
          <w:color w:val="1E293B"/>
          <w:sz w:val="21"/>
        </w:rPr>
        <w:t>Full platform built and deployed across Android and iOS — all 24 screens functional and production-ready</w:t>
      </w:r>
    </w:p>
    <w:p>
      <w:pPr>
        <w:pStyle w:val="ListBullet"/>
        <w:spacing w:after="60" w:before="40"/>
      </w:pPr>
      <w:r>
        <w:rPr>
          <w:color w:val="1E293B"/>
          <w:sz w:val="21"/>
        </w:rPr>
        <w:t>Complete security hardening: end-to-end encryption, 2FA fail-secure, certificate pinning, audit logging</w:t>
      </w:r>
    </w:p>
    <w:p>
      <w:pPr>
        <w:pStyle w:val="ListBullet"/>
        <w:spacing w:after="60" w:before="40"/>
      </w:pPr>
      <w:r>
        <w:rPr>
          <w:color w:val="1E293B"/>
          <w:sz w:val="21"/>
        </w:rPr>
        <w:t>All performance optimisations implemented: debounced storage, O(n) algorithms, memoised calculations</w:t>
      </w:r>
    </w:p>
    <w:p>
      <w:pPr>
        <w:pStyle w:val="ListBullet"/>
        <w:spacing w:after="60" w:before="40"/>
      </w:pPr>
      <w:r>
        <w:rPr>
          <w:color w:val="1E293B"/>
          <w:sz w:val="21"/>
        </w:rPr>
        <w:t>Integration live: Pngme (bank sync), Paystack, Flutterwave</w:t>
      </w:r>
    </w:p>
    <w:p>
      <w:pPr>
        <w:pStyle w:val="ListBullet"/>
        <w:spacing w:after="60" w:before="40"/>
      </w:pPr>
      <w:r>
        <w:rPr>
          <w:color w:val="1E293B"/>
          <w:sz w:val="21"/>
        </w:rPr>
        <w:t>Active beta users logging real business transactions across Lagos, Abuja, and Port Harcourt</w:t>
      </w:r>
    </w:p>
    <w:p>
      <w:pPr>
        <w:pStyle w:val="ListBullet"/>
        <w:spacing w:after="60" w:before="40"/>
      </w:pPr>
      <w:r>
        <w:rPr>
          <w:color w:val="1E293B"/>
          <w:sz w:val="21"/>
        </w:rPr>
        <w:t>All critical bugs resolved and validated through systematic production-level testing</w:t>
      </w:r>
    </w:p>
    <w:p>
      <w:pPr>
        <w:pStyle w:val="ListBullet"/>
        <w:spacing w:after="60" w:before="40"/>
      </w:pPr>
      <w:r>
        <w:rPr>
          <w:color w:val="1E293B"/>
          <w:sz w:val="21"/>
        </w:rPr>
        <w:t>Marketing and go-to-market strategy developed: targeting 10,000 users within 9 months of full launch</w:t>
      </w:r>
    </w:p>
    <w:p>
      <w:pPr>
        <w:spacing w:before="360" w:after="160"/>
      </w:pPr>
      <w:r>
        <w:rPr>
          <w:b/>
          <w:color w:val="0F172A"/>
          <w:sz w:val="32"/>
        </w:rPr>
        <w:t>11.4  Why Partner With Us Now</w:t>
      </w:r>
    </w:p>
    <w:p>
      <w:pPr>
        <w:spacing w:after="120" w:before="40"/>
      </w:pPr>
      <w:r>
        <w:rPr>
          <w:i w:val="0"/>
          <w:color w:val="1E293B"/>
          <w:sz w:val="21"/>
        </w:rPr>
        <w:t>Quad360 is approaching Zenith Bank at the beta stage deliberately — because a partnership shaped at this stage gives Zenith Bank a level of influence over the product roadmap, the credit criteria integration, and the commercial structure that will not be available once we scale to tens of thousands of users.</w:t>
      </w:r>
    </w:p>
    <w:p>
      <w:pPr>
        <w:spacing w:after="120" w:before="40"/>
      </w:pPr>
      <w:r>
        <w:rPr>
          <w:i w:val="0"/>
          <w:color w:val="1E293B"/>
          <w:sz w:val="21"/>
        </w:rPr>
        <w:t>The businesses and banks that moved early on mobile money in Nigeria, on agency banking, on digital lending — captured disproportionate market position that compounded over years. The SME financial management infrastructure opportunity is at the same inflection point today. Zenith Bank has the opportunity to be the institution that captured it first.</w:t>
      </w:r>
    </w:p>
    <w:p>
      <w:r>
        <w:br w:type="page"/>
      </w:r>
    </w:p>
    <w:p>
      <w:pPr>
        <w:keepNext/>
        <w:spacing w:before="360" w:after="160"/>
      </w:pPr>
      <w:r>
        <w:rPr>
          <w:b/>
          <w:color w:val="0F172A"/>
          <w:sz w:val="44"/>
        </w:rPr>
        <w:t>SECTION 12: COMMERCIAL TERMS</w:t>
      </w:r>
    </w:p>
    <w:p>
      <w:pPr>
        <w:pBdr>
          <w:bottom w:val="single" w:sz="6" w:space="4" w:color="3b82f6"/>
        </w:pBdr>
        <w:spacing w:after="200" w:before="80"/>
      </w:pPr>
    </w:p>
    <w:p>
      <w:pPr>
        <w:spacing w:after="120" w:before="40"/>
      </w:pPr>
      <w:r>
        <w:rPr>
          <w:i w:val="0"/>
          <w:color w:val="1E293B"/>
          <w:sz w:val="21"/>
        </w:rPr>
        <w:t>The following terms are proposed as a starting point for commercial negotiation. All terms are subject to legal review and mutual agreement.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0f172a"/>
          </w:tcPr>
          <w:p>
            <w:pPr>
              <w:jc w:val="center"/>
            </w:pPr>
            <w:r>
              <w:rPr>
                <w:b/>
                <w:color w:val="FFFFFF"/>
                <w:sz w:val="19"/>
              </w:rPr>
              <w:t>Term</w:t>
            </w:r>
          </w:p>
        </w:tc>
        <w:tc>
          <w:tcPr>
            <w:tcW w:type="dxa" w:w="3135"/>
            <w:shd w:val="clear" w:color="auto" w:fill="0f172a"/>
          </w:tcPr>
          <w:p>
            <w:pPr>
              <w:jc w:val="center"/>
            </w:pPr>
            <w:r>
              <w:rPr>
                <w:b/>
                <w:color w:val="FFFFFF"/>
                <w:sz w:val="19"/>
              </w:rPr>
              <w:t>Proposed Position</w:t>
            </w:r>
          </w:p>
        </w:tc>
        <w:tc>
          <w:tcPr>
            <w:tcW w:type="dxa" w:w="3135"/>
            <w:shd w:val="clear" w:color="auto" w:fill="0f172a"/>
          </w:tcPr>
          <w:p>
            <w:pPr>
              <w:jc w:val="center"/>
            </w:pPr>
            <w:r>
              <w:rPr>
                <w:b/>
                <w:color w:val="FFFFFF"/>
                <w:sz w:val="19"/>
              </w:rPr>
              <w:t>Negotiable</w:t>
            </w:r>
          </w:p>
        </w:tc>
      </w:tr>
      <w:tr>
        <w:tc>
          <w:tcPr>
            <w:tcW w:type="dxa" w:w="3135"/>
            <w:shd w:val="clear" w:color="auto" w:fill="f8fafc"/>
          </w:tcPr>
          <w:p>
            <w:pPr>
              <w:jc w:val="left"/>
            </w:pPr>
            <w:r>
              <w:rPr>
                <w:color w:val="1E293B"/>
                <w:sz w:val="19"/>
              </w:rPr>
              <w:t>Pilot duration</w:t>
            </w:r>
          </w:p>
        </w:tc>
        <w:tc>
          <w:tcPr>
            <w:tcW w:type="dxa" w:w="3135"/>
            <w:shd w:val="clear" w:color="auto" w:fill="f8fafc"/>
          </w:tcPr>
          <w:p>
            <w:pPr>
              <w:jc w:val="center"/>
            </w:pPr>
            <w:r>
              <w:rPr>
                <w:color w:val="1E293B"/>
                <w:sz w:val="19"/>
              </w:rPr>
              <w:t>90 days from deployment date</w:t>
            </w:r>
          </w:p>
        </w:tc>
        <w:tc>
          <w:tcPr>
            <w:tcW w:type="dxa" w:w="3135"/>
            <w:shd w:val="clear" w:color="auto" w:fill="f8fafc"/>
          </w:tcPr>
          <w:p>
            <w:pPr>
              <w:jc w:val="center"/>
            </w:pPr>
            <w:r>
              <w:rPr>
                <w:color w:val="1E293B"/>
                <w:sz w:val="19"/>
              </w:rPr>
              <w:t>Yes — 60 days minimum</w:t>
            </w:r>
          </w:p>
        </w:tc>
      </w:tr>
      <w:tr>
        <w:tc>
          <w:tcPr>
            <w:tcW w:type="dxa" w:w="3135"/>
            <w:shd w:val="clear" w:color="auto" w:fill="e2e8f0"/>
          </w:tcPr>
          <w:p>
            <w:pPr>
              <w:jc w:val="left"/>
            </w:pPr>
            <w:r>
              <w:rPr>
                <w:color w:val="1E293B"/>
                <w:sz w:val="19"/>
              </w:rPr>
              <w:t>Pilot cost to Zenith Bank</w:t>
            </w:r>
          </w:p>
        </w:tc>
        <w:tc>
          <w:tcPr>
            <w:tcW w:type="dxa" w:w="3135"/>
            <w:shd w:val="clear" w:color="auto" w:fill="e2e8f0"/>
          </w:tcPr>
          <w:p>
            <w:pPr>
              <w:jc w:val="center"/>
            </w:pPr>
            <w:r>
              <w:rPr>
                <w:color w:val="1E293B"/>
                <w:sz w:val="19"/>
              </w:rPr>
              <w:t>Zero — Quad360 bears all technology costs</w:t>
            </w:r>
          </w:p>
        </w:tc>
        <w:tc>
          <w:tcPr>
            <w:tcW w:type="dxa" w:w="3135"/>
            <w:shd w:val="clear" w:color="auto" w:fill="e2e8f0"/>
          </w:tcPr>
          <w:p>
            <w:pPr>
              <w:jc w:val="center"/>
            </w:pPr>
            <w:r>
              <w:rPr>
                <w:color w:val="1E293B"/>
                <w:sz w:val="19"/>
              </w:rPr>
              <w:t>No</w:t>
            </w:r>
          </w:p>
        </w:tc>
      </w:tr>
      <w:tr>
        <w:tc>
          <w:tcPr>
            <w:tcW w:type="dxa" w:w="3135"/>
            <w:shd w:val="clear" w:color="auto" w:fill="f8fafc"/>
          </w:tcPr>
          <w:p>
            <w:pPr>
              <w:jc w:val="left"/>
            </w:pPr>
            <w:r>
              <w:rPr>
                <w:color w:val="1E293B"/>
                <w:sz w:val="19"/>
              </w:rPr>
              <w:t>Pilot cohort size</w:t>
            </w:r>
          </w:p>
        </w:tc>
        <w:tc>
          <w:tcPr>
            <w:tcW w:type="dxa" w:w="3135"/>
            <w:shd w:val="clear" w:color="auto" w:fill="f8fafc"/>
          </w:tcPr>
          <w:p>
            <w:pPr>
              <w:jc w:val="center"/>
            </w:pPr>
            <w:r>
              <w:rPr>
                <w:color w:val="1E293B"/>
                <w:sz w:val="19"/>
              </w:rPr>
              <w:t>500 Zenith SME customers (Lagos)</w:t>
            </w:r>
          </w:p>
        </w:tc>
        <w:tc>
          <w:tcPr>
            <w:tcW w:type="dxa" w:w="3135"/>
            <w:shd w:val="clear" w:color="auto" w:fill="f8fafc"/>
          </w:tcPr>
          <w:p>
            <w:pPr>
              <w:jc w:val="center"/>
            </w:pPr>
            <w:r>
              <w:rPr>
                <w:color w:val="1E293B"/>
                <w:sz w:val="19"/>
              </w:rPr>
              <w:t>Yes</w:t>
            </w:r>
          </w:p>
        </w:tc>
      </w:tr>
      <w:tr>
        <w:tc>
          <w:tcPr>
            <w:tcW w:type="dxa" w:w="3135"/>
            <w:shd w:val="clear" w:color="auto" w:fill="e2e8f0"/>
          </w:tcPr>
          <w:p>
            <w:pPr>
              <w:jc w:val="left"/>
            </w:pPr>
            <w:r>
              <w:rPr>
                <w:color w:val="1E293B"/>
                <w:sz w:val="19"/>
              </w:rPr>
              <w:t>Full deployment trigger</w:t>
            </w:r>
          </w:p>
        </w:tc>
        <w:tc>
          <w:tcPr>
            <w:tcW w:type="dxa" w:w="3135"/>
            <w:shd w:val="clear" w:color="auto" w:fill="e2e8f0"/>
          </w:tcPr>
          <w:p>
            <w:pPr>
              <w:jc w:val="center"/>
            </w:pPr>
            <w:r>
              <w:rPr>
                <w:color w:val="1E293B"/>
                <w:sz w:val="19"/>
              </w:rPr>
              <w:t>3 of 6 pilot success criteria met</w:t>
            </w:r>
          </w:p>
        </w:tc>
        <w:tc>
          <w:tcPr>
            <w:tcW w:type="dxa" w:w="3135"/>
            <w:shd w:val="clear" w:color="auto" w:fill="e2e8f0"/>
          </w:tcPr>
          <w:p>
            <w:pPr>
              <w:jc w:val="center"/>
            </w:pPr>
            <w:r>
              <w:rPr>
                <w:color w:val="1E293B"/>
                <w:sz w:val="19"/>
              </w:rPr>
              <w:t>Yes</w:t>
            </w:r>
          </w:p>
        </w:tc>
      </w:tr>
      <w:tr>
        <w:tc>
          <w:tcPr>
            <w:tcW w:type="dxa" w:w="3135"/>
            <w:shd w:val="clear" w:color="auto" w:fill="f8fafc"/>
          </w:tcPr>
          <w:p>
            <w:pPr>
              <w:jc w:val="left"/>
            </w:pPr>
            <w:r>
              <w:rPr>
                <w:color w:val="1E293B"/>
                <w:sz w:val="19"/>
              </w:rPr>
              <w:t>Revenue share (Model A)</w:t>
            </w:r>
          </w:p>
        </w:tc>
        <w:tc>
          <w:tcPr>
            <w:tcW w:type="dxa" w:w="3135"/>
            <w:shd w:val="clear" w:color="auto" w:fill="f8fafc"/>
          </w:tcPr>
          <w:p>
            <w:pPr>
              <w:jc w:val="center"/>
            </w:pPr>
            <w:r>
              <w:rPr>
                <w:color w:val="1E293B"/>
                <w:sz w:val="19"/>
              </w:rPr>
              <w:t>25% of paid plan conversions to Quad360</w:t>
            </w:r>
          </w:p>
        </w:tc>
        <w:tc>
          <w:tcPr>
            <w:tcW w:type="dxa" w:w="3135"/>
            <w:shd w:val="clear" w:color="auto" w:fill="f8fafc"/>
          </w:tcPr>
          <w:p>
            <w:pPr>
              <w:jc w:val="center"/>
            </w:pPr>
            <w:r>
              <w:rPr>
                <w:color w:val="1E293B"/>
                <w:sz w:val="19"/>
              </w:rPr>
              <w:t>Yes — 20-30% range</w:t>
            </w:r>
          </w:p>
        </w:tc>
      </w:tr>
      <w:tr>
        <w:tc>
          <w:tcPr>
            <w:tcW w:type="dxa" w:w="3135"/>
            <w:shd w:val="clear" w:color="auto" w:fill="e2e8f0"/>
          </w:tcPr>
          <w:p>
            <w:pPr>
              <w:jc w:val="left"/>
            </w:pPr>
            <w:r>
              <w:rPr>
                <w:color w:val="1E293B"/>
                <w:sz w:val="19"/>
              </w:rPr>
              <w:t>Referral fee (Model B)</w:t>
            </w:r>
          </w:p>
        </w:tc>
        <w:tc>
          <w:tcPr>
            <w:tcW w:type="dxa" w:w="3135"/>
            <w:shd w:val="clear" w:color="auto" w:fill="e2e8f0"/>
          </w:tcPr>
          <w:p>
            <w:pPr>
              <w:jc w:val="center"/>
            </w:pPr>
            <w:r>
              <w:rPr>
                <w:color w:val="1E293B"/>
                <w:sz w:val="19"/>
              </w:rPr>
              <w:t>₦35,000 per funded loan (Year 1)</w:t>
            </w:r>
          </w:p>
        </w:tc>
        <w:tc>
          <w:tcPr>
            <w:tcW w:type="dxa" w:w="3135"/>
            <w:shd w:val="clear" w:color="auto" w:fill="e2e8f0"/>
          </w:tcPr>
          <w:p>
            <w:pPr>
              <w:jc w:val="center"/>
            </w:pPr>
            <w:r>
              <w:rPr>
                <w:color w:val="1E293B"/>
                <w:sz w:val="19"/>
              </w:rPr>
              <w:t>Yes</w:t>
            </w:r>
          </w:p>
        </w:tc>
      </w:tr>
      <w:tr>
        <w:tc>
          <w:tcPr>
            <w:tcW w:type="dxa" w:w="3135"/>
            <w:shd w:val="clear" w:color="auto" w:fill="f8fafc"/>
          </w:tcPr>
          <w:p>
            <w:pPr>
              <w:jc w:val="left"/>
            </w:pPr>
            <w:r>
              <w:rPr>
                <w:color w:val="1E293B"/>
                <w:sz w:val="19"/>
              </w:rPr>
              <w:t>Monitoring SaaS (Model C)</w:t>
            </w:r>
          </w:p>
        </w:tc>
        <w:tc>
          <w:tcPr>
            <w:tcW w:type="dxa" w:w="3135"/>
            <w:shd w:val="clear" w:color="auto" w:fill="f8fafc"/>
          </w:tcPr>
          <w:p>
            <w:pPr>
              <w:jc w:val="center"/>
            </w:pPr>
            <w:r>
              <w:rPr>
                <w:color w:val="1E293B"/>
                <w:sz w:val="19"/>
              </w:rPr>
              <w:t>₦15,000 per monitored borrower/month</w:t>
            </w:r>
          </w:p>
        </w:tc>
        <w:tc>
          <w:tcPr>
            <w:tcW w:type="dxa" w:w="3135"/>
            <w:shd w:val="clear" w:color="auto" w:fill="f8fafc"/>
          </w:tcPr>
          <w:p>
            <w:pPr>
              <w:jc w:val="center"/>
            </w:pPr>
            <w:r>
              <w:rPr>
                <w:color w:val="1E293B"/>
                <w:sz w:val="19"/>
              </w:rPr>
              <w:t>Yes</w:t>
            </w:r>
          </w:p>
        </w:tc>
      </w:tr>
      <w:tr>
        <w:tc>
          <w:tcPr>
            <w:tcW w:type="dxa" w:w="3135"/>
            <w:shd w:val="clear" w:color="auto" w:fill="e2e8f0"/>
          </w:tcPr>
          <w:p>
            <w:pPr>
              <w:jc w:val="left"/>
            </w:pPr>
            <w:r>
              <w:rPr>
                <w:color w:val="1E293B"/>
                <w:sz w:val="19"/>
              </w:rPr>
              <w:t>White label license (Model D)</w:t>
            </w:r>
          </w:p>
        </w:tc>
        <w:tc>
          <w:tcPr>
            <w:tcW w:type="dxa" w:w="3135"/>
            <w:shd w:val="clear" w:color="auto" w:fill="e2e8f0"/>
          </w:tcPr>
          <w:p>
            <w:pPr>
              <w:jc w:val="center"/>
            </w:pPr>
            <w:r>
              <w:rPr>
                <w:color w:val="1E293B"/>
                <w:sz w:val="19"/>
              </w:rPr>
              <w:t>₦180M per annum + per-user fee</w:t>
            </w:r>
          </w:p>
        </w:tc>
        <w:tc>
          <w:tcPr>
            <w:tcW w:type="dxa" w:w="3135"/>
            <w:shd w:val="clear" w:color="auto" w:fill="e2e8f0"/>
          </w:tcPr>
          <w:p>
            <w:pPr>
              <w:jc w:val="center"/>
            </w:pPr>
            <w:r>
              <w:rPr>
                <w:color w:val="1E293B"/>
                <w:sz w:val="19"/>
              </w:rPr>
              <w:t>Yes</w:t>
            </w:r>
          </w:p>
        </w:tc>
      </w:tr>
      <w:tr>
        <w:tc>
          <w:tcPr>
            <w:tcW w:type="dxa" w:w="3135"/>
            <w:shd w:val="clear" w:color="auto" w:fill="f8fafc"/>
          </w:tcPr>
          <w:p>
            <w:pPr>
              <w:jc w:val="left"/>
            </w:pPr>
            <w:r>
              <w:rPr>
                <w:color w:val="1E293B"/>
                <w:sz w:val="19"/>
              </w:rPr>
              <w:t>Data sharing protocol</w:t>
            </w:r>
          </w:p>
        </w:tc>
        <w:tc>
          <w:tcPr>
            <w:tcW w:type="dxa" w:w="3135"/>
            <w:shd w:val="clear" w:color="auto" w:fill="f8fafc"/>
          </w:tcPr>
          <w:p>
            <w:pPr>
              <w:jc w:val="center"/>
            </w:pPr>
            <w:r>
              <w:rPr>
                <w:color w:val="1E293B"/>
                <w:sz w:val="19"/>
              </w:rPr>
              <w:t>User consent required. NDPR compliant.</w:t>
            </w:r>
          </w:p>
        </w:tc>
        <w:tc>
          <w:tcPr>
            <w:tcW w:type="dxa" w:w="3135"/>
            <w:shd w:val="clear" w:color="auto" w:fill="f8fafc"/>
          </w:tcPr>
          <w:p>
            <w:pPr>
              <w:jc w:val="center"/>
            </w:pPr>
            <w:r>
              <w:rPr>
                <w:color w:val="1E293B"/>
                <w:sz w:val="19"/>
              </w:rPr>
              <w:t>No — regulatory requirement</w:t>
            </w:r>
          </w:p>
        </w:tc>
      </w:tr>
      <w:tr>
        <w:tc>
          <w:tcPr>
            <w:tcW w:type="dxa" w:w="3135"/>
            <w:shd w:val="clear" w:color="auto" w:fill="e2e8f0"/>
          </w:tcPr>
          <w:p>
            <w:pPr>
              <w:jc w:val="left"/>
            </w:pPr>
            <w:r>
              <w:rPr>
                <w:color w:val="1E293B"/>
                <w:sz w:val="19"/>
              </w:rPr>
              <w:t>Exclusivity</w:t>
            </w:r>
          </w:p>
        </w:tc>
        <w:tc>
          <w:tcPr>
            <w:tcW w:type="dxa" w:w="3135"/>
            <w:shd w:val="clear" w:color="auto" w:fill="e2e8f0"/>
          </w:tcPr>
          <w:p>
            <w:pPr>
              <w:jc w:val="center"/>
            </w:pPr>
            <w:r>
              <w:rPr>
                <w:color w:val="1E293B"/>
                <w:sz w:val="19"/>
              </w:rPr>
              <w:t>Lagos pilot exclusive. Negotiable for national.</w:t>
            </w:r>
          </w:p>
        </w:tc>
        <w:tc>
          <w:tcPr>
            <w:tcW w:type="dxa" w:w="3135"/>
            <w:shd w:val="clear" w:color="auto" w:fill="e2e8f0"/>
          </w:tcPr>
          <w:p>
            <w:pPr>
              <w:jc w:val="center"/>
            </w:pPr>
            <w:r>
              <w:rPr>
                <w:color w:val="1E293B"/>
                <w:sz w:val="19"/>
              </w:rPr>
              <w:t>Yes</w:t>
            </w:r>
          </w:p>
        </w:tc>
      </w:tr>
      <w:tr>
        <w:tc>
          <w:tcPr>
            <w:tcW w:type="dxa" w:w="3135"/>
            <w:shd w:val="clear" w:color="auto" w:fill="f8fafc"/>
          </w:tcPr>
          <w:p>
            <w:pPr>
              <w:jc w:val="left"/>
            </w:pPr>
            <w:r>
              <w:rPr>
                <w:color w:val="1E293B"/>
                <w:sz w:val="19"/>
              </w:rPr>
              <w:t>IP ownership</w:t>
            </w:r>
          </w:p>
        </w:tc>
        <w:tc>
          <w:tcPr>
            <w:tcW w:type="dxa" w:w="3135"/>
            <w:shd w:val="clear" w:color="auto" w:fill="f8fafc"/>
          </w:tcPr>
          <w:p>
            <w:pPr>
              <w:jc w:val="center"/>
            </w:pPr>
            <w:r>
              <w:rPr>
                <w:color w:val="1E293B"/>
                <w:sz w:val="19"/>
              </w:rPr>
              <w:t>Quad360 retains all IP. Zenith receives usage license.</w:t>
            </w:r>
          </w:p>
        </w:tc>
        <w:tc>
          <w:tcPr>
            <w:tcW w:type="dxa" w:w="3135"/>
            <w:shd w:val="clear" w:color="auto" w:fill="f8fafc"/>
          </w:tcPr>
          <w:p>
            <w:pPr>
              <w:jc w:val="center"/>
            </w:pPr>
            <w:r>
              <w:rPr>
                <w:color w:val="1E293B"/>
                <w:sz w:val="19"/>
              </w:rPr>
              <w:t>No</w:t>
            </w:r>
          </w:p>
        </w:tc>
      </w:tr>
      <w:tr>
        <w:tc>
          <w:tcPr>
            <w:tcW w:type="dxa" w:w="3135"/>
            <w:shd w:val="clear" w:color="auto" w:fill="e2e8f0"/>
          </w:tcPr>
          <w:p>
            <w:pPr>
              <w:jc w:val="left"/>
            </w:pPr>
            <w:r>
              <w:rPr>
                <w:color w:val="1E293B"/>
                <w:sz w:val="19"/>
              </w:rPr>
              <w:t>Contract term</w:t>
            </w:r>
          </w:p>
        </w:tc>
        <w:tc>
          <w:tcPr>
            <w:tcW w:type="dxa" w:w="3135"/>
            <w:shd w:val="clear" w:color="auto" w:fill="e2e8f0"/>
          </w:tcPr>
          <w:p>
            <w:pPr>
              <w:jc w:val="center"/>
            </w:pPr>
            <w:r>
              <w:rPr>
                <w:color w:val="1E293B"/>
                <w:sz w:val="19"/>
              </w:rPr>
              <w:t>12-month initial term with renewal options</w:t>
            </w:r>
          </w:p>
        </w:tc>
        <w:tc>
          <w:tcPr>
            <w:tcW w:type="dxa" w:w="3135"/>
            <w:shd w:val="clear" w:color="auto" w:fill="e2e8f0"/>
          </w:tcPr>
          <w:p>
            <w:pPr>
              <w:jc w:val="center"/>
            </w:pPr>
            <w:r>
              <w:rPr>
                <w:color w:val="1E293B"/>
                <w:sz w:val="19"/>
              </w:rPr>
              <w:t>Yes</w:t>
            </w:r>
          </w:p>
        </w:tc>
      </w:tr>
      <w:tr>
        <w:tc>
          <w:tcPr>
            <w:tcW w:type="dxa" w:w="3135"/>
            <w:shd w:val="clear" w:color="auto" w:fill="f8fafc"/>
          </w:tcPr>
          <w:p>
            <w:pPr>
              <w:jc w:val="left"/>
            </w:pPr>
            <w:r>
              <w:rPr>
                <w:color w:val="1E293B"/>
                <w:sz w:val="19"/>
              </w:rPr>
              <w:t>Termination notice</w:t>
            </w:r>
          </w:p>
        </w:tc>
        <w:tc>
          <w:tcPr>
            <w:tcW w:type="dxa" w:w="3135"/>
            <w:shd w:val="clear" w:color="auto" w:fill="f8fafc"/>
          </w:tcPr>
          <w:p>
            <w:pPr>
              <w:jc w:val="center"/>
            </w:pPr>
            <w:r>
              <w:rPr>
                <w:color w:val="1E293B"/>
                <w:sz w:val="19"/>
              </w:rPr>
              <w:t>90 days written notice by either party</w:t>
            </w:r>
          </w:p>
        </w:tc>
        <w:tc>
          <w:tcPr>
            <w:tcW w:type="dxa" w:w="3135"/>
            <w:shd w:val="clear" w:color="auto" w:fill="f8fafc"/>
          </w:tcPr>
          <w:p>
            <w:pPr>
              <w:jc w:val="center"/>
            </w:pPr>
            <w:r>
              <w:rPr>
                <w:color w:val="1E293B"/>
                <w:sz w:val="19"/>
              </w:rPr>
              <w:t>Yes</w:t>
            </w:r>
          </w:p>
        </w:tc>
      </w:tr>
    </w:tbl>
    <w:p/>
    <w:p>
      <w:r>
        <w:br w:type="page"/>
      </w:r>
    </w:p>
    <w:p>
      <w:pPr>
        <w:keepNext/>
        <w:spacing w:before="360" w:after="160"/>
      </w:pPr>
      <w:r>
        <w:rPr>
          <w:b/>
          <w:color w:val="0F172A"/>
          <w:sz w:val="44"/>
        </w:rPr>
        <w:t>SECTION 13: NEXT STEPS &amp; CALL TO ACTION</w:t>
      </w:r>
    </w:p>
    <w:p>
      <w:pPr>
        <w:pBdr>
          <w:bottom w:val="single" w:sz="6" w:space="4" w:color="3b82f6"/>
        </w:pBdr>
        <w:spacing w:after="200" w:before="80"/>
      </w:pPr>
    </w:p>
    <w:p>
      <w:pPr>
        <w:spacing w:after="120" w:before="40"/>
      </w:pPr>
      <w:r>
        <w:rPr>
          <w:i w:val="0"/>
          <w:color w:val="1E293B"/>
          <w:sz w:val="21"/>
        </w:rPr>
        <w:t>We are asking for three things. Nothing more.</w:t>
      </w:r>
    </w:p>
    <w:p>
      <w:pPr>
        <w:spacing w:before="360" w:after="160"/>
      </w:pPr>
      <w:r>
        <w:rPr>
          <w:b/>
          <w:color w:val="3B82F6"/>
          <w:sz w:val="32"/>
        </w:rPr>
        <w:t>Step 1 — A 30-Minute Meeting</w:t>
      </w:r>
    </w:p>
    <w:p>
      <w:pPr>
        <w:spacing w:after="120" w:before="40"/>
      </w:pPr>
      <w:r>
        <w:rPr>
          <w:i w:val="0"/>
          <w:color w:val="1E293B"/>
          <w:sz w:val="21"/>
        </w:rPr>
        <w:t>A meeting between Quad360's founding team and the relevant Zenith Bank SME Banking and Digital Innovation leadership. We will demonstrate the live Quad360 platform with real business data, walk through the financial model, and answer any questions the team has. We ask for 30 minutes. We are confident you will want to continue the conversation.</w:t>
      </w:r>
    </w:p>
    <w:p>
      <w:pPr>
        <w:spacing w:before="360" w:after="160"/>
      </w:pPr>
      <w:r>
        <w:rPr>
          <w:b/>
          <w:color w:val="3B82F6"/>
          <w:sz w:val="32"/>
        </w:rPr>
        <w:t>Step 2 — A 90-Day Pilot Agreement</w:t>
      </w:r>
    </w:p>
    <w:p>
      <w:pPr>
        <w:spacing w:after="120" w:before="40"/>
      </w:pPr>
      <w:r>
        <w:rPr>
          <w:i w:val="0"/>
          <w:color w:val="1E293B"/>
          <w:sz w:val="21"/>
        </w:rPr>
        <w:t>A simple, low-risk pilot agreement covering 500 Zenith SME customers over 90 days. No upfront financial commitment from Zenith Bank. Results first — commercial scale agreement after the pilot validates the assumptions.</w:t>
      </w:r>
    </w:p>
    <w:p>
      <w:pPr>
        <w:spacing w:before="360" w:after="160"/>
      </w:pPr>
      <w:r>
        <w:rPr>
          <w:b/>
          <w:color w:val="3B82F6"/>
          <w:sz w:val="32"/>
        </w:rPr>
        <w:t>Step 3 — A Joint Working Group</w:t>
      </w:r>
    </w:p>
    <w:p>
      <w:pPr>
        <w:spacing w:after="120" w:before="40"/>
      </w:pPr>
      <w:r>
        <w:rPr>
          <w:i w:val="0"/>
          <w:color w:val="1E293B"/>
          <w:sz w:val="21"/>
        </w:rPr>
        <w:t>A small joint team — two people from Quad360, two from Zenith Bank's SME and digital teams — to design the pilot structure, agree the success metrics, and ensure both organisations are aligned on what success looks like.</w:t>
      </w:r>
    </w:p>
    <w:p>
      <w:pPr>
        <w:spacing w:before="360" w:after="160"/>
      </w:pPr>
      <w:r>
        <w:rPr>
          <w:b/>
          <w:color w:val="0F172A"/>
          <w:sz w:val="32"/>
        </w:rPr>
        <w:t>Contact</w:t>
      </w:r>
    </w:p>
    <w:p>
      <w:pPr>
        <w:spacing w:after="120" w:before="40"/>
      </w:pPr>
      <w:r>
        <w:rPr>
          <w:i w:val="0"/>
          <w:color w:val="1E293B"/>
          <w:sz w:val="21"/>
        </w:rPr>
        <w:t>To schedule the introductory meeting or to request any additional information, please contact:</w:t>
      </w:r>
    </w:p>
    <w:tbl>
      <w:tblPr>
        <w:tblW w:type="auto" w:w="0"/>
        <w:tblLook w:firstColumn="1" w:firstRow="1" w:lastColumn="0" w:lastRow="0" w:noHBand="0" w:noVBand="1" w:val="04A0"/>
      </w:tblPr>
      <w:tblGrid>
        <w:gridCol w:w="4703"/>
        <w:gridCol w:w="4703"/>
      </w:tblGrid>
      <w:tr>
        <w:tc>
          <w:tcPr>
            <w:tcW w:type="dxa" w:w="4703"/>
            <w:shd w:val="clear" w:color="auto" w:fill="0f172a"/>
          </w:tcPr>
          <w:p>
            <w:pPr>
              <w:spacing w:before="160" w:after="160"/>
            </w:pPr>
          </w:p>
          <w:p>
            <w:r>
              <w:rPr>
                <w:b/>
                <w:color w:val="FFFFFF"/>
                <w:sz w:val="24"/>
              </w:rPr>
              <w:t>Quadri Abiodun</w:t>
            </w:r>
          </w:p>
          <w:p>
            <w:r>
              <w:rPr>
                <w:b w:val="0"/>
                <w:color w:val="FFFFFF"/>
                <w:sz w:val="21"/>
              </w:rPr>
              <w:t>Co-Founder &amp; CEO, Quad360</w:t>
            </w:r>
          </w:p>
          <w:p>
            <w:r>
              <w:rPr>
                <w:b w:val="0"/>
                <w:color w:val="FFFFFF"/>
                <w:sz w:val="21"/>
              </w:rPr>
              <w:t>quadri@quad360.com</w:t>
            </w:r>
          </w:p>
          <w:p>
            <w:r>
              <w:rPr>
                <w:b w:val="0"/>
                <w:color w:val="FFFFFF"/>
                <w:sz w:val="21"/>
              </w:rPr>
              <w:t>[Phone Number]</w:t>
            </w:r>
          </w:p>
          <w:p>
            <w:r>
              <w:rPr>
                <w:b w:val="0"/>
                <w:color w:val="FFFFFF"/>
                <w:sz w:val="21"/>
              </w:rPr>
              <w:t>quad360.com</w:t>
            </w:r>
          </w:p>
        </w:tc>
        <w:tc>
          <w:tcPr>
            <w:tcW w:type="dxa" w:w="4703"/>
            <w:shd w:val="clear" w:color="auto" w:fill="1e293b"/>
          </w:tcPr>
          <w:p>
            <w:pPr>
              <w:spacing w:before="160"/>
            </w:pPr>
          </w:p>
          <w:p>
            <w:r>
              <w:rPr>
                <w:b/>
                <w:color w:val="FFFFFF"/>
                <w:sz w:val="28"/>
              </w:rPr>
              <w:t>QUAD360</w:t>
            </w:r>
          </w:p>
          <w:p>
            <w:r>
              <w:rPr>
                <w:b w:val="0"/>
                <w:color w:val="FFFFFF"/>
                <w:sz w:val="21"/>
              </w:rPr>
              <w:t>The Financial OS for African SMEs</w:t>
            </w:r>
          </w:p>
          <w:p>
            <w:r>
              <w:rPr>
                <w:b w:val="0"/>
                <w:color w:val="FFFFFF"/>
                <w:sz w:val="21"/>
              </w:rPr>
              <w:t xml:space="preserve"> </w:t>
            </w:r>
          </w:p>
          <w:p>
            <w:r>
              <w:rPr>
                <w:b w:val="0"/>
                <w:color w:val="FFFFFF"/>
                <w:sz w:val="21"/>
              </w:rPr>
              <w:t>Beta Phase | June 2026</w:t>
            </w:r>
          </w:p>
          <w:p>
            <w:r>
              <w:rPr>
                <w:b w:val="0"/>
                <w:color w:val="FFFFFF"/>
                <w:sz w:val="21"/>
              </w:rPr>
              <w:t>Lagos, Nigeria</w:t>
            </w:r>
          </w:p>
        </w:tc>
      </w:tr>
    </w:tbl>
    <w:p/>
    <w:p>
      <w:pPr>
        <w:pBdr>
          <w:bottom w:val="single" w:sz="6" w:space="4" w:color="D4AF37"/>
        </w:pBdr>
        <w:spacing w:after="200" w:before="80"/>
      </w:pPr>
    </w:p>
    <w:p>
      <w:pPr>
        <w:spacing w:before="400"/>
        <w:jc w:val="center"/>
      </w:pPr>
      <w:r>
        <w:rPr>
          <w:i/>
          <w:color w:val="0F172A"/>
          <w:sz w:val="22"/>
        </w:rPr>
        <w:t>"The businesses driving Nigeria's economy deserve to be seen clearly.</w:t>
      </w:r>
    </w:p>
    <w:p>
      <w:pPr>
        <w:jc w:val="center"/>
      </w:pPr>
      <w:r>
        <w:rPr>
          <w:i/>
          <w:color w:val="0F172A"/>
          <w:sz w:val="22"/>
        </w:rPr>
        <w:t>And the bank that sees them first — wins them."</w:t>
      </w:r>
    </w:p>
    <w:p>
      <w:pPr>
        <w:jc w:val="center"/>
      </w:pPr>
      <w:r>
        <w:rPr>
          <w:color w:val="64748B"/>
          <w:sz w:val="20"/>
        </w:rPr>
        <w:t>— Quadri Abiodun, Co-Founder &amp; CEO, Quad360</w:t>
      </w:r>
    </w:p>
    <w:p>
      <w:r>
        <w:br w:type="page"/>
      </w:r>
    </w:p>
    <w:p>
      <w:pPr>
        <w:keepNext/>
        <w:spacing w:before="360" w:after="160"/>
      </w:pPr>
      <w:r>
        <w:rPr>
          <w:b/>
          <w:color w:val="0F172A"/>
          <w:sz w:val="44"/>
        </w:rPr>
        <w:t>APPENDIX A: TECHNICAL ARCHITECTURE</w:t>
      </w:r>
    </w:p>
    <w:p>
      <w:pPr>
        <w:pBdr>
          <w:bottom w:val="single" w:sz="6" w:space="4" w:color="3b82f6"/>
        </w:pBdr>
        <w:spacing w:after="200" w:before="80"/>
      </w:pP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0f172a"/>
          </w:tcPr>
          <w:p>
            <w:pPr>
              <w:jc w:val="center"/>
            </w:pPr>
            <w:r>
              <w:rPr>
                <w:b/>
                <w:color w:val="FFFFFF"/>
                <w:sz w:val="19"/>
              </w:rPr>
              <w:t>Layer</w:t>
            </w:r>
          </w:p>
        </w:tc>
        <w:tc>
          <w:tcPr>
            <w:tcW w:type="dxa" w:w="2351"/>
            <w:shd w:val="clear" w:color="auto" w:fill="0f172a"/>
          </w:tcPr>
          <w:p>
            <w:pPr>
              <w:jc w:val="center"/>
            </w:pPr>
            <w:r>
              <w:rPr>
                <w:b/>
                <w:color w:val="FFFFFF"/>
                <w:sz w:val="19"/>
              </w:rPr>
              <w:t>Technology</w:t>
            </w:r>
          </w:p>
        </w:tc>
        <w:tc>
          <w:tcPr>
            <w:tcW w:type="dxa" w:w="2351"/>
            <w:shd w:val="clear" w:color="auto" w:fill="0f172a"/>
          </w:tcPr>
          <w:p>
            <w:pPr>
              <w:jc w:val="center"/>
            </w:pPr>
            <w:r>
              <w:rPr>
                <w:b/>
                <w:color w:val="FFFFFF"/>
                <w:sz w:val="19"/>
              </w:rPr>
              <w:t>Purpose</w:t>
            </w:r>
          </w:p>
        </w:tc>
        <w:tc>
          <w:tcPr>
            <w:tcW w:type="dxa" w:w="2351"/>
            <w:shd w:val="clear" w:color="auto" w:fill="0f172a"/>
          </w:tcPr>
          <w:p>
            <w:pPr>
              <w:jc w:val="center"/>
            </w:pPr>
            <w:r>
              <w:rPr>
                <w:b/>
                <w:color w:val="FFFFFF"/>
                <w:sz w:val="19"/>
              </w:rPr>
              <w:t>Security Standard</w:t>
            </w:r>
          </w:p>
        </w:tc>
      </w:tr>
      <w:tr>
        <w:tc>
          <w:tcPr>
            <w:tcW w:type="dxa" w:w="2351"/>
            <w:shd w:val="clear" w:color="auto" w:fill="f8fafc"/>
          </w:tcPr>
          <w:p>
            <w:pPr>
              <w:jc w:val="left"/>
            </w:pPr>
            <w:r>
              <w:rPr>
                <w:color w:val="1E293B"/>
                <w:sz w:val="19"/>
              </w:rPr>
              <w:t>Mobile Application</w:t>
            </w:r>
          </w:p>
        </w:tc>
        <w:tc>
          <w:tcPr>
            <w:tcW w:type="dxa" w:w="2351"/>
            <w:shd w:val="clear" w:color="auto" w:fill="f8fafc"/>
          </w:tcPr>
          <w:p>
            <w:pPr>
              <w:jc w:val="center"/>
            </w:pPr>
            <w:r>
              <w:rPr>
                <w:color w:val="1E293B"/>
                <w:sz w:val="19"/>
              </w:rPr>
              <w:t>React Native + Expo SDK 50</w:t>
            </w:r>
          </w:p>
        </w:tc>
        <w:tc>
          <w:tcPr>
            <w:tcW w:type="dxa" w:w="2351"/>
            <w:shd w:val="clear" w:color="auto" w:fill="f8fafc"/>
          </w:tcPr>
          <w:p>
            <w:pPr>
              <w:jc w:val="center"/>
            </w:pPr>
            <w:r>
              <w:rPr>
                <w:color w:val="1E293B"/>
                <w:sz w:val="19"/>
              </w:rPr>
              <w:t>Cross-platform iOS/Android</w:t>
            </w:r>
          </w:p>
        </w:tc>
        <w:tc>
          <w:tcPr>
            <w:tcW w:type="dxa" w:w="2351"/>
            <w:shd w:val="clear" w:color="auto" w:fill="f8fafc"/>
          </w:tcPr>
          <w:p>
            <w:pPr>
              <w:jc w:val="center"/>
            </w:pPr>
            <w:r>
              <w:rPr>
                <w:color w:val="1E293B"/>
                <w:sz w:val="19"/>
              </w:rPr>
              <w:t>App store security review</w:t>
            </w:r>
          </w:p>
        </w:tc>
      </w:tr>
      <w:tr>
        <w:tc>
          <w:tcPr>
            <w:tcW w:type="dxa" w:w="2351"/>
            <w:shd w:val="clear" w:color="auto" w:fill="e2e8f0"/>
          </w:tcPr>
          <w:p>
            <w:pPr>
              <w:jc w:val="left"/>
            </w:pPr>
            <w:r>
              <w:rPr>
                <w:color w:val="1E293B"/>
                <w:sz w:val="19"/>
              </w:rPr>
              <w:t>Cloud Database</w:t>
            </w:r>
          </w:p>
        </w:tc>
        <w:tc>
          <w:tcPr>
            <w:tcW w:type="dxa" w:w="2351"/>
            <w:shd w:val="clear" w:color="auto" w:fill="e2e8f0"/>
          </w:tcPr>
          <w:p>
            <w:pPr>
              <w:jc w:val="center"/>
            </w:pPr>
            <w:r>
              <w:rPr>
                <w:color w:val="1E293B"/>
                <w:sz w:val="19"/>
              </w:rPr>
              <w:t>Supabase (PostgreSQL)</w:t>
            </w:r>
          </w:p>
        </w:tc>
        <w:tc>
          <w:tcPr>
            <w:tcW w:type="dxa" w:w="2351"/>
            <w:shd w:val="clear" w:color="auto" w:fill="e2e8f0"/>
          </w:tcPr>
          <w:p>
            <w:pPr>
              <w:jc w:val="center"/>
            </w:pPr>
            <w:r>
              <w:rPr>
                <w:color w:val="1E293B"/>
                <w:sz w:val="19"/>
              </w:rPr>
              <w:t>All business financial data</w:t>
            </w:r>
          </w:p>
        </w:tc>
        <w:tc>
          <w:tcPr>
            <w:tcW w:type="dxa" w:w="2351"/>
            <w:shd w:val="clear" w:color="auto" w:fill="e2e8f0"/>
          </w:tcPr>
          <w:p>
            <w:pPr>
              <w:jc w:val="center"/>
            </w:pPr>
            <w:r>
              <w:rPr>
                <w:color w:val="1E293B"/>
                <w:sz w:val="19"/>
              </w:rPr>
              <w:t>Row-Level Security, SOC2</w:t>
            </w:r>
          </w:p>
        </w:tc>
      </w:tr>
      <w:tr>
        <w:tc>
          <w:tcPr>
            <w:tcW w:type="dxa" w:w="2351"/>
            <w:shd w:val="clear" w:color="auto" w:fill="f8fafc"/>
          </w:tcPr>
          <w:p>
            <w:pPr>
              <w:jc w:val="left"/>
            </w:pPr>
            <w:r>
              <w:rPr>
                <w:color w:val="1E293B"/>
                <w:sz w:val="19"/>
              </w:rPr>
              <w:t>Authentication</w:t>
            </w:r>
          </w:p>
        </w:tc>
        <w:tc>
          <w:tcPr>
            <w:tcW w:type="dxa" w:w="2351"/>
            <w:shd w:val="clear" w:color="auto" w:fill="f8fafc"/>
          </w:tcPr>
          <w:p>
            <w:pPr>
              <w:jc w:val="center"/>
            </w:pPr>
            <w:r>
              <w:rPr>
                <w:color w:val="1E293B"/>
                <w:sz w:val="19"/>
              </w:rPr>
              <w:t>Supabase Auth + TOTP 2FA</w:t>
            </w:r>
          </w:p>
        </w:tc>
        <w:tc>
          <w:tcPr>
            <w:tcW w:type="dxa" w:w="2351"/>
            <w:shd w:val="clear" w:color="auto" w:fill="f8fafc"/>
          </w:tcPr>
          <w:p>
            <w:pPr>
              <w:jc w:val="center"/>
            </w:pPr>
            <w:r>
              <w:rPr>
                <w:color w:val="1E293B"/>
                <w:sz w:val="19"/>
              </w:rPr>
              <w:t>User identity and access</w:t>
            </w:r>
          </w:p>
        </w:tc>
        <w:tc>
          <w:tcPr>
            <w:tcW w:type="dxa" w:w="2351"/>
            <w:shd w:val="clear" w:color="auto" w:fill="f8fafc"/>
          </w:tcPr>
          <w:p>
            <w:pPr>
              <w:jc w:val="center"/>
            </w:pPr>
            <w:r>
              <w:rPr>
                <w:color w:val="1E293B"/>
                <w:sz w:val="19"/>
              </w:rPr>
              <w:t>Fail-secure enforcement</w:t>
            </w:r>
          </w:p>
        </w:tc>
      </w:tr>
      <w:tr>
        <w:tc>
          <w:tcPr>
            <w:tcW w:type="dxa" w:w="2351"/>
            <w:shd w:val="clear" w:color="auto" w:fill="e2e8f0"/>
          </w:tcPr>
          <w:p>
            <w:pPr>
              <w:jc w:val="left"/>
            </w:pPr>
            <w:r>
              <w:rPr>
                <w:color w:val="1E293B"/>
                <w:sz w:val="19"/>
              </w:rPr>
              <w:t>Encryption</w:t>
            </w:r>
          </w:p>
        </w:tc>
        <w:tc>
          <w:tcPr>
            <w:tcW w:type="dxa" w:w="2351"/>
            <w:shd w:val="clear" w:color="auto" w:fill="e2e8f0"/>
          </w:tcPr>
          <w:p>
            <w:pPr>
              <w:jc w:val="center"/>
            </w:pPr>
            <w:r>
              <w:rPr>
                <w:color w:val="1E293B"/>
                <w:sz w:val="19"/>
              </w:rPr>
              <w:t>AES-256 (CryptoJS)</w:t>
            </w:r>
          </w:p>
        </w:tc>
        <w:tc>
          <w:tcPr>
            <w:tcW w:type="dxa" w:w="2351"/>
            <w:shd w:val="clear" w:color="auto" w:fill="e2e8f0"/>
          </w:tcPr>
          <w:p>
            <w:pPr>
              <w:jc w:val="center"/>
            </w:pPr>
            <w:r>
              <w:rPr>
                <w:color w:val="1E293B"/>
                <w:sz w:val="19"/>
              </w:rPr>
              <w:t>Sensitive data at rest</w:t>
            </w:r>
          </w:p>
        </w:tc>
        <w:tc>
          <w:tcPr>
            <w:tcW w:type="dxa" w:w="2351"/>
            <w:shd w:val="clear" w:color="auto" w:fill="e2e8f0"/>
          </w:tcPr>
          <w:p>
            <w:pPr>
              <w:jc w:val="center"/>
            </w:pPr>
            <w:r>
              <w:rPr>
                <w:color w:val="1E293B"/>
                <w:sz w:val="19"/>
              </w:rPr>
              <w:t>Bank-grade encryption</w:t>
            </w:r>
          </w:p>
        </w:tc>
      </w:tr>
      <w:tr>
        <w:tc>
          <w:tcPr>
            <w:tcW w:type="dxa" w:w="2351"/>
            <w:shd w:val="clear" w:color="auto" w:fill="f8fafc"/>
          </w:tcPr>
          <w:p>
            <w:pPr>
              <w:jc w:val="left"/>
            </w:pPr>
            <w:r>
              <w:rPr>
                <w:color w:val="1E293B"/>
                <w:sz w:val="19"/>
              </w:rPr>
              <w:t>API Security</w:t>
            </w:r>
          </w:p>
        </w:tc>
        <w:tc>
          <w:tcPr>
            <w:tcW w:type="dxa" w:w="2351"/>
            <w:shd w:val="clear" w:color="auto" w:fill="f8fafc"/>
          </w:tcPr>
          <w:p>
            <w:pPr>
              <w:jc w:val="center"/>
            </w:pPr>
            <w:r>
              <w:rPr>
                <w:color w:val="1E293B"/>
                <w:sz w:val="19"/>
              </w:rPr>
              <w:t>Certificate Pinning</w:t>
            </w:r>
          </w:p>
        </w:tc>
        <w:tc>
          <w:tcPr>
            <w:tcW w:type="dxa" w:w="2351"/>
            <w:shd w:val="clear" w:color="auto" w:fill="f8fafc"/>
          </w:tcPr>
          <w:p>
            <w:pPr>
              <w:jc w:val="center"/>
            </w:pPr>
            <w:r>
              <w:rPr>
                <w:color w:val="1E293B"/>
                <w:sz w:val="19"/>
              </w:rPr>
              <w:t>All external API calls</w:t>
            </w:r>
          </w:p>
        </w:tc>
        <w:tc>
          <w:tcPr>
            <w:tcW w:type="dxa" w:w="2351"/>
            <w:shd w:val="clear" w:color="auto" w:fill="f8fafc"/>
          </w:tcPr>
          <w:p>
            <w:pPr>
              <w:jc w:val="center"/>
            </w:pPr>
            <w:r>
              <w:rPr>
                <w:color w:val="1E293B"/>
                <w:sz w:val="19"/>
              </w:rPr>
              <w:t>MITM attack prevention</w:t>
            </w:r>
          </w:p>
        </w:tc>
      </w:tr>
      <w:tr>
        <w:tc>
          <w:tcPr>
            <w:tcW w:type="dxa" w:w="2351"/>
            <w:shd w:val="clear" w:color="auto" w:fill="e2e8f0"/>
          </w:tcPr>
          <w:p>
            <w:pPr>
              <w:jc w:val="left"/>
            </w:pPr>
            <w:r>
              <w:rPr>
                <w:color w:val="1E293B"/>
                <w:sz w:val="19"/>
              </w:rPr>
              <w:t>Offline Storage</w:t>
            </w:r>
          </w:p>
        </w:tc>
        <w:tc>
          <w:tcPr>
            <w:tcW w:type="dxa" w:w="2351"/>
            <w:shd w:val="clear" w:color="auto" w:fill="e2e8f0"/>
          </w:tcPr>
          <w:p>
            <w:pPr>
              <w:jc w:val="center"/>
            </w:pPr>
            <w:r>
              <w:rPr>
                <w:color w:val="1E293B"/>
                <w:sz w:val="19"/>
              </w:rPr>
              <w:t>AsyncStorage + Sync Queue</w:t>
            </w:r>
          </w:p>
        </w:tc>
        <w:tc>
          <w:tcPr>
            <w:tcW w:type="dxa" w:w="2351"/>
            <w:shd w:val="clear" w:color="auto" w:fill="e2e8f0"/>
          </w:tcPr>
          <w:p>
            <w:pPr>
              <w:jc w:val="center"/>
            </w:pPr>
            <w:r>
              <w:rPr>
                <w:color w:val="1E293B"/>
                <w:sz w:val="19"/>
              </w:rPr>
              <w:t>Offline-first operations</w:t>
            </w:r>
          </w:p>
        </w:tc>
        <w:tc>
          <w:tcPr>
            <w:tcW w:type="dxa" w:w="2351"/>
            <w:shd w:val="clear" w:color="auto" w:fill="e2e8f0"/>
          </w:tcPr>
          <w:p>
            <w:pPr>
              <w:jc w:val="center"/>
            </w:pPr>
            <w:r>
              <w:rPr>
                <w:color w:val="1E293B"/>
                <w:sz w:val="19"/>
              </w:rPr>
              <w:t>Local encryption</w:t>
            </w:r>
          </w:p>
        </w:tc>
      </w:tr>
      <w:tr>
        <w:tc>
          <w:tcPr>
            <w:tcW w:type="dxa" w:w="2351"/>
            <w:shd w:val="clear" w:color="auto" w:fill="f8fafc"/>
          </w:tcPr>
          <w:p>
            <w:pPr>
              <w:jc w:val="left"/>
            </w:pPr>
            <w:r>
              <w:rPr>
                <w:color w:val="1E293B"/>
                <w:sz w:val="19"/>
              </w:rPr>
              <w:t>Bank Integration</w:t>
            </w:r>
          </w:p>
        </w:tc>
        <w:tc>
          <w:tcPr>
            <w:tcW w:type="dxa" w:w="2351"/>
            <w:shd w:val="clear" w:color="auto" w:fill="f8fafc"/>
          </w:tcPr>
          <w:p>
            <w:pPr>
              <w:jc w:val="center"/>
            </w:pPr>
            <w:r>
              <w:rPr>
                <w:color w:val="1E293B"/>
                <w:sz w:val="19"/>
              </w:rPr>
              <w:t>Pngme API</w:t>
            </w:r>
          </w:p>
        </w:tc>
        <w:tc>
          <w:tcPr>
            <w:tcW w:type="dxa" w:w="2351"/>
            <w:shd w:val="clear" w:color="auto" w:fill="f8fafc"/>
          </w:tcPr>
          <w:p>
            <w:pPr>
              <w:jc w:val="center"/>
            </w:pPr>
            <w:r>
              <w:rPr>
                <w:color w:val="1E293B"/>
                <w:sz w:val="19"/>
              </w:rPr>
              <w:t>Bank data aggregation</w:t>
            </w:r>
          </w:p>
        </w:tc>
        <w:tc>
          <w:tcPr>
            <w:tcW w:type="dxa" w:w="2351"/>
            <w:shd w:val="clear" w:color="auto" w:fill="f8fafc"/>
          </w:tcPr>
          <w:p>
            <w:pPr>
              <w:jc w:val="center"/>
            </w:pPr>
            <w:r>
              <w:rPr>
                <w:color w:val="1E293B"/>
                <w:sz w:val="19"/>
              </w:rPr>
              <w:t>Pngme regulatory license</w:t>
            </w:r>
          </w:p>
        </w:tc>
      </w:tr>
      <w:tr>
        <w:tc>
          <w:tcPr>
            <w:tcW w:type="dxa" w:w="2351"/>
            <w:shd w:val="clear" w:color="auto" w:fill="e2e8f0"/>
          </w:tcPr>
          <w:p>
            <w:pPr>
              <w:jc w:val="left"/>
            </w:pPr>
            <w:r>
              <w:rPr>
                <w:color w:val="1E293B"/>
                <w:sz w:val="19"/>
              </w:rPr>
              <w:t>Payments</w:t>
            </w:r>
          </w:p>
        </w:tc>
        <w:tc>
          <w:tcPr>
            <w:tcW w:type="dxa" w:w="2351"/>
            <w:shd w:val="clear" w:color="auto" w:fill="e2e8f0"/>
          </w:tcPr>
          <w:p>
            <w:pPr>
              <w:jc w:val="center"/>
            </w:pPr>
            <w:r>
              <w:rPr>
                <w:color w:val="1E293B"/>
                <w:sz w:val="19"/>
              </w:rPr>
              <w:t>Paystack + Flutterwave</w:t>
            </w:r>
          </w:p>
        </w:tc>
        <w:tc>
          <w:tcPr>
            <w:tcW w:type="dxa" w:w="2351"/>
            <w:shd w:val="clear" w:color="auto" w:fill="e2e8f0"/>
          </w:tcPr>
          <w:p>
            <w:pPr>
              <w:jc w:val="center"/>
            </w:pPr>
            <w:r>
              <w:rPr>
                <w:color w:val="1E293B"/>
                <w:sz w:val="19"/>
              </w:rPr>
              <w:t>Payment collection</w:t>
            </w:r>
          </w:p>
        </w:tc>
        <w:tc>
          <w:tcPr>
            <w:tcW w:type="dxa" w:w="2351"/>
            <w:shd w:val="clear" w:color="auto" w:fill="e2e8f0"/>
          </w:tcPr>
          <w:p>
            <w:pPr>
              <w:jc w:val="center"/>
            </w:pPr>
            <w:r>
              <w:rPr>
                <w:color w:val="1E293B"/>
                <w:sz w:val="19"/>
              </w:rPr>
              <w:t>PCI-DSS compliant</w:t>
            </w:r>
          </w:p>
        </w:tc>
      </w:tr>
      <w:tr>
        <w:tc>
          <w:tcPr>
            <w:tcW w:type="dxa" w:w="2351"/>
            <w:shd w:val="clear" w:color="auto" w:fill="f8fafc"/>
          </w:tcPr>
          <w:p>
            <w:pPr>
              <w:jc w:val="left"/>
            </w:pPr>
            <w:r>
              <w:rPr>
                <w:color w:val="1E293B"/>
                <w:sz w:val="19"/>
              </w:rPr>
              <w:t>AI Layer</w:t>
            </w:r>
          </w:p>
        </w:tc>
        <w:tc>
          <w:tcPr>
            <w:tcW w:type="dxa" w:w="2351"/>
            <w:shd w:val="clear" w:color="auto" w:fill="f8fafc"/>
          </w:tcPr>
          <w:p>
            <w:pPr>
              <w:jc w:val="center"/>
            </w:pPr>
            <w:r>
              <w:rPr>
                <w:color w:val="1E293B"/>
                <w:sz w:val="19"/>
              </w:rPr>
              <w:t>LLM integration</w:t>
            </w:r>
          </w:p>
        </w:tc>
        <w:tc>
          <w:tcPr>
            <w:tcW w:type="dxa" w:w="2351"/>
            <w:shd w:val="clear" w:color="auto" w:fill="f8fafc"/>
          </w:tcPr>
          <w:p>
            <w:pPr>
              <w:jc w:val="center"/>
            </w:pPr>
            <w:r>
              <w:rPr>
                <w:color w:val="1E293B"/>
                <w:sz w:val="19"/>
              </w:rPr>
              <w:t>Business advisor</w:t>
            </w:r>
          </w:p>
        </w:tc>
        <w:tc>
          <w:tcPr>
            <w:tcW w:type="dxa" w:w="2351"/>
            <w:shd w:val="clear" w:color="auto" w:fill="f8fafc"/>
          </w:tcPr>
          <w:p>
            <w:pPr>
              <w:jc w:val="center"/>
            </w:pPr>
            <w:r>
              <w:rPr>
                <w:color w:val="1E293B"/>
                <w:sz w:val="19"/>
              </w:rPr>
              <w:t>Data stays in user account</w:t>
            </w:r>
          </w:p>
        </w:tc>
      </w:tr>
      <w:tr>
        <w:tc>
          <w:tcPr>
            <w:tcW w:type="dxa" w:w="2351"/>
            <w:shd w:val="clear" w:color="auto" w:fill="e2e8f0"/>
          </w:tcPr>
          <w:p>
            <w:pPr>
              <w:jc w:val="left"/>
            </w:pPr>
            <w:r>
              <w:rPr>
                <w:color w:val="1E293B"/>
                <w:sz w:val="19"/>
              </w:rPr>
              <w:t>Audit</w:t>
            </w:r>
          </w:p>
        </w:tc>
        <w:tc>
          <w:tcPr>
            <w:tcW w:type="dxa" w:w="2351"/>
            <w:shd w:val="clear" w:color="auto" w:fill="e2e8f0"/>
          </w:tcPr>
          <w:p>
            <w:pPr>
              <w:jc w:val="center"/>
            </w:pPr>
            <w:r>
              <w:rPr>
                <w:color w:val="1E293B"/>
                <w:sz w:val="19"/>
              </w:rPr>
              <w:t>Custom audit log module</w:t>
            </w:r>
          </w:p>
        </w:tc>
        <w:tc>
          <w:tcPr>
            <w:tcW w:type="dxa" w:w="2351"/>
            <w:shd w:val="clear" w:color="auto" w:fill="e2e8f0"/>
          </w:tcPr>
          <w:p>
            <w:pPr>
              <w:jc w:val="center"/>
            </w:pPr>
            <w:r>
              <w:rPr>
                <w:color w:val="1E293B"/>
                <w:sz w:val="19"/>
              </w:rPr>
              <w:t>All significant actions</w:t>
            </w:r>
          </w:p>
        </w:tc>
        <w:tc>
          <w:tcPr>
            <w:tcW w:type="dxa" w:w="2351"/>
            <w:shd w:val="clear" w:color="auto" w:fill="e2e8f0"/>
          </w:tcPr>
          <w:p>
            <w:pPr>
              <w:jc w:val="center"/>
            </w:pPr>
            <w:r>
              <w:rPr>
                <w:color w:val="1E293B"/>
                <w:sz w:val="19"/>
              </w:rPr>
              <w:t>Immutable log chain</w:t>
            </w:r>
          </w:p>
        </w:tc>
      </w:tr>
    </w:tbl>
    <w:p/>
    <w:p>
      <w:pPr>
        <w:keepNext/>
        <w:spacing w:before="360" w:after="160"/>
      </w:pPr>
      <w:r>
        <w:rPr>
          <w:b/>
          <w:color w:val="0F172A"/>
          <w:sz w:val="44"/>
        </w:rPr>
        <w:t>APPENDIX B: SECURITY CONTROLS SUMMARY</w:t>
      </w:r>
    </w:p>
    <w:p>
      <w:pPr>
        <w:pBdr>
          <w:bottom w:val="single" w:sz="6" w:space="4" w:color="3b82f6"/>
        </w:pBdr>
        <w:spacing w:after="200" w:before="80"/>
      </w:pPr>
    </w:p>
    <w:p>
      <w:pPr>
        <w:pStyle w:val="ListBullet"/>
        <w:spacing w:after="60" w:before="40"/>
      </w:pPr>
      <w:r>
        <w:rPr>
          <w:b/>
          <w:color w:val="0F172A"/>
          <w:sz w:val="21"/>
        </w:rPr>
        <w:t xml:space="preserve">Data Encryption at Rest: </w:t>
      </w:r>
      <w:r>
        <w:rPr>
          <w:color w:val="1E293B"/>
          <w:sz w:val="21"/>
        </w:rPr>
        <w:t>[HIGH] All sensitive user financial data encrypted with AES-256 before storage. Encryption keys user-specific and never co-located with encrypted data.</w:t>
      </w:r>
    </w:p>
    <w:p>
      <w:pPr>
        <w:pStyle w:val="ListBullet"/>
        <w:spacing w:after="60" w:before="40"/>
      </w:pPr>
      <w:r>
        <w:rPr>
          <w:b/>
          <w:color w:val="0F172A"/>
          <w:sz w:val="21"/>
        </w:rPr>
        <w:t xml:space="preserve">Data Encryption in Transit: </w:t>
      </w:r>
      <w:r>
        <w:rPr>
          <w:color w:val="1E293B"/>
          <w:sz w:val="21"/>
        </w:rPr>
        <w:t>[HIGH] All data transmitted over TLS 1.3. Certificate pinning prevents substitution of legitimate certificates.</w:t>
      </w:r>
    </w:p>
    <w:p>
      <w:pPr>
        <w:pStyle w:val="ListBullet"/>
        <w:spacing w:after="60" w:before="40"/>
      </w:pPr>
      <w:r>
        <w:rPr>
          <w:b/>
          <w:color w:val="0F172A"/>
          <w:sz w:val="21"/>
        </w:rPr>
        <w:t xml:space="preserve">Authentication: </w:t>
      </w:r>
      <w:r>
        <w:rPr>
          <w:color w:val="1E293B"/>
          <w:sz w:val="21"/>
        </w:rPr>
        <w:t>[HIGH] Multi-factor authentication required. 2FA implemented with TOTP. Fail-secure: exceptions during verification force re-authentication, never grant access.</w:t>
      </w:r>
    </w:p>
    <w:p>
      <w:pPr>
        <w:pStyle w:val="ListBullet"/>
        <w:spacing w:after="60" w:before="40"/>
      </w:pPr>
      <w:r>
        <w:rPr>
          <w:b/>
          <w:color w:val="0F172A"/>
          <w:sz w:val="21"/>
        </w:rPr>
        <w:t xml:space="preserve">Authorisation: </w:t>
      </w:r>
      <w:r>
        <w:rPr>
          <w:color w:val="1E293B"/>
          <w:sz w:val="21"/>
        </w:rPr>
        <w:t>[HIGH] Row-Level Security on all database tables. Users can only read and write their own data. No shared data access without explicit consent.</w:t>
      </w:r>
    </w:p>
    <w:p>
      <w:pPr>
        <w:pStyle w:val="ListBullet"/>
        <w:spacing w:after="60" w:before="40"/>
      </w:pPr>
      <w:r>
        <w:rPr>
          <w:b/>
          <w:color w:val="0F172A"/>
          <w:sz w:val="21"/>
        </w:rPr>
        <w:t xml:space="preserve">Offline Security: </w:t>
      </w:r>
      <w:r>
        <w:rPr>
          <w:color w:val="1E293B"/>
          <w:sz w:val="21"/>
        </w:rPr>
        <w:t>[MEDIUM] Locally cached data protected by device security. Sync queue encrypts sensitive payloads before local storage.</w:t>
      </w:r>
    </w:p>
    <w:p>
      <w:pPr>
        <w:pStyle w:val="ListBullet"/>
        <w:spacing w:after="60" w:before="40"/>
      </w:pPr>
      <w:r>
        <w:rPr>
          <w:b/>
          <w:color w:val="0F172A"/>
          <w:sz w:val="21"/>
        </w:rPr>
        <w:t xml:space="preserve">Audit Logging: </w:t>
      </w:r>
      <w:r>
        <w:rPr>
          <w:color w:val="1E293B"/>
          <w:sz w:val="21"/>
        </w:rPr>
        <w:t>[HIGH] All significant actions logged with user ID, timestamp, IP address, and action description. Logs are immutable and retained for regulatory compliance period.</w:t>
      </w:r>
    </w:p>
    <w:p>
      <w:pPr>
        <w:pStyle w:val="ListBullet"/>
        <w:spacing w:after="60" w:before="40"/>
      </w:pPr>
      <w:r>
        <w:rPr>
          <w:b/>
          <w:color w:val="0F172A"/>
          <w:sz w:val="21"/>
        </w:rPr>
        <w:t xml:space="preserve">Incident Response: </w:t>
      </w:r>
      <w:r>
        <w:rPr>
          <w:color w:val="1E293B"/>
          <w:sz w:val="21"/>
        </w:rPr>
        <w:t>[MEDIUM] Defined incident response playbook. Severity classification system. User notification protocol for any breach affecting their data.</w:t>
      </w:r>
    </w:p>
    <w:p>
      <w:pPr>
        <w:pStyle w:val="ListBullet"/>
        <w:spacing w:after="60" w:before="40"/>
      </w:pPr>
      <w:r>
        <w:rPr>
          <w:b/>
          <w:color w:val="0F172A"/>
          <w:sz w:val="21"/>
        </w:rPr>
        <w:t xml:space="preserve">Penetration Testing: </w:t>
      </w:r>
      <w:r>
        <w:rPr>
          <w:color w:val="1E293B"/>
          <w:sz w:val="21"/>
        </w:rPr>
        <w:t>[PLANNED] Third-party penetration testing scheduled before full commercial deployment. Results shared with Zenith Bank on request.</w:t>
      </w:r>
    </w:p>
    <w:p>
      <w:pPr>
        <w:keepNext/>
        <w:spacing w:before="360" w:after="160"/>
      </w:pPr>
      <w:r>
        <w:rPr>
          <w:b/>
          <w:color w:val="0F172A"/>
          <w:sz w:val="44"/>
        </w:rPr>
        <w:t>APPENDIX C: SAMPLE QUAD360 FINANCIAL PROFILE</w:t>
      </w:r>
    </w:p>
    <w:p>
      <w:pPr>
        <w:pBdr>
          <w:bottom w:val="single" w:sz="6" w:space="4" w:color="3b82f6"/>
        </w:pBdr>
        <w:spacing w:after="200" w:before="80"/>
      </w:pPr>
    </w:p>
    <w:p>
      <w:pPr>
        <w:spacing w:after="120" w:before="40"/>
      </w:pPr>
      <w:r>
        <w:rPr>
          <w:i w:val="0"/>
          <w:color w:val="1E293B"/>
          <w:sz w:val="21"/>
        </w:rPr>
        <w:t>The following illustrates the financial profile generated for a typical Quad360 business after 6 months of active use. This is the data package that would be shared with Zenith Bank's credit team (with user consent) as part of a loan application.</w:t>
      </w:r>
    </w:p>
    <w:p>
      <w:pPr>
        <w:spacing w:before="360" w:after="160"/>
      </w:pPr>
      <w:r>
        <w:rPr>
          <w:b/>
          <w:color w:val="0F172A"/>
          <w:sz w:val="32"/>
        </w:rPr>
        <w:t>Business: Sample Fashion &amp; Retail SME — Lagos | 6 Months Active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0f172a"/>
          </w:tcPr>
          <w:p>
            <w:pPr>
              <w:jc w:val="center"/>
            </w:pPr>
            <w:r>
              <w:rPr>
                <w:b/>
                <w:color w:val="FFFFFF"/>
                <w:sz w:val="19"/>
              </w:rPr>
              <w:t>Financial Metric</w:t>
            </w:r>
          </w:p>
        </w:tc>
        <w:tc>
          <w:tcPr>
            <w:tcW w:type="dxa" w:w="1881"/>
            <w:shd w:val="clear" w:color="auto" w:fill="0f172a"/>
          </w:tcPr>
          <w:p>
            <w:pPr>
              <w:jc w:val="center"/>
            </w:pPr>
            <w:r>
              <w:rPr>
                <w:b/>
                <w:color w:val="FFFFFF"/>
                <w:sz w:val="19"/>
              </w:rPr>
              <w:t>Month 1</w:t>
            </w:r>
          </w:p>
        </w:tc>
        <w:tc>
          <w:tcPr>
            <w:tcW w:type="dxa" w:w="1881"/>
            <w:shd w:val="clear" w:color="auto" w:fill="0f172a"/>
          </w:tcPr>
          <w:p>
            <w:pPr>
              <w:jc w:val="center"/>
            </w:pPr>
            <w:r>
              <w:rPr>
                <w:b/>
                <w:color w:val="FFFFFF"/>
                <w:sz w:val="19"/>
              </w:rPr>
              <w:t>Month 3</w:t>
            </w:r>
          </w:p>
        </w:tc>
        <w:tc>
          <w:tcPr>
            <w:tcW w:type="dxa" w:w="1881"/>
            <w:shd w:val="clear" w:color="auto" w:fill="0f172a"/>
          </w:tcPr>
          <w:p>
            <w:pPr>
              <w:jc w:val="center"/>
            </w:pPr>
            <w:r>
              <w:rPr>
                <w:b/>
                <w:color w:val="FFFFFF"/>
                <w:sz w:val="19"/>
              </w:rPr>
              <w:t>Month 6</w:t>
            </w:r>
          </w:p>
        </w:tc>
        <w:tc>
          <w:tcPr>
            <w:tcW w:type="dxa" w:w="1881"/>
            <w:shd w:val="clear" w:color="auto" w:fill="0f172a"/>
          </w:tcPr>
          <w:p>
            <w:pPr>
              <w:jc w:val="center"/>
            </w:pPr>
            <w:r>
              <w:rPr>
                <w:b/>
                <w:color w:val="FFFFFF"/>
                <w:sz w:val="19"/>
              </w:rPr>
              <w:t>Trend</w:t>
            </w:r>
          </w:p>
        </w:tc>
      </w:tr>
      <w:tr>
        <w:tc>
          <w:tcPr>
            <w:tcW w:type="dxa" w:w="1881"/>
            <w:shd w:val="clear" w:color="auto" w:fill="f8fafc"/>
          </w:tcPr>
          <w:p>
            <w:pPr>
              <w:jc w:val="left"/>
            </w:pPr>
            <w:r>
              <w:rPr>
                <w:color w:val="1E293B"/>
                <w:sz w:val="19"/>
              </w:rPr>
              <w:t>Monthly Revenue</w:t>
            </w:r>
          </w:p>
        </w:tc>
        <w:tc>
          <w:tcPr>
            <w:tcW w:type="dxa" w:w="1881"/>
            <w:shd w:val="clear" w:color="auto" w:fill="f8fafc"/>
          </w:tcPr>
          <w:p>
            <w:pPr>
              <w:jc w:val="center"/>
            </w:pPr>
            <w:r>
              <w:rPr>
                <w:color w:val="1E293B"/>
                <w:sz w:val="19"/>
              </w:rPr>
              <w:t>₦850,000</w:t>
            </w:r>
          </w:p>
        </w:tc>
        <w:tc>
          <w:tcPr>
            <w:tcW w:type="dxa" w:w="1881"/>
            <w:shd w:val="clear" w:color="auto" w:fill="f8fafc"/>
          </w:tcPr>
          <w:p>
            <w:pPr>
              <w:jc w:val="center"/>
            </w:pPr>
            <w:r>
              <w:rPr>
                <w:color w:val="1E293B"/>
                <w:sz w:val="19"/>
              </w:rPr>
              <w:t>₦1,240,000</w:t>
            </w:r>
          </w:p>
        </w:tc>
        <w:tc>
          <w:tcPr>
            <w:tcW w:type="dxa" w:w="1881"/>
            <w:shd w:val="clear" w:color="auto" w:fill="f8fafc"/>
          </w:tcPr>
          <w:p>
            <w:pPr>
              <w:jc w:val="center"/>
            </w:pPr>
            <w:r>
              <w:rPr>
                <w:color w:val="1E293B"/>
                <w:sz w:val="19"/>
              </w:rPr>
              <w:t>₦1,680,000</w:t>
            </w:r>
          </w:p>
        </w:tc>
        <w:tc>
          <w:tcPr>
            <w:tcW w:type="dxa" w:w="1881"/>
            <w:shd w:val="clear" w:color="auto" w:fill="f8fafc"/>
          </w:tcPr>
          <w:p>
            <w:pPr>
              <w:jc w:val="center"/>
            </w:pPr>
            <w:r>
              <w:rPr>
                <w:color w:val="1E293B"/>
                <w:sz w:val="19"/>
              </w:rPr>
              <w:t>↑ 97.6%</w:t>
            </w:r>
          </w:p>
        </w:tc>
      </w:tr>
      <w:tr>
        <w:tc>
          <w:tcPr>
            <w:tcW w:type="dxa" w:w="1881"/>
            <w:shd w:val="clear" w:color="auto" w:fill="e2e8f0"/>
          </w:tcPr>
          <w:p>
            <w:pPr>
              <w:jc w:val="left"/>
            </w:pPr>
            <w:r>
              <w:rPr>
                <w:color w:val="1E293B"/>
                <w:sz w:val="19"/>
              </w:rPr>
              <w:t>Monthly Expenses</w:t>
            </w:r>
          </w:p>
        </w:tc>
        <w:tc>
          <w:tcPr>
            <w:tcW w:type="dxa" w:w="1881"/>
            <w:shd w:val="clear" w:color="auto" w:fill="e2e8f0"/>
          </w:tcPr>
          <w:p>
            <w:pPr>
              <w:jc w:val="center"/>
            </w:pPr>
            <w:r>
              <w:rPr>
                <w:color w:val="1E293B"/>
                <w:sz w:val="19"/>
              </w:rPr>
              <w:t>₦720,000</w:t>
            </w:r>
          </w:p>
        </w:tc>
        <w:tc>
          <w:tcPr>
            <w:tcW w:type="dxa" w:w="1881"/>
            <w:shd w:val="clear" w:color="auto" w:fill="e2e8f0"/>
          </w:tcPr>
          <w:p>
            <w:pPr>
              <w:jc w:val="center"/>
            </w:pPr>
            <w:r>
              <w:rPr>
                <w:color w:val="1E293B"/>
                <w:sz w:val="19"/>
              </w:rPr>
              <w:t>₦920,000</w:t>
            </w:r>
          </w:p>
        </w:tc>
        <w:tc>
          <w:tcPr>
            <w:tcW w:type="dxa" w:w="1881"/>
            <w:shd w:val="clear" w:color="auto" w:fill="e2e8f0"/>
          </w:tcPr>
          <w:p>
            <w:pPr>
              <w:jc w:val="center"/>
            </w:pPr>
            <w:r>
              <w:rPr>
                <w:color w:val="1E293B"/>
                <w:sz w:val="19"/>
              </w:rPr>
              <w:t>₦1,140,000</w:t>
            </w:r>
          </w:p>
        </w:tc>
        <w:tc>
          <w:tcPr>
            <w:tcW w:type="dxa" w:w="1881"/>
            <w:shd w:val="clear" w:color="auto" w:fill="e2e8f0"/>
          </w:tcPr>
          <w:p>
            <w:pPr>
              <w:jc w:val="center"/>
            </w:pPr>
            <w:r>
              <w:rPr>
                <w:color w:val="1E293B"/>
                <w:sz w:val="19"/>
              </w:rPr>
              <w:t>↑ 58.3%</w:t>
            </w:r>
          </w:p>
        </w:tc>
      </w:tr>
      <w:tr>
        <w:tc>
          <w:tcPr>
            <w:tcW w:type="dxa" w:w="1881"/>
            <w:shd w:val="clear" w:color="auto" w:fill="f8fafc"/>
          </w:tcPr>
          <w:p>
            <w:pPr>
              <w:jc w:val="left"/>
            </w:pPr>
            <w:r>
              <w:rPr>
                <w:color w:val="1E293B"/>
                <w:sz w:val="19"/>
              </w:rPr>
              <w:t>Net Profit</w:t>
            </w:r>
          </w:p>
        </w:tc>
        <w:tc>
          <w:tcPr>
            <w:tcW w:type="dxa" w:w="1881"/>
            <w:shd w:val="clear" w:color="auto" w:fill="f8fafc"/>
          </w:tcPr>
          <w:p>
            <w:pPr>
              <w:jc w:val="center"/>
            </w:pPr>
            <w:r>
              <w:rPr>
                <w:color w:val="1E293B"/>
                <w:sz w:val="19"/>
              </w:rPr>
              <w:t>₦130,000</w:t>
            </w:r>
          </w:p>
        </w:tc>
        <w:tc>
          <w:tcPr>
            <w:tcW w:type="dxa" w:w="1881"/>
            <w:shd w:val="clear" w:color="auto" w:fill="f8fafc"/>
          </w:tcPr>
          <w:p>
            <w:pPr>
              <w:jc w:val="center"/>
            </w:pPr>
            <w:r>
              <w:rPr>
                <w:color w:val="1E293B"/>
                <w:sz w:val="19"/>
              </w:rPr>
              <w:t>₦320,000</w:t>
            </w:r>
          </w:p>
        </w:tc>
        <w:tc>
          <w:tcPr>
            <w:tcW w:type="dxa" w:w="1881"/>
            <w:shd w:val="clear" w:color="auto" w:fill="f8fafc"/>
          </w:tcPr>
          <w:p>
            <w:pPr>
              <w:jc w:val="center"/>
            </w:pPr>
            <w:r>
              <w:rPr>
                <w:color w:val="1E293B"/>
                <w:sz w:val="19"/>
              </w:rPr>
              <w:t>₦540,000</w:t>
            </w:r>
          </w:p>
        </w:tc>
        <w:tc>
          <w:tcPr>
            <w:tcW w:type="dxa" w:w="1881"/>
            <w:shd w:val="clear" w:color="auto" w:fill="f8fafc"/>
          </w:tcPr>
          <w:p>
            <w:pPr>
              <w:jc w:val="center"/>
            </w:pPr>
            <w:r>
              <w:rPr>
                <w:color w:val="1E293B"/>
                <w:sz w:val="19"/>
              </w:rPr>
              <w:t>↑ 315%</w:t>
            </w:r>
          </w:p>
        </w:tc>
      </w:tr>
      <w:tr>
        <w:tc>
          <w:tcPr>
            <w:tcW w:type="dxa" w:w="1881"/>
            <w:shd w:val="clear" w:color="auto" w:fill="e2e8f0"/>
          </w:tcPr>
          <w:p>
            <w:pPr>
              <w:jc w:val="left"/>
            </w:pPr>
            <w:r>
              <w:rPr>
                <w:color w:val="1E293B"/>
                <w:sz w:val="19"/>
              </w:rPr>
              <w:t>Net Profit Margin</w:t>
            </w:r>
          </w:p>
        </w:tc>
        <w:tc>
          <w:tcPr>
            <w:tcW w:type="dxa" w:w="1881"/>
            <w:shd w:val="clear" w:color="auto" w:fill="e2e8f0"/>
          </w:tcPr>
          <w:p>
            <w:pPr>
              <w:jc w:val="center"/>
            </w:pPr>
            <w:r>
              <w:rPr>
                <w:color w:val="1E293B"/>
                <w:sz w:val="19"/>
              </w:rPr>
              <w:t>15.3%</w:t>
            </w:r>
          </w:p>
        </w:tc>
        <w:tc>
          <w:tcPr>
            <w:tcW w:type="dxa" w:w="1881"/>
            <w:shd w:val="clear" w:color="auto" w:fill="e2e8f0"/>
          </w:tcPr>
          <w:p>
            <w:pPr>
              <w:jc w:val="center"/>
            </w:pPr>
            <w:r>
              <w:rPr>
                <w:color w:val="1E293B"/>
                <w:sz w:val="19"/>
              </w:rPr>
              <w:t>25.8%</w:t>
            </w:r>
          </w:p>
        </w:tc>
        <w:tc>
          <w:tcPr>
            <w:tcW w:type="dxa" w:w="1881"/>
            <w:shd w:val="clear" w:color="auto" w:fill="e2e8f0"/>
          </w:tcPr>
          <w:p>
            <w:pPr>
              <w:jc w:val="center"/>
            </w:pPr>
            <w:r>
              <w:rPr>
                <w:color w:val="1E293B"/>
                <w:sz w:val="19"/>
              </w:rPr>
              <w:t>32.1%</w:t>
            </w:r>
          </w:p>
        </w:tc>
        <w:tc>
          <w:tcPr>
            <w:tcW w:type="dxa" w:w="1881"/>
            <w:shd w:val="clear" w:color="auto" w:fill="e2e8f0"/>
          </w:tcPr>
          <w:p>
            <w:pPr>
              <w:jc w:val="center"/>
            </w:pPr>
            <w:r>
              <w:rPr>
                <w:color w:val="1E293B"/>
                <w:sz w:val="19"/>
              </w:rPr>
              <w:t>↑ Improving</w:t>
            </w:r>
          </w:p>
        </w:tc>
      </w:tr>
      <w:tr>
        <w:tc>
          <w:tcPr>
            <w:tcW w:type="dxa" w:w="1881"/>
            <w:shd w:val="clear" w:color="auto" w:fill="f8fafc"/>
          </w:tcPr>
          <w:p>
            <w:pPr>
              <w:jc w:val="left"/>
            </w:pPr>
            <w:r>
              <w:rPr>
                <w:color w:val="1E293B"/>
                <w:sz w:val="19"/>
              </w:rPr>
              <w:t>Gross Margin</w:t>
            </w:r>
          </w:p>
        </w:tc>
        <w:tc>
          <w:tcPr>
            <w:tcW w:type="dxa" w:w="1881"/>
            <w:shd w:val="clear" w:color="auto" w:fill="f8fafc"/>
          </w:tcPr>
          <w:p>
            <w:pPr>
              <w:jc w:val="center"/>
            </w:pPr>
            <w:r>
              <w:rPr>
                <w:color w:val="1E293B"/>
                <w:sz w:val="19"/>
              </w:rPr>
              <w:t>38.2%</w:t>
            </w:r>
          </w:p>
        </w:tc>
        <w:tc>
          <w:tcPr>
            <w:tcW w:type="dxa" w:w="1881"/>
            <w:shd w:val="clear" w:color="auto" w:fill="f8fafc"/>
          </w:tcPr>
          <w:p>
            <w:pPr>
              <w:jc w:val="center"/>
            </w:pPr>
            <w:r>
              <w:rPr>
                <w:color w:val="1E293B"/>
                <w:sz w:val="19"/>
              </w:rPr>
              <w:t>41.5%</w:t>
            </w:r>
          </w:p>
        </w:tc>
        <w:tc>
          <w:tcPr>
            <w:tcW w:type="dxa" w:w="1881"/>
            <w:shd w:val="clear" w:color="auto" w:fill="f8fafc"/>
          </w:tcPr>
          <w:p>
            <w:pPr>
              <w:jc w:val="center"/>
            </w:pPr>
            <w:r>
              <w:rPr>
                <w:color w:val="1E293B"/>
                <w:sz w:val="19"/>
              </w:rPr>
              <w:t>44.8%</w:t>
            </w:r>
          </w:p>
        </w:tc>
        <w:tc>
          <w:tcPr>
            <w:tcW w:type="dxa" w:w="1881"/>
            <w:shd w:val="clear" w:color="auto" w:fill="f8fafc"/>
          </w:tcPr>
          <w:p>
            <w:pPr>
              <w:jc w:val="center"/>
            </w:pPr>
            <w:r>
              <w:rPr>
                <w:color w:val="1E293B"/>
                <w:sz w:val="19"/>
              </w:rPr>
              <w:t>↑ Improving</w:t>
            </w:r>
          </w:p>
        </w:tc>
      </w:tr>
      <w:tr>
        <w:tc>
          <w:tcPr>
            <w:tcW w:type="dxa" w:w="1881"/>
            <w:shd w:val="clear" w:color="auto" w:fill="e2e8f0"/>
          </w:tcPr>
          <w:p>
            <w:pPr>
              <w:jc w:val="left"/>
            </w:pPr>
            <w:r>
              <w:rPr>
                <w:color w:val="1E293B"/>
                <w:sz w:val="19"/>
              </w:rPr>
              <w:t>Outstanding Invoices</w:t>
            </w:r>
          </w:p>
        </w:tc>
        <w:tc>
          <w:tcPr>
            <w:tcW w:type="dxa" w:w="1881"/>
            <w:shd w:val="clear" w:color="auto" w:fill="e2e8f0"/>
          </w:tcPr>
          <w:p>
            <w:pPr>
              <w:jc w:val="center"/>
            </w:pPr>
            <w:r>
              <w:rPr>
                <w:color w:val="1E293B"/>
                <w:sz w:val="19"/>
              </w:rPr>
              <w:t>₦380,000</w:t>
            </w:r>
          </w:p>
        </w:tc>
        <w:tc>
          <w:tcPr>
            <w:tcW w:type="dxa" w:w="1881"/>
            <w:shd w:val="clear" w:color="auto" w:fill="e2e8f0"/>
          </w:tcPr>
          <w:p>
            <w:pPr>
              <w:jc w:val="center"/>
            </w:pPr>
            <w:r>
              <w:rPr>
                <w:color w:val="1E293B"/>
                <w:sz w:val="19"/>
              </w:rPr>
              <w:t>₦290,000</w:t>
            </w:r>
          </w:p>
        </w:tc>
        <w:tc>
          <w:tcPr>
            <w:tcW w:type="dxa" w:w="1881"/>
            <w:shd w:val="clear" w:color="auto" w:fill="e2e8f0"/>
          </w:tcPr>
          <w:p>
            <w:pPr>
              <w:jc w:val="center"/>
            </w:pPr>
            <w:r>
              <w:rPr>
                <w:color w:val="1E293B"/>
                <w:sz w:val="19"/>
              </w:rPr>
              <w:t>₦145,000</w:t>
            </w:r>
          </w:p>
        </w:tc>
        <w:tc>
          <w:tcPr>
            <w:tcW w:type="dxa" w:w="1881"/>
            <w:shd w:val="clear" w:color="auto" w:fill="e2e8f0"/>
          </w:tcPr>
          <w:p>
            <w:pPr>
              <w:jc w:val="center"/>
            </w:pPr>
            <w:r>
              <w:rPr>
                <w:color w:val="1E293B"/>
                <w:sz w:val="19"/>
              </w:rPr>
              <w:t>↓ Improving</w:t>
            </w:r>
          </w:p>
        </w:tc>
      </w:tr>
      <w:tr>
        <w:tc>
          <w:tcPr>
            <w:tcW w:type="dxa" w:w="1881"/>
            <w:shd w:val="clear" w:color="auto" w:fill="f8fafc"/>
          </w:tcPr>
          <w:p>
            <w:pPr>
              <w:jc w:val="left"/>
            </w:pPr>
            <w:r>
              <w:rPr>
                <w:color w:val="1E293B"/>
                <w:sz w:val="19"/>
              </w:rPr>
              <w:t>Invoice Collection Rate</w:t>
            </w:r>
          </w:p>
        </w:tc>
        <w:tc>
          <w:tcPr>
            <w:tcW w:type="dxa" w:w="1881"/>
            <w:shd w:val="clear" w:color="auto" w:fill="f8fafc"/>
          </w:tcPr>
          <w:p>
            <w:pPr>
              <w:jc w:val="center"/>
            </w:pPr>
            <w:r>
              <w:rPr>
                <w:color w:val="1E293B"/>
                <w:sz w:val="19"/>
              </w:rPr>
              <w:t>62%</w:t>
            </w:r>
          </w:p>
        </w:tc>
        <w:tc>
          <w:tcPr>
            <w:tcW w:type="dxa" w:w="1881"/>
            <w:shd w:val="clear" w:color="auto" w:fill="f8fafc"/>
          </w:tcPr>
          <w:p>
            <w:pPr>
              <w:jc w:val="center"/>
            </w:pPr>
            <w:r>
              <w:rPr>
                <w:color w:val="1E293B"/>
                <w:sz w:val="19"/>
              </w:rPr>
              <w:t>78%</w:t>
            </w:r>
          </w:p>
        </w:tc>
        <w:tc>
          <w:tcPr>
            <w:tcW w:type="dxa" w:w="1881"/>
            <w:shd w:val="clear" w:color="auto" w:fill="f8fafc"/>
          </w:tcPr>
          <w:p>
            <w:pPr>
              <w:jc w:val="center"/>
            </w:pPr>
            <w:r>
              <w:rPr>
                <w:color w:val="1E293B"/>
                <w:sz w:val="19"/>
              </w:rPr>
              <w:t>91%</w:t>
            </w:r>
          </w:p>
        </w:tc>
        <w:tc>
          <w:tcPr>
            <w:tcW w:type="dxa" w:w="1881"/>
            <w:shd w:val="clear" w:color="auto" w:fill="f8fafc"/>
          </w:tcPr>
          <w:p>
            <w:pPr>
              <w:jc w:val="center"/>
            </w:pPr>
            <w:r>
              <w:rPr>
                <w:color w:val="1E293B"/>
                <w:sz w:val="19"/>
              </w:rPr>
              <w:t>↑ Strong</w:t>
            </w:r>
          </w:p>
        </w:tc>
      </w:tr>
      <w:tr>
        <w:tc>
          <w:tcPr>
            <w:tcW w:type="dxa" w:w="1881"/>
            <w:shd w:val="clear" w:color="auto" w:fill="e2e8f0"/>
          </w:tcPr>
          <w:p>
            <w:pPr>
              <w:jc w:val="left"/>
            </w:pPr>
            <w:r>
              <w:rPr>
                <w:color w:val="1E293B"/>
                <w:sz w:val="19"/>
              </w:rPr>
              <w:t>Cash Flow Position</w:t>
            </w:r>
          </w:p>
        </w:tc>
        <w:tc>
          <w:tcPr>
            <w:tcW w:type="dxa" w:w="1881"/>
            <w:shd w:val="clear" w:color="auto" w:fill="e2e8f0"/>
          </w:tcPr>
          <w:p>
            <w:pPr>
              <w:jc w:val="center"/>
            </w:pPr>
            <w:r>
              <w:rPr>
                <w:color w:val="1E293B"/>
                <w:sz w:val="19"/>
              </w:rPr>
              <w:t>Tight</w:t>
            </w:r>
          </w:p>
        </w:tc>
        <w:tc>
          <w:tcPr>
            <w:tcW w:type="dxa" w:w="1881"/>
            <w:shd w:val="clear" w:color="auto" w:fill="e2e8f0"/>
          </w:tcPr>
          <w:p>
            <w:pPr>
              <w:jc w:val="center"/>
            </w:pPr>
            <w:r>
              <w:rPr>
                <w:color w:val="1E293B"/>
                <w:sz w:val="19"/>
              </w:rPr>
              <w:t>Stable</w:t>
            </w:r>
          </w:p>
        </w:tc>
        <w:tc>
          <w:tcPr>
            <w:tcW w:type="dxa" w:w="1881"/>
            <w:shd w:val="clear" w:color="auto" w:fill="e2e8f0"/>
          </w:tcPr>
          <w:p>
            <w:pPr>
              <w:jc w:val="center"/>
            </w:pPr>
            <w:r>
              <w:rPr>
                <w:color w:val="1E293B"/>
                <w:sz w:val="19"/>
              </w:rPr>
              <w:t>Positive</w:t>
            </w:r>
          </w:p>
        </w:tc>
        <w:tc>
          <w:tcPr>
            <w:tcW w:type="dxa" w:w="1881"/>
            <w:shd w:val="clear" w:color="auto" w:fill="e2e8f0"/>
          </w:tcPr>
          <w:p>
            <w:pPr>
              <w:jc w:val="center"/>
            </w:pPr>
            <w:r>
              <w:rPr>
                <w:color w:val="1E293B"/>
                <w:sz w:val="19"/>
              </w:rPr>
              <w:t>↑ Healthy</w:t>
            </w:r>
          </w:p>
        </w:tc>
      </w:tr>
      <w:tr>
        <w:tc>
          <w:tcPr>
            <w:tcW w:type="dxa" w:w="1881"/>
            <w:shd w:val="clear" w:color="auto" w:fill="f8fafc"/>
          </w:tcPr>
          <w:p>
            <w:pPr>
              <w:jc w:val="left"/>
            </w:pPr>
            <w:r>
              <w:rPr>
                <w:color w:val="1E293B"/>
                <w:sz w:val="19"/>
              </w:rPr>
              <w:t>Current Ratio</w:t>
            </w:r>
          </w:p>
        </w:tc>
        <w:tc>
          <w:tcPr>
            <w:tcW w:type="dxa" w:w="1881"/>
            <w:shd w:val="clear" w:color="auto" w:fill="f8fafc"/>
          </w:tcPr>
          <w:p>
            <w:pPr>
              <w:jc w:val="center"/>
            </w:pPr>
            <w:r>
              <w:rPr>
                <w:color w:val="1E293B"/>
                <w:sz w:val="19"/>
              </w:rPr>
              <w:t>0.82</w:t>
            </w:r>
          </w:p>
        </w:tc>
        <w:tc>
          <w:tcPr>
            <w:tcW w:type="dxa" w:w="1881"/>
            <w:shd w:val="clear" w:color="auto" w:fill="f8fafc"/>
          </w:tcPr>
          <w:p>
            <w:pPr>
              <w:jc w:val="center"/>
            </w:pPr>
            <w:r>
              <w:rPr>
                <w:color w:val="1E293B"/>
                <w:sz w:val="19"/>
              </w:rPr>
              <w:t>1.14</w:t>
            </w:r>
          </w:p>
        </w:tc>
        <w:tc>
          <w:tcPr>
            <w:tcW w:type="dxa" w:w="1881"/>
            <w:shd w:val="clear" w:color="auto" w:fill="f8fafc"/>
          </w:tcPr>
          <w:p>
            <w:pPr>
              <w:jc w:val="center"/>
            </w:pPr>
            <w:r>
              <w:rPr>
                <w:color w:val="1E293B"/>
                <w:sz w:val="19"/>
              </w:rPr>
              <w:t>1.47</w:t>
            </w:r>
          </w:p>
        </w:tc>
        <w:tc>
          <w:tcPr>
            <w:tcW w:type="dxa" w:w="1881"/>
            <w:shd w:val="clear" w:color="auto" w:fill="f8fafc"/>
          </w:tcPr>
          <w:p>
            <w:pPr>
              <w:jc w:val="center"/>
            </w:pPr>
            <w:r>
              <w:rPr>
                <w:color w:val="1E293B"/>
                <w:sz w:val="19"/>
              </w:rPr>
              <w:t>↑ Above threshold</w:t>
            </w:r>
          </w:p>
        </w:tc>
      </w:tr>
      <w:tr>
        <w:tc>
          <w:tcPr>
            <w:tcW w:type="dxa" w:w="1881"/>
            <w:shd w:val="clear" w:color="auto" w:fill="e2e8f0"/>
          </w:tcPr>
          <w:p>
            <w:pPr>
              <w:jc w:val="left"/>
            </w:pPr>
            <w:r>
              <w:rPr>
                <w:color w:val="1E293B"/>
                <w:sz w:val="19"/>
              </w:rPr>
              <w:t>Debt-to-Equity</w:t>
            </w:r>
          </w:p>
        </w:tc>
        <w:tc>
          <w:tcPr>
            <w:tcW w:type="dxa" w:w="1881"/>
            <w:shd w:val="clear" w:color="auto" w:fill="e2e8f0"/>
          </w:tcPr>
          <w:p>
            <w:pPr>
              <w:jc w:val="center"/>
            </w:pPr>
            <w:r>
              <w:rPr>
                <w:color w:val="1E293B"/>
                <w:sz w:val="19"/>
              </w:rPr>
              <w:t>1.8</w:t>
            </w:r>
          </w:p>
        </w:tc>
        <w:tc>
          <w:tcPr>
            <w:tcW w:type="dxa" w:w="1881"/>
            <w:shd w:val="clear" w:color="auto" w:fill="e2e8f0"/>
          </w:tcPr>
          <w:p>
            <w:pPr>
              <w:jc w:val="center"/>
            </w:pPr>
            <w:r>
              <w:rPr>
                <w:color w:val="1E293B"/>
                <w:sz w:val="19"/>
              </w:rPr>
              <w:t>1.2</w:t>
            </w:r>
          </w:p>
        </w:tc>
        <w:tc>
          <w:tcPr>
            <w:tcW w:type="dxa" w:w="1881"/>
            <w:shd w:val="clear" w:color="auto" w:fill="e2e8f0"/>
          </w:tcPr>
          <w:p>
            <w:pPr>
              <w:jc w:val="center"/>
            </w:pPr>
            <w:r>
              <w:rPr>
                <w:color w:val="1E293B"/>
                <w:sz w:val="19"/>
              </w:rPr>
              <w:t>0.7</w:t>
            </w:r>
          </w:p>
        </w:tc>
        <w:tc>
          <w:tcPr>
            <w:tcW w:type="dxa" w:w="1881"/>
            <w:shd w:val="clear" w:color="auto" w:fill="e2e8f0"/>
          </w:tcPr>
          <w:p>
            <w:pPr>
              <w:jc w:val="center"/>
            </w:pPr>
            <w:r>
              <w:rPr>
                <w:color w:val="1E293B"/>
                <w:sz w:val="19"/>
              </w:rPr>
              <w:t>↓ Improving</w:t>
            </w:r>
          </w:p>
        </w:tc>
      </w:tr>
      <w:tr>
        <w:tc>
          <w:tcPr>
            <w:tcW w:type="dxa" w:w="1881"/>
            <w:shd w:val="clear" w:color="auto" w:fill="f8fafc"/>
          </w:tcPr>
          <w:p>
            <w:pPr>
              <w:jc w:val="left"/>
            </w:pPr>
            <w:r>
              <w:rPr>
                <w:color w:val="1E293B"/>
                <w:sz w:val="19"/>
              </w:rPr>
              <w:t>Financial Health Score</w:t>
            </w:r>
          </w:p>
        </w:tc>
        <w:tc>
          <w:tcPr>
            <w:tcW w:type="dxa" w:w="1881"/>
            <w:shd w:val="clear" w:color="auto" w:fill="f8fafc"/>
          </w:tcPr>
          <w:p>
            <w:pPr>
              <w:jc w:val="center"/>
            </w:pPr>
            <w:r>
              <w:rPr>
                <w:color w:val="1E293B"/>
                <w:sz w:val="19"/>
              </w:rPr>
              <w:t>42/100</w:t>
            </w:r>
          </w:p>
        </w:tc>
        <w:tc>
          <w:tcPr>
            <w:tcW w:type="dxa" w:w="1881"/>
            <w:shd w:val="clear" w:color="auto" w:fill="f8fafc"/>
          </w:tcPr>
          <w:p>
            <w:pPr>
              <w:jc w:val="center"/>
            </w:pPr>
            <w:r>
              <w:rPr>
                <w:color w:val="1E293B"/>
                <w:sz w:val="19"/>
              </w:rPr>
              <w:t>61/100</w:t>
            </w:r>
          </w:p>
        </w:tc>
        <w:tc>
          <w:tcPr>
            <w:tcW w:type="dxa" w:w="1881"/>
            <w:shd w:val="clear" w:color="auto" w:fill="f8fafc"/>
          </w:tcPr>
          <w:p>
            <w:pPr>
              <w:jc w:val="center"/>
            </w:pPr>
            <w:r>
              <w:rPr>
                <w:color w:val="1E293B"/>
                <w:sz w:val="19"/>
              </w:rPr>
              <w:t>78/100</w:t>
            </w:r>
          </w:p>
        </w:tc>
        <w:tc>
          <w:tcPr>
            <w:tcW w:type="dxa" w:w="1881"/>
            <w:shd w:val="clear" w:color="auto" w:fill="f8fafc"/>
          </w:tcPr>
          <w:p>
            <w:pPr>
              <w:jc w:val="center"/>
            </w:pPr>
            <w:r>
              <w:rPr>
                <w:color w:val="1E293B"/>
                <w:sz w:val="19"/>
              </w:rPr>
              <w:t>↑ Low → Good</w:t>
            </w:r>
          </w:p>
        </w:tc>
      </w:tr>
    </w:tbl>
    <w:p/>
    <w:p>
      <w:pPr>
        <w:spacing w:after="120" w:before="40"/>
      </w:pPr>
      <w:r>
        <w:rPr>
          <w:i/>
          <w:color w:val="64748B"/>
          <w:sz w:val="21"/>
        </w:rPr>
        <w:t>Credit Officer Assessment: This business demonstrates consistent revenue growth (+97.6%), improving profitability (15.3% → 32.1% net margin), strong invoice collection improvement (62% → 91%), and a financial health trajectory from 'marginal' to 'good' over 6 months. The 6-month data record provides sufficient basis for a credit decision. Recommended loan assessment: ₦2.5M working capital facility.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