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B1F3A"/>
            <w:tcBorders>
              <w:top w:val="single" w:sz="12" w:space="0" w:color="0B1F3A"/>
              <w:left w:val="single" w:sz="12" w:space="0" w:color="0B1F3A"/>
              <w:bottom w:val="single" w:sz="12" w:space="0" w:color="0B1F3A"/>
              <w:right w:val="single" w:sz="12" w:space="0" w:color="0B1F3A"/>
            </w:tcBorders>
          </w:tcPr>
          <w:p>
            <w:pPr>
              <w:jc w:val="center"/>
            </w:pPr>
            <w:r>
              <w:rPr>
                <w:b/>
                <w:color w:val="FFFFFF"/>
                <w:sz w:val="32"/>
              </w:rPr>
              <w:t>QUAERENS LTD</w:t>
              <w:br/>
              <w:t>Updated Professional Client Assessment Report</w:t>
              <w:br/>
              <w:t>Static Caravan / Holiday Park Claim Review</w:t>
            </w:r>
          </w:p>
        </w:tc>
      </w:tr>
    </w:tbl>
    <w:p/>
    <w:tbl>
      <w:tblPr>
        <w:tblW w:type="auto" w:w="0"/>
        <w:jc w:val="center"/>
        <w:tblLook w:firstColumn="1" w:firstRow="1" w:lastColumn="0" w:lastRow="0" w:noHBand="0" w:noVBand="1" w:val="04A0"/>
      </w:tblPr>
      <w:tblGrid>
        <w:gridCol w:w="5040"/>
        <w:gridCol w:w="5040"/>
      </w:tblGrid>
      <w:tr>
        <w:tc>
          <w:tcPr>
            <w:tcW w:type="dxa" w:w="5040"/>
            <w:shd w:fill="F7FBFF"/>
            <w:tcBorders>
              <w:top w:val="single" w:sz="8" w:space="0" w:color="D9E5F2"/>
              <w:left w:val="single" w:sz="8" w:space="0" w:color="D9E5F2"/>
              <w:bottom w:val="single" w:sz="8" w:space="0" w:color="D9E5F2"/>
              <w:right w:val="single" w:sz="8" w:space="0" w:color="D9E5F2"/>
            </w:tcBorders>
            <w:vAlign w:val="center"/>
          </w:tcPr>
          <w:p>
            <w:pPr>
              <w:spacing w:after="40" w:line="259" w:lineRule="auto"/>
            </w:pPr>
            <w:r/>
            <w:r>
              <w:rPr>
                <w:b w:val="0"/>
                <w:color w:val="000000"/>
                <w:sz w:val="20"/>
              </w:rPr>
              <w:t>Client</w:t>
              <w:br/>
              <w:t>Kennedy Vaughan / Nicola Vaughan</w:t>
              <w:br/>
              <w:t>1 Forder Grove</w:t>
              <w:br/>
              <w:t>Birmingham</w:t>
              <w:br/>
              <w:t>West Midlands</w:t>
              <w:br/>
              <w:t>B14 5JN</w:t>
            </w:r>
          </w:p>
        </w:tc>
        <w:tc>
          <w:tcPr>
            <w:tcW w:type="dxa" w:w="5040"/>
            <w:shd w:fill="F7FBFF"/>
            <w:tcBorders>
              <w:top w:val="single" w:sz="8" w:space="0" w:color="D9E5F2"/>
              <w:left w:val="single" w:sz="8" w:space="0" w:color="D9E5F2"/>
              <w:bottom w:val="single" w:sz="8" w:space="0" w:color="D9E5F2"/>
              <w:right w:val="single" w:sz="8" w:space="0" w:color="D9E5F2"/>
            </w:tcBorders>
            <w:vAlign w:val="center"/>
          </w:tcPr>
          <w:p>
            <w:pPr>
              <w:spacing w:after="40" w:line="259" w:lineRule="auto"/>
            </w:pPr>
            <w:r/>
            <w:r>
              <w:rPr>
                <w:b w:val="0"/>
                <w:color w:val="000000"/>
                <w:sz w:val="20"/>
              </w:rPr>
              <w:t>Prepared for</w:t>
              <w:br/>
              <w:t>Updated claim assessment and evidence review</w:t>
              <w:br/>
              <w:t>Date prepared: 3 July 2026</w:t>
              <w:br/>
              <w:t>Matter: Haven / Hopton static caravan dispute</w:t>
            </w:r>
          </w:p>
        </w:tc>
      </w:tr>
    </w:tbl>
    <w:p/>
    <w:tbl>
      <w:tblPr>
        <w:tblW w:type="auto" w:w="0"/>
        <w:jc w:val="center"/>
        <w:tblLook w:firstColumn="1" w:firstRow="1" w:lastColumn="0" w:lastRow="0" w:noHBand="0" w:noVBand="1" w:val="04A0"/>
      </w:tblPr>
      <w:tblGrid>
        <w:gridCol w:w="10080"/>
      </w:tblGrid>
      <w:tr>
        <w:tc>
          <w:tcPr>
            <w:tcW w:type="dxa" w:w="10080"/>
            <w:shd w:fill="FFF2CC"/>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Important status note:</w:t>
            </w:r>
          </w:p>
          <w:p>
            <w:pPr>
              <w:spacing w:after="60" w:line="264" w:lineRule="auto"/>
            </w:pPr>
            <w:r>
              <w:rPr>
                <w:sz w:val="20"/>
              </w:rPr>
              <w:t>This is an initial assessment prepared from the client bundle, new zip files, Hopton SAR workbook, insurance schedule and complaint letter. It is not legal advice and does not guarantee recovery. The matter should be reviewed by an appropriate legal partner before any formal proceedings are issued.</w:t>
            </w:r>
          </w:p>
        </w:tc>
      </w:tr>
    </w:tbl>
    <w:p/>
    <w:p>
      <w:pPr>
        <w:pStyle w:val="Heading1"/>
        <w:spacing w:before="240" w:after="120"/>
      </w:pPr>
      <w:r>
        <w:rPr>
          <w:rFonts w:ascii="Calibri" w:hAnsi="Calibri"/>
          <w:color w:val="005BAA"/>
          <w:sz w:val="30"/>
        </w:rPr>
        <w:t>1. Evidence Newly Reviewed</w:t>
      </w:r>
    </w:p>
    <w:tbl>
      <w:tblPr>
        <w:tblW w:type="auto" w:w="0"/>
        <w:jc w:val="center"/>
        <w:tblLayout w:type="fixed"/>
        <w:tblLook w:firstColumn="1" w:firstRow="1" w:lastColumn="0" w:lastRow="0" w:noHBand="0" w:noVBand="1" w:val="04A0"/>
      </w:tblPr>
      <w:tblGrid>
        <w:gridCol w:w="5040"/>
        <w:gridCol w:w="5040"/>
      </w:tblGrid>
      <w:tr>
        <w:tc>
          <w:tcPr>
            <w:tcW w:type="dxa" w:w="259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Source</w:t>
            </w:r>
          </w:p>
        </w:tc>
        <w:tc>
          <w:tcPr>
            <w:tcW w:type="dxa" w:w="705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What it adds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16 new zip files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193 Word files extracted; 98 unique document texts after duplicates. Mostly trial-bundle drafts, witness drafts, chronology, indexes, issue lists, relief and handover checklists.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Hopton workbook</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25 sheets of Haven account, contact, complaint, finance, payment and activity records.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 PDF</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Confirms insurance schedule information, caravan make/model and plot number.</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to Hopton document</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Adds the client's own narrative, purchase/upgrade figures, snagging history, site fee dispute and desired resolution background.</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Latest 13 client documents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Adds focused statements on Haven's knowledge, reliance, promises, human impact, complaints, snagging and an evidence-based Schedule of Loss.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PDF</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Appears image-only/scanned on text extraction; no reliable text could be extracted without OCR or manual visual review.</w:t>
            </w:r>
          </w:p>
        </w:tc>
      </w:tr>
    </w:tbl>
    <w:p/>
    <w:p>
      <w:pPr>
        <w:pStyle w:val="Heading1"/>
        <w:spacing w:before="240" w:after="120"/>
      </w:pPr>
      <w:r>
        <w:rPr>
          <w:rFonts w:ascii="Calibri" w:hAnsi="Calibri"/>
          <w:color w:val="005BAA"/>
          <w:sz w:val="30"/>
        </w:rPr>
        <w:t>2. Client and Account Information</w:t>
      </w:r>
    </w:p>
    <w:tbl>
      <w:tblPr>
        <w:tblW w:type="auto" w:w="0"/>
        <w:jc w:val="center"/>
        <w:tblLayout w:type="fixed"/>
        <w:tblLook w:firstColumn="1" w:firstRow="1" w:lastColumn="0" w:lastRow="0" w:noHBand="0" w:noVBand="1" w:val="04A0"/>
      </w:tblPr>
      <w:tblGrid>
        <w:gridCol w:w="5040"/>
        <w:gridCol w:w="5040"/>
      </w:tblGrid>
      <w:tr>
        <w:tc>
          <w:tcPr>
            <w:tcW w:type="dxa" w:w="237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Field</w:t>
            </w:r>
          </w:p>
        </w:tc>
        <w:tc>
          <w:tcPr>
            <w:tcW w:type="dxa" w:w="727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Confirmed / evidenced information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names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Kennedy Vaughan and Nicola Vaughan appear in Haven/SAR records. The insurance schedule names Mrs Nicola Vaughan with Mr Vaughan as additional policy holder.</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Address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Forder Grove, Birmingham, West Midlands, B14 5JN.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Telephone records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telephone entries ending 7772237667 and later 7547917159. Full client-confirmed current number remains to be checked.</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Emails seen</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nicolaemmavaughan@icloud.com, cliffordcox@blueyonder.co.uk, kennedy.vaughan@aseeltd.com and ken@volgainvestmentltd.com appear in disclosed records.</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account</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Holiday Village account number HO055639.</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Park</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Holiday Village, Great Yarmouth, Norfolk, NR31 9BW.</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Pitch / plot</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Plot number 31 is confirmed by the insurance schedule. Complaint letter refers to pitch 31 Shorfield.</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Caravan details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 schedule lists make Regal and model Symphony. Structure and contents value shown as GBP 85,000.</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Policy number CETASLH/1267420. Underwritten by AIG Europe Limited via Towergate. Renewal date 31/05/2019. Total premium GBP 210.39.</w:t>
            </w:r>
          </w:p>
        </w:tc>
      </w:tr>
    </w:tbl>
    <w:p/>
    <w:p>
      <w:pPr>
        <w:pStyle w:val="Heading1"/>
        <w:spacing w:before="240" w:after="120"/>
      </w:pPr>
      <w:r>
        <w:rPr>
          <w:rFonts w:ascii="Calibri" w:hAnsi="Calibri"/>
          <w:color w:val="005BAA"/>
          <w:sz w:val="30"/>
        </w:rPr>
        <w:t>3. Executive Summary</w:t>
      </w:r>
    </w:p>
    <w:p>
      <w:pPr>
        <w:spacing w:after="140" w:line="269" w:lineRule="auto"/>
      </w:pPr>
      <w:r>
        <w:t>The new material materially improves the factual basis of the report. It confirms the Hopton account, address, contact history, caravan make/model, plot number, complaint history, finance involvement and several payment/account entries. The latest client documents also strengthen the evidence around reliance, Haven's alleged knowledge of the family's circumstances, the snagging position, complaints and human impact.</w:t>
      </w:r>
    </w:p>
    <w:p>
      <w:pPr>
        <w:spacing w:after="140" w:line="269" w:lineRule="auto"/>
      </w:pPr>
      <w:r>
        <w:t>The core complaint remains that Mr and Mrs Vaughan purchased and then upgraded a static caravan at Haven Hopton after relying on representations and assurances that identified defects and snagging would be resolved. Their own complaint letter says the second caravan was an older three-bedroom van, that they stayed on pitch 31 Shorfield, and that they were told to make a list of snags which would be sorted within three weeks.</w:t>
      </w:r>
    </w:p>
    <w:p>
      <w:pPr>
        <w:spacing w:after="140" w:line="269" w:lineRule="auto"/>
      </w:pPr>
      <w:r>
        <w:t>The complaint letter states that more than 80 snags were listed, that many remained unresolved over two seasons, that the caravan was not fit for purpose, and that the family lost the practical enjoyment of the caravan during a period when their son was seriously ill. Haven's own SAR workbook records a complaint created on 30 July 2018 and later reopening/closure activity in November 2019.</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Updated assessment:</w:t>
            </w:r>
          </w:p>
          <w:p>
            <w:pPr>
              <w:spacing w:after="60" w:line="264" w:lineRule="auto"/>
            </w:pPr>
            <w:r>
              <w:rPr>
                <w:sz w:val="20"/>
              </w:rPr>
              <w:t>Preliminary strength: stronger than before. The case now has documentary support for identity, account, park, complaint dates, finance records, snagging position and some SAR-backed losses. The main remaining risk is still legal review, limitation and proof: exact contract terms, final disposal/refund figures, finance settlement documents and original exhibit-level proof are still needed.</w:t>
            </w:r>
          </w:p>
        </w:tc>
      </w:tr>
    </w:tbl>
    <w:p/>
    <w:p>
      <w:pPr>
        <w:pStyle w:val="Heading1"/>
        <w:spacing w:before="240" w:after="120"/>
      </w:pPr>
      <w:r>
        <w:rPr>
          <w:rFonts w:ascii="Calibri" w:hAnsi="Calibri"/>
          <w:color w:val="005BAA"/>
          <w:sz w:val="30"/>
        </w:rPr>
        <w:t>4. Key Chronology</w:t>
      </w:r>
    </w:p>
    <w:tbl>
      <w:tblPr>
        <w:tblW w:type="auto" w:w="0"/>
        <w:jc w:val="center"/>
        <w:tblLayout w:type="fixed"/>
        <w:tblLook w:firstColumn="1" w:firstRow="1" w:lastColumn="0" w:lastRow="0" w:noHBand="0" w:noVBand="1" w:val="04A0"/>
      </w:tblPr>
      <w:tblGrid>
        <w:gridCol w:w="5040"/>
        <w:gridCol w:w="5040"/>
      </w:tblGrid>
      <w:tr>
        <w:tc>
          <w:tcPr>
            <w:tcW w:type="dxa" w:w="223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Date / period</w:t>
            </w:r>
          </w:p>
        </w:tc>
        <w:tc>
          <w:tcPr>
            <w:tcW w:type="dxa" w:w="741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Event / evidence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28 Sep 2016</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 created for Mrs Nicola Vaughan at 1 Forder Grove, Birmingham.</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14 Apr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Sales/contact notes record Mr Vaughan looking to purchase, with family circumstances and finance discussion noted.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29 Apr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appointment recorded as made and kept.</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records show sale activity and card payments of GBP 3,000 and GBP 2,000.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Finance/deposit entries for sale HO00B8BE: Evergreen Finance Ltd, agreement 12022154, finance GBP 33,750, deposit GBP 5,000 and due later GBP 7,500.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30/31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Records show BACS payment GBP 7,500 and finance received GBP 33,750.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2017 ownership period</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complaint says first purchase was approximately GBP 48,000 and was initially satisfactory but too small for family needs.</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May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Upgrade/sale records show finance entries around GBP 29,000 and a GBP 2,000 card payment. Complaint letter states the second upgrade was approximately GBP 61,000.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June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records show finance received GBP 29,000 for Evergreen agreement 12022646.</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30 Jul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complaint created/received and emails acknowledged. Complaint subject: owner part-exchange June 2018, many snagging issues not resolved, alleged breach and not fit for purpose.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2018 season</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says more than 80 snags were listed and many remained unresolved, causing the family to stay away while full site fees and bills were paid.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7 Feb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GBP 4,000 credit card payment received. Client says this was paid while withholding the balance until snags were completed.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Aug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contain termination letter for overdue balance GBP 4,657.15 and letter to Evergreen Finance confirming termination and storage/removal position.</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8 Sep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letter says defects remained, disconnection charge had been applied, services remained connected and the client attended to clear site.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12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complaint closed. Internal note says complaint closed/no response sent because Gareth B was dealing with it by email.</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19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financial records show OLP entries including finance company payment GBP 26,220.83, caravan debtor rent GBP -44,652.63 and rent cheque payment GBP 13,671.11.</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26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email explains rent ledger balance of GBP 4,503.91 and refers to refund shown on owner leaving park form.</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2025/2026</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Later SAR bundle indicates subject access and disclosure activity, with delayed disclosure concerns already captured in the prior report.</w:t>
            </w:r>
          </w:p>
        </w:tc>
      </w:tr>
    </w:tbl>
    <w:p/>
    <w:p>
      <w:pPr>
        <w:pStyle w:val="Heading1"/>
        <w:spacing w:before="240" w:after="120"/>
      </w:pPr>
      <w:r>
        <w:rPr>
          <w:rFonts w:ascii="Calibri" w:hAnsi="Calibri"/>
          <w:color w:val="005BAA"/>
          <w:sz w:val="30"/>
        </w:rPr>
        <w:t>5. Financial and Loss Indicators</w:t>
      </w:r>
    </w:p>
    <w:p>
      <w:pPr>
        <w:spacing w:after="140" w:line="269" w:lineRule="auto"/>
      </w:pPr>
      <w:r>
        <w:t>The new files now include both a general Schedule of Loss and an evidence-based Schedule of Loss prepared from SAR data. It remains a working schedule, but it gives a much clearer starting point for legal review.</w:t>
      </w:r>
    </w:p>
    <w:tbl>
      <w:tblPr>
        <w:tblW w:type="auto" w:w="0"/>
        <w:jc w:val="center"/>
        <w:tblLayout w:type="fixed"/>
        <w:tblLook w:firstColumn="1" w:firstRow="1" w:lastColumn="0" w:lastRow="0" w:noHBand="0" w:noVBand="1" w:val="04A0"/>
      </w:tblPr>
      <w:tblGrid>
        <w:gridCol w:w="5040"/>
        <w:gridCol w:w="5040"/>
      </w:tblGrid>
      <w:tr>
        <w:tc>
          <w:tcPr>
            <w:tcW w:type="dxa" w:w="252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Loss / figure</w:t>
            </w:r>
          </w:p>
        </w:tc>
        <w:tc>
          <w:tcPr>
            <w:tcW w:type="dxa" w:w="712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Evidence / status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First caravan purchase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complaint states approximately GBP 48,000. Needs contract/invoice confirmation.</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Part exchange / value returned</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Julia Mills gave GBP 29,000 back, leaving the client feeling tied into an upgrade and losing nearly GBP 20,000. Needs supporting sales/part-exchange documents.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Second upgrade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approximately GBP 61,000 for the older three-bedroom replacement caravan.</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schedule entries</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latest evidence-based Schedule of Loss records GBP 3,000 and GBP 2,000 card payments on 01/05/2017, GBP 5,000 deposit, GBP 33,750 finance and GBP 7,500 balance due later.</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Further SAR-backed charges</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Schedule records GBP 6,331.62 card payment on 30/01/2018, annual site fees GBP 5,863, caravan insurance GBP 310.95, contents insurance GBP 33.88, electricity GBP 60.74, metered gas GBP 72.99, non-domestic rates GBP 220.91 and water/sewerage GBP 437.10.</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Site fees / bills</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over GBP 7,000 paid for site fees including bills while the caravan was not fit for purpose. SAR ledger entries show annual site fees GBP 5,863 in 2017 and GBP 6,150 in 2018 plus utilities/rates.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2019 payment withheld/paid</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says GBP 4,000 was paid in January 2019; SAR records show GBP 4,000 card payment received on 7 February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Overdue balance / termination</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Termination letter in SAR record shows overdue balance GBP 4,657.15 on 1 August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Disconnection fee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Haven charged GBP 160; SAR ledger shows service/disconnection entry GBP 139.34 on 31 July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Decking/veranda</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decking cost was over GBP 10,000 and that the client believed it belonged to them. Needs invoice/contract proof.</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 settlement</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records show Evergreen Finance Ltd agreement 12022646 and a later payment to finance company of GBP 26,220.83. Finance agreement and settlement statement needed.</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Refund / leaving park</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email refers to refund on owner leaving park form and rent ledger balance GBP 4,503.91. Owner leaving park form and cheque/refund detail still needed.</w:t>
            </w:r>
          </w:p>
        </w:tc>
      </w:tr>
    </w:tbl>
    <w:p/>
    <w:p>
      <w:pPr>
        <w:pStyle w:val="Heading1"/>
        <w:spacing w:before="240" w:after="120"/>
      </w:pPr>
      <w:r>
        <w:rPr>
          <w:rFonts w:ascii="Calibri" w:hAnsi="Calibri"/>
          <w:color w:val="005BAA"/>
          <w:sz w:val="30"/>
        </w:rPr>
        <w:t>6. Core Liability Themes</w:t>
      </w:r>
    </w:p>
    <w:p>
      <w:pPr>
        <w:pStyle w:val="ListBullet"/>
        <w:spacing w:after="80" w:line="264" w:lineRule="auto"/>
      </w:pPr>
      <w:r>
        <w:t>Misrepresentation / reliance: the client says he was told snagging would be completed within three weeks and relied on that assurance when proceeding.</w:t>
      </w:r>
    </w:p>
    <w:p>
      <w:pPr>
        <w:pStyle w:val="ListBullet"/>
        <w:spacing w:after="80" w:line="264" w:lineRule="auto"/>
      </w:pPr>
      <w:r>
        <w:t>Consumer quality / fitness: the complaint says the replacement caravan was not fit for purpose because more than 80 snags were listed and many remained unresolved.</w:t>
      </w:r>
    </w:p>
    <w:p>
      <w:pPr>
        <w:pStyle w:val="ListBullet"/>
        <w:spacing w:after="80" w:line="264" w:lineRule="auto"/>
      </w:pPr>
      <w:r>
        <w:t>Failure to repair within a reasonable time: client narrative and SAR complaint history suggest repeated opportunities were given.</w:t>
      </w:r>
    </w:p>
    <w:p>
      <w:pPr>
        <w:pStyle w:val="ListBullet"/>
        <w:spacing w:after="80" w:line="264" w:lineRule="auto"/>
      </w:pPr>
      <w:r>
        <w:t>Complaint handling: Haven records show complaint creation, acknowledgement, reopening and closure, including an internal note that no customer relations response was sent because another manager was dealing with it.</w:t>
      </w:r>
    </w:p>
    <w:p>
      <w:pPr>
        <w:pStyle w:val="ListBullet"/>
        <w:spacing w:after="80" w:line="264" w:lineRule="auto"/>
      </w:pPr>
      <w:r>
        <w:t>Finance-linked consequences: Evergreen Finance Ltd and agreement numbers are now confirmed in the SAR records, which may be relevant to liability route and recoverability.</w:t>
      </w:r>
    </w:p>
    <w:p>
      <w:pPr>
        <w:pStyle w:val="ListBullet"/>
        <w:spacing w:after="80" w:line="264" w:lineRule="auto"/>
      </w:pPr>
      <w:r>
        <w:t>Knowledge and vulnerability context: the latest documents state that Haven representatives were aware of Mr Vaughan's recovery from brain aneurysms and the family's reasons for buying the caravan, including their son's serious illness.</w:t>
      </w:r>
    </w:p>
    <w:p>
      <w:pPr>
        <w:pStyle w:val="Heading1"/>
        <w:spacing w:before="240" w:after="120"/>
      </w:pPr>
      <w:r>
        <w:rPr>
          <w:rFonts w:ascii="Calibri" w:hAnsi="Calibri"/>
          <w:color w:val="005BAA"/>
          <w:sz w:val="30"/>
        </w:rPr>
        <w:t>7. Promises, Reliance and Snagging Evidence</w:t>
      </w:r>
    </w:p>
    <w:p>
      <w:pPr>
        <w:spacing w:after="140" w:line="269" w:lineRule="auto"/>
      </w:pPr>
      <w:r>
        <w:t>The latest documents provide a more focused statement of what the claimant says was promised. The key alleged representations are that the replacement caravan would be prepared to an acceptable standard before handover, snagging works would be completed promptly, the caravan would be fit for occupation, any further defects would be addressed through Haven's maintenance process, and the upgrade would provide a better standard of accommodation and ownership experience.</w:t>
      </w:r>
    </w:p>
    <w:p>
      <w:pPr>
        <w:spacing w:after="140" w:line="269" w:lineRule="auto"/>
      </w:pPr>
      <w:r>
        <w:t>The reliance position is now clearer. The claimant states that he proceeded because he trusted Haven's expertise and assurances, particularly given his personal and family circumstances at the time. Those facts may be relevant when considering whether the representations were material and whether the claimant's reliance was reasonable.</w:t>
      </w:r>
    </w:p>
    <w:tbl>
      <w:tblPr>
        <w:tblW w:type="auto" w:w="0"/>
        <w:jc w:val="center"/>
        <w:tblLayout w:type="fixed"/>
        <w:tblLook w:firstColumn="1" w:firstRow="1" w:lastColumn="0" w:lastRow="0" w:noHBand="0" w:noVBand="1" w:val="04A0"/>
      </w:tblPr>
      <w:tblGrid>
        <w:gridCol w:w="5040"/>
        <w:gridCol w:w="5040"/>
      </w:tblGrid>
      <w:tr>
        <w:tc>
          <w:tcPr>
            <w:tcW w:type="dxa" w:w="309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Snagging point</w:t>
            </w:r>
          </w:p>
        </w:tc>
        <w:tc>
          <w:tcPr>
            <w:tcW w:type="dxa" w:w="655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Current evidence position</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Approximate number of snagging items</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Latest snagging documents state approximately 71 snagging defects/items were identified.</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Timing</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documents state defects were identified during the pre-handover inspection before signing/taking possession.</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Assurance alleged</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representative allegedly assured the claimant the identified items would be completed before occupation or within a reasonable period.</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Outstanding position</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claimant states approximately 48 defects remained outstanding when the caravan was ultimately removed, and/or more than 60% remained unresolved when the family vacated/removed belongings.</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Evidence still needed</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detailed itemised snagging list, photographs, repair records, engineer reports and exhibit references still need to be indexed for solicitor review.</w:t>
            </w:r>
          </w:p>
        </w:tc>
      </w:tr>
    </w:tbl>
    <w:p/>
    <w:p>
      <w:pPr>
        <w:pStyle w:val="Heading1"/>
        <w:spacing w:before="240" w:after="120"/>
      </w:pPr>
      <w:r>
        <w:rPr>
          <w:rFonts w:ascii="Calibri" w:hAnsi="Calibri"/>
          <w:color w:val="005BAA"/>
          <w:sz w:val="30"/>
        </w:rPr>
        <w:t>8. Human Impact and Loss of Enjoyment</w:t>
      </w:r>
    </w:p>
    <w:p>
      <w:pPr>
        <w:spacing w:after="140" w:line="269" w:lineRule="auto"/>
      </w:pPr>
      <w:r>
        <w:t>The new human impact documents explain that the caravan was intended to provide a peaceful family place after Mr Vaughan's brain aneurysms and his son's serious illness. The client says Haven representatives were aware of those circumstances because they were openly discussed during the sales process.</w:t>
      </w:r>
    </w:p>
    <w:p>
      <w:pPr>
        <w:spacing w:after="140" w:line="269" w:lineRule="auto"/>
      </w:pPr>
      <w:r>
        <w:t>The loss of use was not simply financial. The client says family and friends had planned holidays and, in some cases, paid deposits, which he then had to return. The documents describe embarrassment, stress, damaged relationships, loss of confidence and the emotional burden of feeling that he had failed people close to him.</w:t>
      </w:r>
    </w:p>
    <w:p>
      <w:pPr>
        <w:spacing w:after="140" w:line="269" w:lineRule="auto"/>
      </w:pPr>
      <w:r>
        <w:t>These matters should be used carefully. They strengthen the context and loss-of-enjoyment narrative, but any formal claim for distress, inconvenience or consequential loss should be reviewed by a legal partner and supported only where recoverable.</w:t>
      </w:r>
    </w:p>
    <w:p>
      <w:pPr>
        <w:pStyle w:val="Heading1"/>
        <w:spacing w:before="240" w:after="120"/>
      </w:pPr>
      <w:r>
        <w:rPr>
          <w:rFonts w:ascii="Calibri" w:hAnsi="Calibri"/>
          <w:color w:val="005BAA"/>
          <w:sz w:val="30"/>
        </w:rPr>
        <w:t>9. Desired Outcome</w:t>
      </w:r>
    </w:p>
    <w:p>
      <w:pPr>
        <w:spacing w:after="140" w:line="269" w:lineRule="auto"/>
      </w:pPr>
      <w:r>
        <w:t>Mr Vaughan's primary objective is to obtain a fair and lawful resolution to the dispute with Haven Holidays Ltd. He seeks appropriate compensation for the financial losses suffered as a result of the purchase and subsequent upgrade of the holiday caravan, together with any additional losses that are legally recoverable.</w:t>
      </w:r>
    </w:p>
    <w:p>
      <w:pPr>
        <w:spacing w:after="140" w:line="269" w:lineRule="auto"/>
      </w:pPr>
      <w:r>
        <w:t>He also seeks recognition of the significant inconvenience, distress and prolonged period during which he attempted to resolve the matter directly with Haven before considering legal proceedings. His preference has been to resolve the dispute without litigation, but despite repeated complaints and opportunities for the matter to be addressed, this has not been achieved.</w:t>
      </w:r>
    </w:p>
    <w:p>
      <w:pPr>
        <w:pStyle w:val="ListBullet"/>
        <w:spacing w:after="80" w:line="264" w:lineRule="auto"/>
      </w:pPr>
      <w:r>
        <w:t>Recovery of financial losses established by the evidence.</w:t>
      </w:r>
    </w:p>
    <w:p>
      <w:pPr>
        <w:pStyle w:val="ListBullet"/>
        <w:spacing w:after="80" w:line="264" w:lineRule="auto"/>
      </w:pPr>
      <w:r>
        <w:t>Statutory interest where recoverable.</w:t>
      </w:r>
    </w:p>
    <w:p>
      <w:pPr>
        <w:pStyle w:val="ListBullet"/>
        <w:spacing w:after="80" w:line="264" w:lineRule="auto"/>
      </w:pPr>
      <w:r>
        <w:t>Recovery of legal costs where a court or applicable process has jurisdiction to award them.</w:t>
      </w:r>
    </w:p>
    <w:p>
      <w:pPr>
        <w:pStyle w:val="ListBullet"/>
        <w:spacing w:after="80" w:line="264" w:lineRule="auto"/>
      </w:pPr>
      <w:r>
        <w:t>Any other remedy considered fair and appropriate based on the evidence.</w:t>
      </w:r>
    </w:p>
    <w:p>
      <w:pPr>
        <w:pStyle w:val="ListBullet"/>
        <w:spacing w:after="80" w:line="264" w:lineRule="auto"/>
      </w:pPr>
      <w:r>
        <w:t>An independent and impartial assessment of the facts so that the dispute can be resolved fairly and finally.</w:t>
      </w:r>
    </w:p>
    <w:p>
      <w:pPr>
        <w:pStyle w:val="Heading1"/>
        <w:spacing w:before="240" w:after="120"/>
      </w:pPr>
      <w:r>
        <w:rPr>
          <w:rFonts w:ascii="Calibri" w:hAnsi="Calibri"/>
          <w:color w:val="005BAA"/>
          <w:sz w:val="30"/>
        </w:rPr>
        <w:t>10. Information Still Needed</w:t>
      </w:r>
    </w:p>
    <w:tbl>
      <w:tblPr>
        <w:tblW w:type="auto" w:w="0"/>
        <w:jc w:val="center"/>
        <w:tblLayout w:type="fixed"/>
        <w:tblLook w:firstColumn="1" w:firstRow="1" w:lastColumn="0" w:lastRow="0" w:noHBand="0" w:noVBand="1" w:val="04A0"/>
      </w:tblPr>
      <w:tblGrid>
        <w:gridCol w:w="5040"/>
        <w:gridCol w:w="5040"/>
      </w:tblGrid>
      <w:tr>
        <w:tc>
          <w:tcPr>
            <w:tcW w:type="dxa" w:w="316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Outstanding item</w:t>
            </w:r>
          </w:p>
        </w:tc>
        <w:tc>
          <w:tcPr>
            <w:tcW w:type="dxa" w:w="648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Why it matters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Full contract pack for both purchases/upgrades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Needed to prove exact purchase terms, price, warranties, part-exchange allowance and any exclusions.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 agreements and settlement statements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Evergreen agreements 12022154 and 12022646 are identified, but the full agreements and final settlement figures are required.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Itemised snagging list and photographs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new documents state approximately 71 items and 48 outstanding, but the exact itemised list and image evidence should be exhibited with references.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Written record of assurances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representation statement is helpful, but any email/text/note from Aaron or Haven promising completion within three weeks or before handover remains high priority.</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Owner leaving park form / final account</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mentions refund and owner leaving park form; this is needed to calculate net losses.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Decking/veranda invoice and ownership terms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complaint states over GBP 10,000 was spent and ownership/removal was disputed.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Evidence of full refund offer</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a full refund was offered at the start of the season. The exact offer should be located.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Current client contact confirmation</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contains several phone/email records. Current preferred address, phone and email should be confirmed before correspondence.</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Medical/family impact evidence if relied upon</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new human impact statements are helpful, but only relevant, proportionate supporting evidence should be used if distress/loss of enjoyment is claimed.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Limitation review</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key events are historic. A legal partner must assess limitation, concealment/knowledge arguments and the correct cause of action.</w:t>
            </w:r>
          </w:p>
        </w:tc>
      </w:tr>
    </w:tbl>
    <w:p/>
    <w:p>
      <w:pPr>
        <w:pStyle w:val="Heading1"/>
        <w:spacing w:before="240" w:after="120"/>
      </w:pPr>
      <w:r>
        <w:rPr>
          <w:rFonts w:ascii="Calibri" w:hAnsi="Calibri"/>
          <w:color w:val="005BAA"/>
          <w:sz w:val="30"/>
        </w:rPr>
        <w:t>11. Recommended Next Steps</w:t>
      </w:r>
    </w:p>
    <w:p>
      <w:pPr>
        <w:pStyle w:val="ListBullet"/>
        <w:spacing w:after="80" w:line="264" w:lineRule="auto"/>
      </w:pPr>
      <w:r>
        <w:t>Ask the client to confirm whether the current primary claimant should be Mr Kennedy Vaughan, Mrs Nicola Vaughan, or both.</w:t>
      </w:r>
    </w:p>
    <w:p>
      <w:pPr>
        <w:pStyle w:val="ListBullet"/>
        <w:spacing w:after="80" w:line="264" w:lineRule="auto"/>
      </w:pPr>
      <w:r>
        <w:t>Obtain the first and second purchase agreements, finance agreements, sales invoices, part-exchange documents and owner leaving park form.</w:t>
      </w:r>
    </w:p>
    <w:p>
      <w:pPr>
        <w:pStyle w:val="ListBullet"/>
        <w:spacing w:after="80" w:line="264" w:lineRule="auto"/>
      </w:pPr>
      <w:r>
        <w:t>Create a final Schedule of Loss using the SAR ledger, complaint figures, finance settlement, refund/cheque details, decking cost and site fees.</w:t>
      </w:r>
    </w:p>
    <w:p>
      <w:pPr>
        <w:pStyle w:val="ListBullet"/>
        <w:spacing w:after="80" w:line="264" w:lineRule="auto"/>
      </w:pPr>
      <w:r>
        <w:t>Prepare a clean exhibit index: contract documents, SAR workbook extracts, complaint letter, insurance schedule, snagging list, photos, ledger and termination letters.</w:t>
      </w:r>
    </w:p>
    <w:p>
      <w:pPr>
        <w:pStyle w:val="ListBullet"/>
        <w:spacing w:after="80" w:line="264" w:lineRule="auto"/>
      </w:pPr>
      <w:r>
        <w:t>Refer the completed evidence pack to a legal partner for limitation, liability and recoverability advice before sending any formal letter of claim.</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Conclusion:</w:t>
            </w:r>
          </w:p>
          <w:p>
            <w:pPr>
              <w:spacing w:after="60" w:line="264" w:lineRule="auto"/>
            </w:pPr>
            <w:r>
              <w:rPr>
                <w:sz w:val="20"/>
              </w:rPr>
              <w:t>This updated report is stronger than the previous version because several details previously marked TBC are now supported by the Hopton SAR workbook, insurance schedule and the latest focused client statements. The case should still not be treated as complete: contract documents, finance documents, final account/refund evidence, and exhibit-level proof remain essential.</w:t>
            </w:r>
          </w:p>
        </w:tc>
      </w:tr>
    </w:tbl>
    <w:p/>
    <w:p>
      <w:pPr>
        <w:spacing w:after="140" w:line="269" w:lineRule="auto"/>
      </w:pPr>
      <w:r>
        <w:t>Disclaimer: This report is an initial assessment only. It is based on documents provided and extracted as at the report date. It does not constitute legal advice, does not confirm that any claim will succeed and should be reviewed by a suitably authorised legal professional before formal action.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