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00.10 – Authorities &amp; Legislation Register</w:t>
      </w:r>
    </w:p>
    <w:p>
      <w:r>
        <w:t>Haven Trial Bundle</w:t>
        <w:br/>
        <w:t>Legal Research Folder</w:t>
        <w:br/>
      </w:r>
    </w:p>
    <w:p>
      <w:pPr>
        <w:pStyle w:val="Heading2"/>
      </w:pPr>
      <w:r>
        <w:t>Purpose</w:t>
      </w:r>
    </w:p>
    <w:p>
      <w:r>
        <w:t>This register records all legislation, regulations and official guidance relied upon throughout the litigation. Each authority should be linked to the relevant witness statement paragraph, exhibit and legal submission.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</w:t>
            </w:r>
          </w:p>
        </w:tc>
        <w:tc>
          <w:tcPr>
            <w:tcW w:type="dxa" w:w="1728"/>
          </w:tcPr>
          <w:p>
            <w:r>
              <w:t>Legislation / Authority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Linked Section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LA001</w:t>
            </w:r>
          </w:p>
        </w:tc>
        <w:tc>
          <w:tcPr>
            <w:tcW w:type="dxa" w:w="1728"/>
          </w:tcPr>
          <w:p>
            <w:r>
              <w:t>Consumer Rights Act 2015</w:t>
            </w:r>
          </w:p>
        </w:tc>
        <w:tc>
          <w:tcPr>
            <w:tcW w:type="dxa" w:w="1728"/>
          </w:tcPr>
          <w:p>
            <w:r>
              <w:t>Consumer rights and remedies</w:t>
            </w:r>
          </w:p>
        </w:tc>
        <w:tc>
          <w:tcPr>
            <w:tcW w:type="dxa" w:w="1728"/>
          </w:tcPr>
          <w:p>
            <w:r>
              <w:t>00.8 Legal Research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LA002</w:t>
            </w:r>
          </w:p>
        </w:tc>
        <w:tc>
          <w:tcPr>
            <w:tcW w:type="dxa" w:w="1728"/>
          </w:tcPr>
          <w:p>
            <w:r>
              <w:t>Misrepresentation Act 1967</w:t>
            </w:r>
          </w:p>
        </w:tc>
        <w:tc>
          <w:tcPr>
            <w:tcW w:type="dxa" w:w="1728"/>
          </w:tcPr>
          <w:p>
            <w:r>
              <w:t>False representations</w:t>
            </w:r>
          </w:p>
        </w:tc>
        <w:tc>
          <w:tcPr>
            <w:tcW w:type="dxa" w:w="1728"/>
          </w:tcPr>
          <w:p>
            <w:r>
              <w:t>00.8 Legal Research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LA003</w:t>
            </w:r>
          </w:p>
        </w:tc>
        <w:tc>
          <w:tcPr>
            <w:tcW w:type="dxa" w:w="1728"/>
          </w:tcPr>
          <w:p>
            <w:r>
              <w:t>Consumer Protection from Unfair Trading Regulations 2008</w:t>
            </w:r>
          </w:p>
        </w:tc>
        <w:tc>
          <w:tcPr>
            <w:tcW w:type="dxa" w:w="1728"/>
          </w:tcPr>
          <w:p>
            <w:r>
              <w:t>Misleading commercial practices</w:t>
            </w:r>
          </w:p>
        </w:tc>
        <w:tc>
          <w:tcPr>
            <w:tcW w:type="dxa" w:w="1728"/>
          </w:tcPr>
          <w:p>
            <w:r>
              <w:t>00.8 Legal Research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LA004</w:t>
            </w:r>
          </w:p>
        </w:tc>
        <w:tc>
          <w:tcPr>
            <w:tcW w:type="dxa" w:w="1728"/>
          </w:tcPr>
          <w:p>
            <w:r>
              <w:t>County Courts Act 1984 s.69</w:t>
            </w:r>
          </w:p>
        </w:tc>
        <w:tc>
          <w:tcPr>
            <w:tcW w:type="dxa" w:w="1728"/>
          </w:tcPr>
          <w:p>
            <w:r>
              <w:t>Statutory interest</w:t>
            </w:r>
          </w:p>
        </w:tc>
        <w:tc>
          <w:tcPr>
            <w:tcW w:type="dxa" w:w="1728"/>
          </w:tcPr>
          <w:p>
            <w:r>
              <w:t>00.7 Financial Loss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LA005</w:t>
            </w:r>
          </w:p>
        </w:tc>
        <w:tc>
          <w:tcPr>
            <w:tcW w:type="dxa" w:w="1728"/>
          </w:tcPr>
          <w:p>
            <w:r>
              <w:t>Civil Procedure Rules</w:t>
            </w:r>
          </w:p>
        </w:tc>
        <w:tc>
          <w:tcPr>
            <w:tcW w:type="dxa" w:w="1728"/>
          </w:tcPr>
          <w:p>
            <w:r>
              <w:t>Court procedure</w:t>
            </w:r>
          </w:p>
        </w:tc>
        <w:tc>
          <w:tcPr>
            <w:tcW w:type="dxa" w:w="1728"/>
          </w:tcPr>
          <w:p>
            <w:r>
              <w:t>Trial Bundle</w:t>
            </w:r>
          </w:p>
        </w:tc>
        <w:tc>
          <w:tcPr>
            <w:tcW w:type="dxa" w:w="1728"/>
          </w:tcPr>
          <w:p>
            <w:r>
              <w:t>To expand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