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62313" w14:textId="77777777" w:rsidR="002B6BB3" w:rsidRDefault="00000000">
      <w:pPr>
        <w:pStyle w:val="Heading1"/>
        <w:jc w:val="center"/>
      </w:pPr>
      <w:r>
        <w:t>WHY THE CLAIM HAS BEEN BROUGHT BEFORE THE COURT</w:t>
      </w:r>
    </w:p>
    <w:p w14:paraId="67DC3870" w14:textId="77777777" w:rsidR="002B6BB3" w:rsidRDefault="00000000">
      <w:r>
        <w:rPr>
          <w:b/>
          <w:sz w:val="32"/>
        </w:rPr>
        <w:t>VAUGHAN v HAVEN HOLIDAYS LTD</w:t>
      </w:r>
      <w:r>
        <w:rPr>
          <w:b/>
          <w:sz w:val="32"/>
        </w:rPr>
        <w:br/>
      </w:r>
    </w:p>
    <w:p w14:paraId="066E04CC" w14:textId="77777777" w:rsidR="002B6BB3" w:rsidRDefault="00000000">
      <w:pPr>
        <w:pStyle w:val="Heading2"/>
      </w:pPr>
      <w:r>
        <w:t>Introduction</w:t>
      </w:r>
    </w:p>
    <w:p w14:paraId="45BAACFF" w14:textId="77777777" w:rsidR="002B6BB3" w:rsidRDefault="00000000">
      <w:r>
        <w:t>This document explains why the Claimant has reached the stage of preparing for legal proceedings. It is intended to provide the Court with a clear overview of the background to the dispute and the steps taken to resolve the matter before litigation was considered.</w:t>
      </w:r>
    </w:p>
    <w:p w14:paraId="258B96E5" w14:textId="77777777" w:rsidR="002B6BB3" w:rsidRDefault="00000000">
      <w:pPr>
        <w:pStyle w:val="Heading2"/>
      </w:pPr>
      <w:r>
        <w:t>Background</w:t>
      </w:r>
    </w:p>
    <w:p w14:paraId="77288403" w14:textId="77777777" w:rsidR="002B6BB3" w:rsidRDefault="00000000">
      <w:r>
        <w:t>The Claimant purchased a holiday caravan from Haven Holidays Ltd with the intention of providing a safe and enjoyable environment for family use. During ownership, discussions took place concerning an upgrade to a replacement caravan. The Claimant contends that representations made during the sales process materially influenced those decisions.</w:t>
      </w:r>
    </w:p>
    <w:p w14:paraId="685D6977" w14:textId="77777777" w:rsidR="002B6BB3" w:rsidRDefault="00000000">
      <w:pPr>
        <w:pStyle w:val="Heading2"/>
      </w:pPr>
      <w:r>
        <w:t>The Dispute</w:t>
      </w:r>
    </w:p>
    <w:p w14:paraId="62A3D62A" w14:textId="77777777" w:rsidR="002B6BB3" w:rsidRDefault="00000000">
      <w:r>
        <w:t>Following delivery of the replacement caravan, the Claimant identified numerous defects and raised concerns with Haven Holidays Ltd. Complaints were made over an extended period and the Claimant maintains that many issues remained unresolved despite repeated requests for investigation and remedial action.</w:t>
      </w:r>
    </w:p>
    <w:p w14:paraId="425C0497" w14:textId="77777777" w:rsidR="002B6BB3" w:rsidRDefault="00000000">
      <w:pPr>
        <w:pStyle w:val="Heading2"/>
      </w:pPr>
      <w:r>
        <w:t>Attempts to Resolve the Matter</w:t>
      </w:r>
    </w:p>
    <w:p w14:paraId="5F28EDF2" w14:textId="77777777" w:rsidR="002B6BB3" w:rsidRDefault="00000000">
      <w:r>
        <w:t>Before considering litigation, the Claimant pursued direct communication with Haven Holidays Ltd, submitted formal complaints, retained copies of correspondence, and exercised the right to request personal information through a Subject Access Request. These steps were taken in an effort to understand the issues fully and to resolve the dispute without the need for court proceedings.</w:t>
      </w:r>
    </w:p>
    <w:p w14:paraId="403D35A1" w14:textId="77777777" w:rsidR="002B6BB3" w:rsidRDefault="00000000">
      <w:pPr>
        <w:pStyle w:val="Heading2"/>
      </w:pPr>
      <w:r>
        <w:t>Preparation of the Trial Bundle</w:t>
      </w:r>
    </w:p>
    <w:p w14:paraId="073F3DBB" w14:textId="77777777" w:rsidR="002B6BB3" w:rsidRDefault="00000000">
      <w:r>
        <w:t>The Trial Bundle has been assembled to present the evidence in a structured and transparent manner. It includes witness statements, a master chronology, documentary evidence, correspondence, Subject Access Request material, financial loss schedules, legal research and trial preparation documents. Each section is cross-referenced so that the Court can trace factual assertions to the supporting evidence.</w:t>
      </w:r>
    </w:p>
    <w:p w14:paraId="202FD30D" w14:textId="77777777" w:rsidR="002B6BB3" w:rsidRDefault="00000000">
      <w:pPr>
        <w:pStyle w:val="Heading2"/>
      </w:pPr>
      <w:r>
        <w:t>Why Court Proceedings May Be Necessary</w:t>
      </w:r>
    </w:p>
    <w:p w14:paraId="65C06254" w14:textId="77777777" w:rsidR="002B6BB3" w:rsidRDefault="00000000">
      <w:r>
        <w:t>The Claimant's position is that reasonable efforts have been made to resolve the dispute without litigation. Should those efforts ultimately prove unsuccessful, the Claimant respectfully seeks the Court's determination of the issues in dispute based upon the evidence presented and the applicable law.</w:t>
      </w:r>
    </w:p>
    <w:p w14:paraId="20890ABB" w14:textId="77777777" w:rsidR="002B6BB3" w:rsidRDefault="00000000">
      <w:pPr>
        <w:pStyle w:val="Heading2"/>
      </w:pPr>
      <w:r>
        <w:lastRenderedPageBreak/>
        <w:t>Purpose of this Document</w:t>
      </w:r>
    </w:p>
    <w:p w14:paraId="446D7615" w14:textId="77777777" w:rsidR="002B6BB3" w:rsidRDefault="00000000">
      <w:r>
        <w:t>This document should be read alongside the Executive Summary, Witness Statements, Master Chronology, Document Evidence, Correspondence, Subject Access Request, Financial Loss and Legal Research &amp; Authorities sections of the Trial Bundle. It provides context for the claim and explains why the bundle has been prepared.</w:t>
      </w:r>
    </w:p>
    <w:sectPr w:rsidR="002B6B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352306">
    <w:abstractNumId w:val="8"/>
  </w:num>
  <w:num w:numId="2" w16cid:durableId="2098331793">
    <w:abstractNumId w:val="6"/>
  </w:num>
  <w:num w:numId="3" w16cid:durableId="1839955762">
    <w:abstractNumId w:val="5"/>
  </w:num>
  <w:num w:numId="4" w16cid:durableId="109975585">
    <w:abstractNumId w:val="4"/>
  </w:num>
  <w:num w:numId="5" w16cid:durableId="1480807048">
    <w:abstractNumId w:val="7"/>
  </w:num>
  <w:num w:numId="6" w16cid:durableId="157353853">
    <w:abstractNumId w:val="3"/>
  </w:num>
  <w:num w:numId="7" w16cid:durableId="1069305214">
    <w:abstractNumId w:val="2"/>
  </w:num>
  <w:num w:numId="8" w16cid:durableId="1046105376">
    <w:abstractNumId w:val="1"/>
  </w:num>
  <w:num w:numId="9" w16cid:durableId="557667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BB3"/>
    <w:rsid w:val="00326F90"/>
    <w:rsid w:val="00AA1D8D"/>
    <w:rsid w:val="00B47730"/>
    <w:rsid w:val="00CB0664"/>
    <w:rsid w:val="00FC693F"/>
    <w:rsid w:val="00FE5E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01864"/>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2026-07-01T14:02:00Z</dcterms:created>
  <dcterms:modified xsi:type="dcterms:W3CDTF">2026-07-01T14:02:00Z</dcterms:modified>
  <cp:category/>
</cp:coreProperties>
</file>