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57D38" w14:textId="77777777" w:rsidR="00500664" w:rsidRDefault="00000000">
      <w:pPr>
        <w:pStyle w:val="Heading1"/>
        <w:jc w:val="center"/>
      </w:pPr>
      <w:r>
        <w:t>Haven / Hopton Legal Bundle</w:t>
      </w:r>
      <w:r>
        <w:br/>
        <w:t>Volume 11 – Litigation Review &amp; Evidence Assessment</w:t>
      </w:r>
    </w:p>
    <w:p w14:paraId="5671B08C" w14:textId="77777777" w:rsidR="00500664" w:rsidRDefault="00000000">
      <w:r>
        <w:t>Prepared for: Kennedy Vaughan</w:t>
      </w:r>
    </w:p>
    <w:p w14:paraId="628ED794" w14:textId="77777777" w:rsidR="00500664" w:rsidRDefault="00000000">
      <w:pPr>
        <w:pStyle w:val="Heading2"/>
      </w:pPr>
      <w:r>
        <w:t>Purpose</w:t>
      </w:r>
    </w:p>
    <w:p w14:paraId="1CF1381D" w14:textId="77777777" w:rsidR="00500664" w:rsidRDefault="00000000">
      <w:r>
        <w:t>This volume reviews the overall strength of the case based on the information gathered to date. It identifies the principal issues that the claimant says should be determined and how the evidence is intended to support those issues.</w:t>
      </w:r>
    </w:p>
    <w:p w14:paraId="6D0260DD" w14:textId="77777777" w:rsidR="00500664" w:rsidRDefault="00000000">
      <w:pPr>
        <w:pStyle w:val="Heading2"/>
      </w:pPr>
      <w:r>
        <w:t>Core Themes</w:t>
      </w:r>
    </w:p>
    <w:p w14:paraId="0F4ADE32" w14:textId="77777777" w:rsidR="00500664" w:rsidRDefault="00000000">
      <w:pPr>
        <w:pStyle w:val="Heading3"/>
      </w:pPr>
      <w:r>
        <w:t>Reliance</w:t>
      </w:r>
    </w:p>
    <w:p w14:paraId="463AEAD2" w14:textId="77777777" w:rsidR="00500664" w:rsidRDefault="00000000">
      <w:r>
        <w:t>The claimant says he relied on Haven's assurances when agreeing to the upgrade and occupation.</w:t>
      </w:r>
    </w:p>
    <w:p w14:paraId="5D4F5F24" w14:textId="77777777" w:rsidR="00500664" w:rsidRDefault="00000000">
      <w:pPr>
        <w:pStyle w:val="Heading3"/>
      </w:pPr>
      <w:r>
        <w:t>Promises</w:t>
      </w:r>
    </w:p>
    <w:p w14:paraId="4901D4A6" w14:textId="77777777" w:rsidR="00500664" w:rsidRDefault="00000000">
      <w:r>
        <w:t>The claimant's position is that assurances were given that snagging works would be completed before occupation.</w:t>
      </w:r>
    </w:p>
    <w:p w14:paraId="6647C5B6" w14:textId="77777777" w:rsidR="00500664" w:rsidRDefault="00000000">
      <w:pPr>
        <w:pStyle w:val="Heading3"/>
      </w:pPr>
      <w:r>
        <w:t>Condition</w:t>
      </w:r>
    </w:p>
    <w:p w14:paraId="6A78B60D" w14:textId="77777777" w:rsidR="00500664" w:rsidRDefault="00000000">
      <w:r>
        <w:t>The caravan was allegedly handed over with substantial outstanding defects.</w:t>
      </w:r>
    </w:p>
    <w:p w14:paraId="33ECEFE2" w14:textId="77777777" w:rsidR="00500664" w:rsidRDefault="00000000">
      <w:pPr>
        <w:pStyle w:val="Heading3"/>
      </w:pPr>
      <w:r>
        <w:t>Conduct</w:t>
      </w:r>
    </w:p>
    <w:p w14:paraId="23BB7ECE" w14:textId="77777777" w:rsidR="00500664" w:rsidRDefault="00000000">
      <w:r>
        <w:t>The claimant says repeated opportunities were given to rectify matters over an extended period.</w:t>
      </w:r>
    </w:p>
    <w:p w14:paraId="6AFC662C" w14:textId="77777777" w:rsidR="00500664" w:rsidRDefault="00000000">
      <w:pPr>
        <w:pStyle w:val="Heading3"/>
      </w:pPr>
      <w:r>
        <w:t>Impact</w:t>
      </w:r>
    </w:p>
    <w:p w14:paraId="6FE88ECE" w14:textId="77777777" w:rsidR="00500664" w:rsidRDefault="00000000">
      <w:r>
        <w:t>The claimant describes financial loss, loss of enjoyment and significant inconvenience.</w:t>
      </w:r>
    </w:p>
    <w:p w14:paraId="47BB7989" w14:textId="77777777" w:rsidR="00500664" w:rsidRDefault="00000000">
      <w:pPr>
        <w:pStyle w:val="Heading2"/>
      </w:pPr>
      <w:r>
        <w:t>Evidence Assessment Matrix</w:t>
      </w:r>
    </w:p>
    <w:tbl>
      <w:tblPr>
        <w:tblStyle w:val="TableGrid"/>
        <w:tblW w:w="0" w:type="auto"/>
        <w:tblLook w:val="04A0" w:firstRow="1" w:lastRow="0" w:firstColumn="1" w:lastColumn="0" w:noHBand="0" w:noVBand="1"/>
      </w:tblPr>
      <w:tblGrid>
        <w:gridCol w:w="2159"/>
        <w:gridCol w:w="2158"/>
        <w:gridCol w:w="2156"/>
        <w:gridCol w:w="2157"/>
      </w:tblGrid>
      <w:tr w:rsidR="00500664" w14:paraId="61CC00CC" w14:textId="77777777">
        <w:tc>
          <w:tcPr>
            <w:tcW w:w="2160" w:type="dxa"/>
          </w:tcPr>
          <w:p w14:paraId="7E324A9E" w14:textId="77777777" w:rsidR="00500664" w:rsidRDefault="00000000">
            <w:r>
              <w:t>Issue</w:t>
            </w:r>
          </w:p>
        </w:tc>
        <w:tc>
          <w:tcPr>
            <w:tcW w:w="2160" w:type="dxa"/>
          </w:tcPr>
          <w:p w14:paraId="6A658509" w14:textId="77777777" w:rsidR="00500664" w:rsidRDefault="00000000">
            <w:r>
              <w:t>Supporting Material</w:t>
            </w:r>
          </w:p>
        </w:tc>
        <w:tc>
          <w:tcPr>
            <w:tcW w:w="2160" w:type="dxa"/>
          </w:tcPr>
          <w:p w14:paraId="53AD8B00" w14:textId="77777777" w:rsidR="00500664" w:rsidRDefault="00000000">
            <w:r>
              <w:t>Current Status</w:t>
            </w:r>
          </w:p>
        </w:tc>
        <w:tc>
          <w:tcPr>
            <w:tcW w:w="2160" w:type="dxa"/>
          </w:tcPr>
          <w:p w14:paraId="43BA6BF2" w14:textId="77777777" w:rsidR="00500664" w:rsidRDefault="00000000">
            <w:r>
              <w:t>Action</w:t>
            </w:r>
          </w:p>
        </w:tc>
      </w:tr>
      <w:tr w:rsidR="00500664" w14:paraId="4692CCA1" w14:textId="77777777">
        <w:tc>
          <w:tcPr>
            <w:tcW w:w="2160" w:type="dxa"/>
          </w:tcPr>
          <w:p w14:paraId="6A4782CD" w14:textId="77777777" w:rsidR="00500664" w:rsidRDefault="00000000">
            <w:r>
              <w:t>Sales representations</w:t>
            </w:r>
          </w:p>
        </w:tc>
        <w:tc>
          <w:tcPr>
            <w:tcW w:w="2160" w:type="dxa"/>
          </w:tcPr>
          <w:p w14:paraId="5471D381" w14:textId="77777777" w:rsidR="00500664" w:rsidRDefault="00000000">
            <w:r>
              <w:t>Witness statement / sales notes</w:t>
            </w:r>
          </w:p>
        </w:tc>
        <w:tc>
          <w:tcPr>
            <w:tcW w:w="2160" w:type="dxa"/>
          </w:tcPr>
          <w:p w14:paraId="2DCBDE52" w14:textId="77777777" w:rsidR="00500664" w:rsidRDefault="00000000">
            <w:r>
              <w:t>Identified</w:t>
            </w:r>
          </w:p>
        </w:tc>
        <w:tc>
          <w:tcPr>
            <w:tcW w:w="2160" w:type="dxa"/>
          </w:tcPr>
          <w:p w14:paraId="011CBD32" w14:textId="77777777" w:rsidR="00500664" w:rsidRDefault="00000000">
            <w:r>
              <w:t>Cross-reference exhibits</w:t>
            </w:r>
          </w:p>
        </w:tc>
      </w:tr>
      <w:tr w:rsidR="00500664" w14:paraId="61479E2B" w14:textId="77777777">
        <w:tc>
          <w:tcPr>
            <w:tcW w:w="2160" w:type="dxa"/>
          </w:tcPr>
          <w:p w14:paraId="08C10F70" w14:textId="77777777" w:rsidR="00500664" w:rsidRDefault="00000000">
            <w:r>
              <w:t>Snagging</w:t>
            </w:r>
          </w:p>
        </w:tc>
        <w:tc>
          <w:tcPr>
            <w:tcW w:w="2160" w:type="dxa"/>
          </w:tcPr>
          <w:p w14:paraId="7179FD8C" w14:textId="77777777" w:rsidR="00500664" w:rsidRDefault="00000000">
            <w:r>
              <w:t>Snagging lists / photos</w:t>
            </w:r>
          </w:p>
        </w:tc>
        <w:tc>
          <w:tcPr>
            <w:tcW w:w="2160" w:type="dxa"/>
          </w:tcPr>
          <w:p w14:paraId="7000D719" w14:textId="77777777" w:rsidR="00500664" w:rsidRDefault="00000000">
            <w:r>
              <w:t>Identified</w:t>
            </w:r>
          </w:p>
        </w:tc>
        <w:tc>
          <w:tcPr>
            <w:tcW w:w="2160" w:type="dxa"/>
          </w:tcPr>
          <w:p w14:paraId="6B48C201" w14:textId="77777777" w:rsidR="00500664" w:rsidRDefault="00000000">
            <w:r>
              <w:t>Number exhibits</w:t>
            </w:r>
          </w:p>
        </w:tc>
      </w:tr>
      <w:tr w:rsidR="00500664" w14:paraId="73FF7179" w14:textId="77777777">
        <w:tc>
          <w:tcPr>
            <w:tcW w:w="2160" w:type="dxa"/>
          </w:tcPr>
          <w:p w14:paraId="138BB090" w14:textId="77777777" w:rsidR="00500664" w:rsidRDefault="00000000">
            <w:r>
              <w:t>Complaints</w:t>
            </w:r>
          </w:p>
        </w:tc>
        <w:tc>
          <w:tcPr>
            <w:tcW w:w="2160" w:type="dxa"/>
          </w:tcPr>
          <w:p w14:paraId="71014F17" w14:textId="77777777" w:rsidR="00500664" w:rsidRDefault="00000000">
            <w:r>
              <w:t>Emails / letters</w:t>
            </w:r>
          </w:p>
        </w:tc>
        <w:tc>
          <w:tcPr>
            <w:tcW w:w="2160" w:type="dxa"/>
          </w:tcPr>
          <w:p w14:paraId="5A4409D5" w14:textId="77777777" w:rsidR="00500664" w:rsidRDefault="00000000">
            <w:r>
              <w:t>Identified</w:t>
            </w:r>
          </w:p>
        </w:tc>
        <w:tc>
          <w:tcPr>
            <w:tcW w:w="2160" w:type="dxa"/>
          </w:tcPr>
          <w:p w14:paraId="7F3A208B" w14:textId="77777777" w:rsidR="00500664" w:rsidRDefault="00000000">
            <w:r>
              <w:t>Chronological order</w:t>
            </w:r>
          </w:p>
        </w:tc>
      </w:tr>
      <w:tr w:rsidR="00500664" w14:paraId="795785F1" w14:textId="77777777">
        <w:tc>
          <w:tcPr>
            <w:tcW w:w="2160" w:type="dxa"/>
          </w:tcPr>
          <w:p w14:paraId="29B12E43" w14:textId="77777777" w:rsidR="00500664" w:rsidRDefault="00000000">
            <w:r>
              <w:t>SAR</w:t>
            </w:r>
          </w:p>
        </w:tc>
        <w:tc>
          <w:tcPr>
            <w:tcW w:w="2160" w:type="dxa"/>
          </w:tcPr>
          <w:p w14:paraId="0D488B32" w14:textId="77777777" w:rsidR="00500664" w:rsidRDefault="00000000">
            <w:r>
              <w:t>SAR correspondence</w:t>
            </w:r>
          </w:p>
        </w:tc>
        <w:tc>
          <w:tcPr>
            <w:tcW w:w="2160" w:type="dxa"/>
          </w:tcPr>
          <w:p w14:paraId="3310C240" w14:textId="77777777" w:rsidR="00500664" w:rsidRDefault="00000000">
            <w:r>
              <w:t>Identified</w:t>
            </w:r>
          </w:p>
        </w:tc>
        <w:tc>
          <w:tcPr>
            <w:tcW w:w="2160" w:type="dxa"/>
          </w:tcPr>
          <w:p w14:paraId="24F8D6DC" w14:textId="77777777" w:rsidR="00500664" w:rsidRDefault="00000000">
            <w:r>
              <w:t>Index documents</w:t>
            </w:r>
          </w:p>
        </w:tc>
      </w:tr>
      <w:tr w:rsidR="00500664" w14:paraId="318153FE" w14:textId="77777777">
        <w:tc>
          <w:tcPr>
            <w:tcW w:w="2160" w:type="dxa"/>
          </w:tcPr>
          <w:p w14:paraId="2DBA6E74" w14:textId="77777777" w:rsidR="00500664" w:rsidRDefault="00000000">
            <w:r>
              <w:t>Losses</w:t>
            </w:r>
          </w:p>
        </w:tc>
        <w:tc>
          <w:tcPr>
            <w:tcW w:w="2160" w:type="dxa"/>
          </w:tcPr>
          <w:p w14:paraId="642C3460" w14:textId="77777777" w:rsidR="00500664" w:rsidRDefault="00000000">
            <w:r>
              <w:t>Schedule of loss</w:t>
            </w:r>
          </w:p>
        </w:tc>
        <w:tc>
          <w:tcPr>
            <w:tcW w:w="2160" w:type="dxa"/>
          </w:tcPr>
          <w:p w14:paraId="0EE237B8" w14:textId="77777777" w:rsidR="00500664" w:rsidRDefault="00000000">
            <w:r>
              <w:t>Working draft</w:t>
            </w:r>
          </w:p>
        </w:tc>
        <w:tc>
          <w:tcPr>
            <w:tcW w:w="2160" w:type="dxa"/>
          </w:tcPr>
          <w:p w14:paraId="17805674" w14:textId="77777777" w:rsidR="00500664" w:rsidRDefault="00000000">
            <w:r>
              <w:t>Final calculations</w:t>
            </w:r>
          </w:p>
        </w:tc>
      </w:tr>
    </w:tbl>
    <w:p w14:paraId="4980056C" w14:textId="77777777" w:rsidR="00500664" w:rsidRDefault="00000000">
      <w:pPr>
        <w:pStyle w:val="Heading2"/>
      </w:pPr>
      <w:r>
        <w:t>Outstanding Tasks Before Final Bundle</w:t>
      </w:r>
    </w:p>
    <w:p w14:paraId="4F5CEB62" w14:textId="77777777" w:rsidR="00500664" w:rsidRDefault="00000000">
      <w:pPr>
        <w:pStyle w:val="ListBullet"/>
      </w:pPr>
      <w:r>
        <w:t>Insert exhibit page numbers.</w:t>
      </w:r>
    </w:p>
    <w:p w14:paraId="3ABEDEB3" w14:textId="77777777" w:rsidR="00500664" w:rsidRDefault="00000000">
      <w:pPr>
        <w:pStyle w:val="ListBullet"/>
      </w:pPr>
      <w:r>
        <w:t>Replace placeholders with document references.</w:t>
      </w:r>
    </w:p>
    <w:p w14:paraId="47725989" w14:textId="77777777" w:rsidR="00500664" w:rsidRDefault="00000000">
      <w:pPr>
        <w:pStyle w:val="ListBullet"/>
      </w:pPr>
      <w:r>
        <w:t>Verify chronology against evidence.</w:t>
      </w:r>
    </w:p>
    <w:p w14:paraId="08E1B4D0" w14:textId="77777777" w:rsidR="00500664" w:rsidRDefault="00000000">
      <w:pPr>
        <w:pStyle w:val="ListBullet"/>
      </w:pPr>
      <w:r>
        <w:lastRenderedPageBreak/>
        <w:t>Finalise witness statement wording.</w:t>
      </w:r>
    </w:p>
    <w:p w14:paraId="55E25372" w14:textId="77777777" w:rsidR="00500664" w:rsidRDefault="00000000">
      <w:pPr>
        <w:pStyle w:val="ListBullet"/>
      </w:pPr>
      <w:r>
        <w:t>Prepare final index and pagination.</w:t>
      </w:r>
    </w:p>
    <w:p w14:paraId="66A82BFB" w14:textId="77777777" w:rsidR="00500664" w:rsidRDefault="00000000">
      <w:pPr>
        <w:pStyle w:val="Heading2"/>
      </w:pPr>
      <w:r>
        <w:t>Preparation for Final Volume</w:t>
      </w:r>
    </w:p>
    <w:p w14:paraId="5CAC27C7" w14:textId="77777777" w:rsidR="00500664" w:rsidRDefault="00000000">
      <w:r>
        <w:t>Volume 12 will be the complete consolidated edition incorporating the refined witness statement, chronology, exhibit references, schedule of loss, contents and final formatting into a single master litigation document.</w:t>
      </w:r>
    </w:p>
    <w:sectPr w:rsidR="005006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306994">
    <w:abstractNumId w:val="8"/>
  </w:num>
  <w:num w:numId="2" w16cid:durableId="748383092">
    <w:abstractNumId w:val="6"/>
  </w:num>
  <w:num w:numId="3" w16cid:durableId="41909824">
    <w:abstractNumId w:val="5"/>
  </w:num>
  <w:num w:numId="4" w16cid:durableId="1355955510">
    <w:abstractNumId w:val="4"/>
  </w:num>
  <w:num w:numId="5" w16cid:durableId="63839648">
    <w:abstractNumId w:val="7"/>
  </w:num>
  <w:num w:numId="6" w16cid:durableId="1894850970">
    <w:abstractNumId w:val="3"/>
  </w:num>
  <w:num w:numId="7" w16cid:durableId="825513431">
    <w:abstractNumId w:val="2"/>
  </w:num>
  <w:num w:numId="8" w16cid:durableId="1336376893">
    <w:abstractNumId w:val="1"/>
  </w:num>
  <w:num w:numId="9" w16cid:durableId="1601991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E6C"/>
    <w:rsid w:val="0029639D"/>
    <w:rsid w:val="00326F90"/>
    <w:rsid w:val="005006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E4DAC"/>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2026-07-02T09:46:00Z</dcterms:created>
  <dcterms:modified xsi:type="dcterms:W3CDTF">2026-07-02T09:46:00Z</dcterms:modified>
  <cp:category/>
</cp:coreProperties>
</file>