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00.8 – Schedule of Loss</w:t>
      </w:r>
    </w:p>
    <w:p>
      <w:r>
        <w:t>Haven Trial Bundle</w:t>
        <w:br/>
        <w:t>Working Edition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Loss Category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Purchase / Upgrade</w:t>
            </w:r>
          </w:p>
        </w:tc>
        <w:tc>
          <w:tcPr>
            <w:tcW w:type="dxa" w:w="2160"/>
          </w:tcPr>
          <w:p>
            <w:r>
              <w:t>Caravan purchase and upgrade losses</w:t>
            </w:r>
          </w:p>
        </w:tc>
        <w:tc>
          <w:tcPr>
            <w:tcW w:type="dxa" w:w="2160"/>
          </w:tcPr>
          <w:p>
            <w:r>
              <w:t>To be quantified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Site Fees</w:t>
            </w:r>
          </w:p>
        </w:tc>
        <w:tc>
          <w:tcPr>
            <w:tcW w:type="dxa" w:w="2160"/>
          </w:tcPr>
          <w:p>
            <w:r>
              <w:t>Annual site fees paid</w:t>
            </w:r>
          </w:p>
        </w:tc>
        <w:tc>
          <w:tcPr>
            <w:tcW w:type="dxa" w:w="2160"/>
          </w:tcPr>
          <w:p>
            <w:r>
              <w:t>To be quantified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Defects &amp; Snagging</w:t>
            </w:r>
          </w:p>
        </w:tc>
        <w:tc>
          <w:tcPr>
            <w:tcW w:type="dxa" w:w="2160"/>
          </w:tcPr>
          <w:p>
            <w:r>
              <w:t>Loss of use / defective caravan</w:t>
            </w:r>
          </w:p>
        </w:tc>
        <w:tc>
          <w:tcPr>
            <w:tcW w:type="dxa" w:w="2160"/>
          </w:tcPr>
          <w:p>
            <w:r>
              <w:t>To be quantified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Travel</w:t>
            </w:r>
          </w:p>
        </w:tc>
        <w:tc>
          <w:tcPr>
            <w:tcW w:type="dxa" w:w="2160"/>
          </w:tcPr>
          <w:p>
            <w:r>
              <w:t>Travel related to complaints</w:t>
            </w:r>
          </w:p>
        </w:tc>
        <w:tc>
          <w:tcPr>
            <w:tcW w:type="dxa" w:w="2160"/>
          </w:tcPr>
          <w:p>
            <w:r>
              <w:t>To be quantified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Professional Costs</w:t>
            </w:r>
          </w:p>
        </w:tc>
        <w:tc>
          <w:tcPr>
            <w:tcW w:type="dxa" w:w="2160"/>
          </w:tcPr>
          <w:p>
            <w:r>
              <w:t>Legal/Expert fees</w:t>
            </w:r>
          </w:p>
        </w:tc>
        <w:tc>
          <w:tcPr>
            <w:tcW w:type="dxa" w:w="2160"/>
          </w:tcPr>
          <w:p>
            <w:r>
              <w:t>To be quantified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Interest</w:t>
            </w:r>
          </w:p>
        </w:tc>
        <w:tc>
          <w:tcPr>
            <w:tcW w:type="dxa" w:w="2160"/>
          </w:tcPr>
          <w:p>
            <w:r>
              <w:t>Statutory interest</w:t>
            </w:r>
          </w:p>
        </w:tc>
        <w:tc>
          <w:tcPr>
            <w:tcW w:type="dxa" w:w="2160"/>
          </w:tcPr>
          <w:p>
            <w:r>
              <w:t>To be calculated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General Damages</w:t>
            </w:r>
          </w:p>
        </w:tc>
        <w:tc>
          <w:tcPr>
            <w:tcW w:type="dxa" w:w="2160"/>
          </w:tcPr>
          <w:p>
            <w:r>
              <w:t>Distress/Inconvenience (if claimed)</w:t>
            </w:r>
          </w:p>
        </w:tc>
        <w:tc>
          <w:tcPr>
            <w:tcW w:type="dxa" w:w="2160"/>
          </w:tcPr>
          <w:p>
            <w:r>
              <w:t>To be assessed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