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50677" w14:textId="77777777" w:rsidR="00F811F6" w:rsidRDefault="00000000">
      <w:pPr>
        <w:pStyle w:val="Heading1"/>
      </w:pPr>
      <w:r>
        <w:t>Haven / Hopton Legal Bundle</w:t>
      </w:r>
      <w:r>
        <w:br/>
        <w:t>Volume 3 – Legal Analysis, Breaches &amp; Schedule of Loss (Working Draft)</w:t>
      </w:r>
    </w:p>
    <w:p w14:paraId="33B603E2" w14:textId="77777777" w:rsidR="00F811F6" w:rsidRDefault="00000000">
      <w:r>
        <w:t>Prepared for: Kennedy Vaughan</w:t>
      </w:r>
    </w:p>
    <w:p w14:paraId="68BFCA4B" w14:textId="77777777" w:rsidR="00F811F6" w:rsidRDefault="00000000">
      <w:pPr>
        <w:pStyle w:val="Heading2"/>
      </w:pPr>
      <w:r>
        <w:t>Purpose</w:t>
      </w:r>
    </w:p>
    <w:p w14:paraId="20C08D3E" w14:textId="77777777" w:rsidR="00F811F6" w:rsidRDefault="00000000">
      <w:r>
        <w:t>This volume identifies the legal issues arising from the facts as currently understood. It is a working analysis, not legal advice, and is intended to support discussions with a solicitor or use in preparing proceedings.</w:t>
      </w:r>
    </w:p>
    <w:p w14:paraId="15F74FE1" w14:textId="77777777" w:rsidR="00F811F6" w:rsidRDefault="00000000">
      <w:pPr>
        <w:pStyle w:val="Heading2"/>
      </w:pPr>
      <w:r>
        <w:t>Primary Allegations</w:t>
      </w:r>
    </w:p>
    <w:p w14:paraId="4BC021BC" w14:textId="77777777" w:rsidR="00F811F6" w:rsidRDefault="00000000">
      <w:pPr>
        <w:pStyle w:val="ListBullet"/>
      </w:pPr>
      <w:r>
        <w:t>Representations were made before the upgrade which induced the purchase.</w:t>
      </w:r>
    </w:p>
    <w:p w14:paraId="24DB0F93" w14:textId="77777777" w:rsidR="00F811F6" w:rsidRDefault="00000000">
      <w:pPr>
        <w:pStyle w:val="ListBullet"/>
      </w:pPr>
      <w:r>
        <w:t>Assurances were given that snagging works would be completed before occupation.</w:t>
      </w:r>
    </w:p>
    <w:p w14:paraId="02F151EC" w14:textId="77777777" w:rsidR="00F811F6" w:rsidRDefault="00000000">
      <w:pPr>
        <w:pStyle w:val="ListBullet"/>
      </w:pPr>
      <w:r>
        <w:t>The caravan was handed over despite those assurances not being fulfilled.</w:t>
      </w:r>
    </w:p>
    <w:p w14:paraId="7EE08433" w14:textId="77777777" w:rsidR="00F811F6" w:rsidRDefault="00000000">
      <w:pPr>
        <w:pStyle w:val="ListBullet"/>
      </w:pPr>
      <w:r>
        <w:t>Complaints continued over an extended period with numerous defects remaining unresolved.</w:t>
      </w:r>
    </w:p>
    <w:p w14:paraId="063CA4F3" w14:textId="77777777" w:rsidR="00F811F6" w:rsidRDefault="00000000">
      <w:pPr>
        <w:pStyle w:val="ListBullet"/>
      </w:pPr>
      <w:r>
        <w:t>The claimant says this resulted in financial loss, loss of enjoyment and distress.</w:t>
      </w:r>
    </w:p>
    <w:p w14:paraId="5F90B19A" w14:textId="77777777" w:rsidR="00F811F6" w:rsidRDefault="00000000">
      <w:pPr>
        <w:pStyle w:val="Heading2"/>
      </w:pPr>
      <w:r>
        <w:t>Potential Legal Issues</w:t>
      </w:r>
    </w:p>
    <w:p w14:paraId="4CFA4B0B" w14:textId="77777777" w:rsidR="00F811F6" w:rsidRDefault="00000000">
      <w:pPr>
        <w:pStyle w:val="Heading3"/>
      </w:pPr>
      <w:r>
        <w:t>Misrepresentation</w:t>
      </w:r>
    </w:p>
    <w:p w14:paraId="391DC6A1" w14:textId="77777777" w:rsidR="00F811F6" w:rsidRDefault="00000000">
      <w:r>
        <w:t>If statements about the condition of the caravan or completion of works induced the transaction and proved inaccurate, those statements may be relevant when assessing liability.</w:t>
      </w:r>
    </w:p>
    <w:p w14:paraId="4659DBF7" w14:textId="77777777" w:rsidR="00F811F6" w:rsidRDefault="00000000">
      <w:pPr>
        <w:pStyle w:val="Heading3"/>
      </w:pPr>
      <w:r>
        <w:t>Breach of Contract</w:t>
      </w:r>
    </w:p>
    <w:p w14:paraId="00586588" w14:textId="77777777" w:rsidR="00F811F6" w:rsidRDefault="00000000">
      <w:r>
        <w:t>The claimant's position is that the caravan delivered did not match the condition promised before occupation.</w:t>
      </w:r>
    </w:p>
    <w:p w14:paraId="5A3BBADE" w14:textId="77777777" w:rsidR="00F811F6" w:rsidRDefault="00000000">
      <w:pPr>
        <w:pStyle w:val="Heading3"/>
      </w:pPr>
      <w:r>
        <w:t>Consumer Rights</w:t>
      </w:r>
    </w:p>
    <w:p w14:paraId="407CB3C9" w14:textId="77777777" w:rsidR="00F811F6" w:rsidRDefault="00000000">
      <w:r>
        <w:t>The claimant contends that repeated defects and the response to complaints did not meet the standard reasonably expected.</w:t>
      </w:r>
    </w:p>
    <w:p w14:paraId="0B0A05C8" w14:textId="77777777" w:rsidR="00F811F6" w:rsidRDefault="00000000">
      <w:pPr>
        <w:pStyle w:val="Heading3"/>
      </w:pPr>
      <w:r>
        <w:t>Complaint Handling</w:t>
      </w:r>
    </w:p>
    <w:p w14:paraId="1A8C8261" w14:textId="77777777" w:rsidR="00F811F6" w:rsidRDefault="00000000">
      <w:r>
        <w:t>The chronology may assist in assessing whether complaints and remedial opportunities were handled appropriately.</w:t>
      </w:r>
    </w:p>
    <w:p w14:paraId="1B7289F9" w14:textId="77777777" w:rsidR="00F811F6" w:rsidRDefault="00000000">
      <w:pPr>
        <w:pStyle w:val="Heading3"/>
      </w:pPr>
      <w:r>
        <w:t>Subject Access Request</w:t>
      </w:r>
    </w:p>
    <w:p w14:paraId="1423DAEB" w14:textId="77777777" w:rsidR="00F811F6" w:rsidRDefault="00000000">
      <w:r>
        <w:t>The timing and completeness of disclosure may be relevant background to the dispute.</w:t>
      </w:r>
    </w:p>
    <w:p w14:paraId="3E922B75" w14:textId="77777777" w:rsidR="00F811F6" w:rsidRDefault="00000000">
      <w:pPr>
        <w:pStyle w:val="Heading2"/>
      </w:pPr>
      <w:r>
        <w:t>Heads of Loss (Working Schedule)</w:t>
      </w:r>
    </w:p>
    <w:tbl>
      <w:tblPr>
        <w:tblStyle w:val="TableGrid"/>
        <w:tblW w:w="0" w:type="auto"/>
        <w:tblLook w:val="04A0" w:firstRow="1" w:lastRow="0" w:firstColumn="1" w:lastColumn="0" w:noHBand="0" w:noVBand="1"/>
      </w:tblPr>
      <w:tblGrid>
        <w:gridCol w:w="4315"/>
        <w:gridCol w:w="4315"/>
      </w:tblGrid>
      <w:tr w:rsidR="00F811F6" w14:paraId="2B8D6B61" w14:textId="77777777">
        <w:tc>
          <w:tcPr>
            <w:tcW w:w="4320" w:type="dxa"/>
          </w:tcPr>
          <w:p w14:paraId="089A094A" w14:textId="77777777" w:rsidR="00F811F6" w:rsidRDefault="00000000">
            <w:r>
              <w:t>Category</w:t>
            </w:r>
          </w:p>
        </w:tc>
        <w:tc>
          <w:tcPr>
            <w:tcW w:w="4320" w:type="dxa"/>
          </w:tcPr>
          <w:p w14:paraId="186310EF" w14:textId="77777777" w:rsidR="00F811F6" w:rsidRDefault="00000000">
            <w:r>
              <w:t>Evidence / To be quantified</w:t>
            </w:r>
          </w:p>
        </w:tc>
      </w:tr>
      <w:tr w:rsidR="00F811F6" w14:paraId="291387A2" w14:textId="77777777">
        <w:tc>
          <w:tcPr>
            <w:tcW w:w="4320" w:type="dxa"/>
          </w:tcPr>
          <w:p w14:paraId="6B5D37CF" w14:textId="77777777" w:rsidR="00F811F6" w:rsidRDefault="00000000">
            <w:r>
              <w:t>Purchase related losses</w:t>
            </w:r>
          </w:p>
        </w:tc>
        <w:tc>
          <w:tcPr>
            <w:tcW w:w="4320" w:type="dxa"/>
          </w:tcPr>
          <w:p w14:paraId="7232FCA7" w14:textId="77777777" w:rsidR="00F811F6" w:rsidRDefault="00000000">
            <w:r>
              <w:t>Supporting documents</w:t>
            </w:r>
          </w:p>
        </w:tc>
      </w:tr>
      <w:tr w:rsidR="00F811F6" w14:paraId="6FA9BD6E" w14:textId="77777777">
        <w:tc>
          <w:tcPr>
            <w:tcW w:w="4320" w:type="dxa"/>
          </w:tcPr>
          <w:p w14:paraId="6D471A28" w14:textId="77777777" w:rsidR="00F811F6" w:rsidRDefault="00000000">
            <w:r>
              <w:t>Loss of enjoyment</w:t>
            </w:r>
          </w:p>
        </w:tc>
        <w:tc>
          <w:tcPr>
            <w:tcW w:w="4320" w:type="dxa"/>
          </w:tcPr>
          <w:p w14:paraId="5BC3553C" w14:textId="77777777" w:rsidR="00F811F6" w:rsidRDefault="00000000">
            <w:r>
              <w:t>Witness evidence</w:t>
            </w:r>
          </w:p>
        </w:tc>
      </w:tr>
      <w:tr w:rsidR="00F811F6" w14:paraId="422FFB81" w14:textId="77777777">
        <w:tc>
          <w:tcPr>
            <w:tcW w:w="4320" w:type="dxa"/>
          </w:tcPr>
          <w:p w14:paraId="5DD50E9C" w14:textId="77777777" w:rsidR="00F811F6" w:rsidRDefault="00000000">
            <w:r>
              <w:lastRenderedPageBreak/>
              <w:t>Travel / visits</w:t>
            </w:r>
          </w:p>
        </w:tc>
        <w:tc>
          <w:tcPr>
            <w:tcW w:w="4320" w:type="dxa"/>
          </w:tcPr>
          <w:p w14:paraId="519E5501" w14:textId="77777777" w:rsidR="00F811F6" w:rsidRDefault="00000000">
            <w:r>
              <w:t>Receipts if available</w:t>
            </w:r>
          </w:p>
        </w:tc>
      </w:tr>
      <w:tr w:rsidR="00F811F6" w14:paraId="1C8B38CA" w14:textId="77777777">
        <w:tc>
          <w:tcPr>
            <w:tcW w:w="4320" w:type="dxa"/>
          </w:tcPr>
          <w:p w14:paraId="45D04C2B" w14:textId="77777777" w:rsidR="00F811F6" w:rsidRDefault="00000000">
            <w:r>
              <w:t>Professional costs</w:t>
            </w:r>
          </w:p>
        </w:tc>
        <w:tc>
          <w:tcPr>
            <w:tcW w:w="4320" w:type="dxa"/>
          </w:tcPr>
          <w:p w14:paraId="6306F253" w14:textId="77777777" w:rsidR="00F811F6" w:rsidRDefault="00000000">
            <w:r>
              <w:t>Invoices</w:t>
            </w:r>
          </w:p>
        </w:tc>
      </w:tr>
      <w:tr w:rsidR="00F811F6" w14:paraId="3AF1BC8A" w14:textId="77777777">
        <w:tc>
          <w:tcPr>
            <w:tcW w:w="4320" w:type="dxa"/>
          </w:tcPr>
          <w:p w14:paraId="240E60AC" w14:textId="77777777" w:rsidR="00F811F6" w:rsidRDefault="00000000">
            <w:r>
              <w:t>Interest</w:t>
            </w:r>
          </w:p>
        </w:tc>
        <w:tc>
          <w:tcPr>
            <w:tcW w:w="4320" w:type="dxa"/>
          </w:tcPr>
          <w:p w14:paraId="569F5E4E" w14:textId="77777777" w:rsidR="00F811F6" w:rsidRDefault="00000000">
            <w:r>
              <w:t>To be calculated</w:t>
            </w:r>
          </w:p>
        </w:tc>
      </w:tr>
      <w:tr w:rsidR="00F811F6" w14:paraId="3FCF85F0" w14:textId="77777777">
        <w:tc>
          <w:tcPr>
            <w:tcW w:w="4320" w:type="dxa"/>
          </w:tcPr>
          <w:p w14:paraId="66DACAAE" w14:textId="77777777" w:rsidR="00F811F6" w:rsidRDefault="00000000">
            <w:r>
              <w:t>Other consequential losses</w:t>
            </w:r>
          </w:p>
        </w:tc>
        <w:tc>
          <w:tcPr>
            <w:tcW w:w="4320" w:type="dxa"/>
          </w:tcPr>
          <w:p w14:paraId="729E592A" w14:textId="77777777" w:rsidR="00F811F6" w:rsidRDefault="00000000">
            <w:r>
              <w:t>Supporting evidence</w:t>
            </w:r>
          </w:p>
        </w:tc>
      </w:tr>
    </w:tbl>
    <w:p w14:paraId="17520E66" w14:textId="77777777" w:rsidR="00F811F6" w:rsidRDefault="00000000">
      <w:pPr>
        <w:pStyle w:val="Heading2"/>
      </w:pPr>
      <w:r>
        <w:t>Further Evidence Cross-Reference</w:t>
      </w:r>
    </w:p>
    <w:p w14:paraId="41FF1A19" w14:textId="77777777" w:rsidR="00F811F6" w:rsidRDefault="00000000">
      <w:pPr>
        <w:pStyle w:val="ListBullet"/>
      </w:pPr>
      <w:r>
        <w:t>Sales notes</w:t>
      </w:r>
    </w:p>
    <w:p w14:paraId="72991003" w14:textId="77777777" w:rsidR="00F811F6" w:rsidRDefault="00000000">
      <w:pPr>
        <w:pStyle w:val="ListBullet"/>
      </w:pPr>
      <w:r>
        <w:t>Internal Haven communications</w:t>
      </w:r>
    </w:p>
    <w:p w14:paraId="7508489C" w14:textId="77777777" w:rsidR="00F811F6" w:rsidRDefault="00000000">
      <w:pPr>
        <w:pStyle w:val="ListBullet"/>
      </w:pPr>
      <w:r>
        <w:t>Snagging schedules</w:t>
      </w:r>
    </w:p>
    <w:p w14:paraId="59D67CE2" w14:textId="77777777" w:rsidR="00F811F6" w:rsidRDefault="00000000">
      <w:pPr>
        <w:pStyle w:val="ListBullet"/>
      </w:pPr>
      <w:r>
        <w:t>Emails</w:t>
      </w:r>
    </w:p>
    <w:p w14:paraId="1481DFD1" w14:textId="77777777" w:rsidR="00F811F6" w:rsidRDefault="00000000">
      <w:pPr>
        <w:pStyle w:val="ListBullet"/>
      </w:pPr>
      <w:r>
        <w:t>Photographs</w:t>
      </w:r>
    </w:p>
    <w:p w14:paraId="5574161D" w14:textId="77777777" w:rsidR="00F811F6" w:rsidRDefault="00000000">
      <w:pPr>
        <w:pStyle w:val="ListBullet"/>
      </w:pPr>
      <w:r>
        <w:t>SAR disclosure</w:t>
      </w:r>
    </w:p>
    <w:p w14:paraId="6181316C" w14:textId="77777777" w:rsidR="00F811F6" w:rsidRDefault="00000000">
      <w:pPr>
        <w:pStyle w:val="ListBullet"/>
      </w:pPr>
      <w:r>
        <w:t>Any witness statements</w:t>
      </w:r>
    </w:p>
    <w:p w14:paraId="3451E2BD" w14:textId="77777777" w:rsidR="00F811F6" w:rsidRDefault="00000000">
      <w:pPr>
        <w:pStyle w:val="Heading2"/>
      </w:pPr>
      <w:r>
        <w:t>Conclusion</w:t>
      </w:r>
    </w:p>
    <w:p w14:paraId="447432B8" w14:textId="77777777" w:rsidR="00F811F6" w:rsidRDefault="00000000">
      <w:r>
        <w:t>On the information currently available, the claimant's case is that the representations made before occupation, the condition of the caravan on handover, and the subsequent handling of defects form the core of the dispute. This document will be expanded as the final litigation bundle is assembled.</w:t>
      </w:r>
    </w:p>
    <w:sectPr w:rsidR="00F811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110917">
    <w:abstractNumId w:val="8"/>
  </w:num>
  <w:num w:numId="2" w16cid:durableId="1001006556">
    <w:abstractNumId w:val="6"/>
  </w:num>
  <w:num w:numId="3" w16cid:durableId="298338683">
    <w:abstractNumId w:val="5"/>
  </w:num>
  <w:num w:numId="4" w16cid:durableId="1365474618">
    <w:abstractNumId w:val="4"/>
  </w:num>
  <w:num w:numId="5" w16cid:durableId="1966426790">
    <w:abstractNumId w:val="7"/>
  </w:num>
  <w:num w:numId="6" w16cid:durableId="842474116">
    <w:abstractNumId w:val="3"/>
  </w:num>
  <w:num w:numId="7" w16cid:durableId="973367626">
    <w:abstractNumId w:val="2"/>
  </w:num>
  <w:num w:numId="8" w16cid:durableId="322591936">
    <w:abstractNumId w:val="1"/>
  </w:num>
  <w:num w:numId="9" w16cid:durableId="1465198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CE185B"/>
    <w:rsid w:val="00F811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F343D"/>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2026-07-02T09:32:00Z</dcterms:created>
  <dcterms:modified xsi:type="dcterms:W3CDTF">2026-07-02T09:32:00Z</dcterms:modified>
  <cp:category/>
</cp:coreProperties>
</file>