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B31AB" w14:textId="77777777" w:rsidR="00A44F8D" w:rsidRDefault="00000000">
      <w:pPr>
        <w:pStyle w:val="Heading1"/>
      </w:pPr>
      <w:r>
        <w:t>Haven / Hopton Legal Bundle</w:t>
      </w:r>
      <w:r>
        <w:br/>
        <w:t>Volume 7 – Draft Schedule of Loss &amp; Damages</w:t>
      </w:r>
    </w:p>
    <w:p w14:paraId="762D29F6" w14:textId="77777777" w:rsidR="00A44F8D" w:rsidRDefault="00000000">
      <w:r>
        <w:t>Prepared for: Kennedy Vaughan</w:t>
      </w:r>
    </w:p>
    <w:p w14:paraId="3DAFAF17" w14:textId="77777777" w:rsidR="00A44F8D" w:rsidRDefault="00000000">
      <w:pPr>
        <w:pStyle w:val="Heading2"/>
      </w:pPr>
      <w:r>
        <w:t>Purpose</w:t>
      </w:r>
    </w:p>
    <w:p w14:paraId="17DCCE6A" w14:textId="77777777" w:rsidR="00A44F8D" w:rsidRDefault="00000000">
      <w:r>
        <w:t>This working schedule identifies the categories of loss arising from the dispute. Figures should be supported by documentary evidence where available and refined before any court proceedings.</w:t>
      </w:r>
    </w:p>
    <w:p w14:paraId="0CE76FCF" w14:textId="77777777" w:rsidR="00A44F8D" w:rsidRDefault="00000000">
      <w:pPr>
        <w:pStyle w:val="Heading2"/>
      </w:pPr>
      <w:r>
        <w:t>Categories of Loss</w:t>
      </w:r>
    </w:p>
    <w:tbl>
      <w:tblPr>
        <w:tblStyle w:val="TableGrid"/>
        <w:tblW w:w="0" w:type="auto"/>
        <w:tblLook w:val="04A0" w:firstRow="1" w:lastRow="0" w:firstColumn="1" w:lastColumn="0" w:noHBand="0" w:noVBand="1"/>
      </w:tblPr>
      <w:tblGrid>
        <w:gridCol w:w="2877"/>
        <w:gridCol w:w="2876"/>
        <w:gridCol w:w="2877"/>
      </w:tblGrid>
      <w:tr w:rsidR="00A44F8D" w14:paraId="3540C340" w14:textId="77777777">
        <w:tc>
          <w:tcPr>
            <w:tcW w:w="2880" w:type="dxa"/>
          </w:tcPr>
          <w:p w14:paraId="25B90DA0" w14:textId="77777777" w:rsidR="00A44F8D" w:rsidRDefault="00000000">
            <w:r>
              <w:t>Loss Category</w:t>
            </w:r>
          </w:p>
        </w:tc>
        <w:tc>
          <w:tcPr>
            <w:tcW w:w="2880" w:type="dxa"/>
          </w:tcPr>
          <w:p w14:paraId="474C7A28" w14:textId="77777777" w:rsidR="00A44F8D" w:rsidRDefault="00000000">
            <w:r>
              <w:t>Current Position</w:t>
            </w:r>
          </w:p>
        </w:tc>
        <w:tc>
          <w:tcPr>
            <w:tcW w:w="2880" w:type="dxa"/>
          </w:tcPr>
          <w:p w14:paraId="5BF731DD" w14:textId="77777777" w:rsidR="00A44F8D" w:rsidRDefault="00000000">
            <w:r>
              <w:t>Evidence</w:t>
            </w:r>
          </w:p>
        </w:tc>
      </w:tr>
      <w:tr w:rsidR="00A44F8D" w14:paraId="37D01599" w14:textId="77777777">
        <w:tc>
          <w:tcPr>
            <w:tcW w:w="2880" w:type="dxa"/>
          </w:tcPr>
          <w:p w14:paraId="108F5189" w14:textId="77777777" w:rsidR="00A44F8D" w:rsidRDefault="00000000">
            <w:r>
              <w:t>Purchase / contractual losses</w:t>
            </w:r>
          </w:p>
        </w:tc>
        <w:tc>
          <w:tcPr>
            <w:tcW w:w="2880" w:type="dxa"/>
          </w:tcPr>
          <w:p w14:paraId="65379BBB" w14:textId="77777777" w:rsidR="00A44F8D" w:rsidRDefault="00000000">
            <w:r>
              <w:t>To be confirmed</w:t>
            </w:r>
          </w:p>
        </w:tc>
        <w:tc>
          <w:tcPr>
            <w:tcW w:w="2880" w:type="dxa"/>
          </w:tcPr>
          <w:p w14:paraId="215E4028" w14:textId="77777777" w:rsidR="00A44F8D" w:rsidRDefault="00000000">
            <w:r>
              <w:t>Purchase documents</w:t>
            </w:r>
          </w:p>
        </w:tc>
      </w:tr>
      <w:tr w:rsidR="00A44F8D" w14:paraId="19274C9B" w14:textId="77777777">
        <w:tc>
          <w:tcPr>
            <w:tcW w:w="2880" w:type="dxa"/>
          </w:tcPr>
          <w:p w14:paraId="44D96AF8" w14:textId="77777777" w:rsidR="00A44F8D" w:rsidRDefault="00000000">
            <w:r>
              <w:t>Loss of enjoyment</w:t>
            </w:r>
          </w:p>
        </w:tc>
        <w:tc>
          <w:tcPr>
            <w:tcW w:w="2880" w:type="dxa"/>
          </w:tcPr>
          <w:p w14:paraId="63E98482" w14:textId="77777777" w:rsidR="00A44F8D" w:rsidRDefault="00000000">
            <w:r>
              <w:t>Claimed</w:t>
            </w:r>
          </w:p>
        </w:tc>
        <w:tc>
          <w:tcPr>
            <w:tcW w:w="2880" w:type="dxa"/>
          </w:tcPr>
          <w:p w14:paraId="108D55F5" w14:textId="77777777" w:rsidR="00A44F8D" w:rsidRDefault="00000000">
            <w:r>
              <w:t>Witness statement</w:t>
            </w:r>
          </w:p>
        </w:tc>
      </w:tr>
      <w:tr w:rsidR="00A44F8D" w14:paraId="111409A7" w14:textId="77777777">
        <w:tc>
          <w:tcPr>
            <w:tcW w:w="2880" w:type="dxa"/>
          </w:tcPr>
          <w:p w14:paraId="13B29D6B" w14:textId="77777777" w:rsidR="00A44F8D" w:rsidRDefault="00000000">
            <w:r>
              <w:t>Travel and attendance</w:t>
            </w:r>
          </w:p>
        </w:tc>
        <w:tc>
          <w:tcPr>
            <w:tcW w:w="2880" w:type="dxa"/>
          </w:tcPr>
          <w:p w14:paraId="464DD3CF" w14:textId="77777777" w:rsidR="00A44F8D" w:rsidRDefault="00000000">
            <w:r>
              <w:t>To quantify</w:t>
            </w:r>
          </w:p>
        </w:tc>
        <w:tc>
          <w:tcPr>
            <w:tcW w:w="2880" w:type="dxa"/>
          </w:tcPr>
          <w:p w14:paraId="32C3800C" w14:textId="77777777" w:rsidR="00A44F8D" w:rsidRDefault="00000000">
            <w:r>
              <w:t>Mileage / receipts</w:t>
            </w:r>
          </w:p>
        </w:tc>
      </w:tr>
      <w:tr w:rsidR="00A44F8D" w14:paraId="77A57BD2" w14:textId="77777777">
        <w:tc>
          <w:tcPr>
            <w:tcW w:w="2880" w:type="dxa"/>
          </w:tcPr>
          <w:p w14:paraId="48C31579" w14:textId="77777777" w:rsidR="00A44F8D" w:rsidRDefault="00000000">
            <w:r>
              <w:t>Telephone, postage and administration</w:t>
            </w:r>
          </w:p>
        </w:tc>
        <w:tc>
          <w:tcPr>
            <w:tcW w:w="2880" w:type="dxa"/>
          </w:tcPr>
          <w:p w14:paraId="7F1B9992" w14:textId="77777777" w:rsidR="00A44F8D" w:rsidRDefault="00000000">
            <w:r>
              <w:t>To quantify</w:t>
            </w:r>
          </w:p>
        </w:tc>
        <w:tc>
          <w:tcPr>
            <w:tcW w:w="2880" w:type="dxa"/>
          </w:tcPr>
          <w:p w14:paraId="60DF7557" w14:textId="77777777" w:rsidR="00A44F8D" w:rsidRDefault="00000000">
            <w:r>
              <w:t>Bills / records</w:t>
            </w:r>
          </w:p>
        </w:tc>
      </w:tr>
      <w:tr w:rsidR="00A44F8D" w14:paraId="41987CD4" w14:textId="77777777">
        <w:tc>
          <w:tcPr>
            <w:tcW w:w="2880" w:type="dxa"/>
          </w:tcPr>
          <w:p w14:paraId="228C12BD" w14:textId="77777777" w:rsidR="00A44F8D" w:rsidRDefault="00000000">
            <w:r>
              <w:t>Professional fees</w:t>
            </w:r>
          </w:p>
        </w:tc>
        <w:tc>
          <w:tcPr>
            <w:tcW w:w="2880" w:type="dxa"/>
          </w:tcPr>
          <w:p w14:paraId="72B7A26A" w14:textId="77777777" w:rsidR="00A44F8D" w:rsidRDefault="00000000">
            <w:r>
              <w:t>To quantify</w:t>
            </w:r>
          </w:p>
        </w:tc>
        <w:tc>
          <w:tcPr>
            <w:tcW w:w="2880" w:type="dxa"/>
          </w:tcPr>
          <w:p w14:paraId="09DEC0D6" w14:textId="77777777" w:rsidR="00A44F8D" w:rsidRDefault="00000000">
            <w:r>
              <w:t>Invoices</w:t>
            </w:r>
          </w:p>
        </w:tc>
      </w:tr>
      <w:tr w:rsidR="00A44F8D" w14:paraId="28146017" w14:textId="77777777">
        <w:tc>
          <w:tcPr>
            <w:tcW w:w="2880" w:type="dxa"/>
          </w:tcPr>
          <w:p w14:paraId="11F99581" w14:textId="77777777" w:rsidR="00A44F8D" w:rsidRDefault="00000000">
            <w:r>
              <w:t>Interest</w:t>
            </w:r>
          </w:p>
        </w:tc>
        <w:tc>
          <w:tcPr>
            <w:tcW w:w="2880" w:type="dxa"/>
          </w:tcPr>
          <w:p w14:paraId="2EE92A17" w14:textId="77777777" w:rsidR="00A44F8D" w:rsidRDefault="00000000">
            <w:r>
              <w:t>To calculate</w:t>
            </w:r>
          </w:p>
        </w:tc>
        <w:tc>
          <w:tcPr>
            <w:tcW w:w="2880" w:type="dxa"/>
          </w:tcPr>
          <w:p w14:paraId="42007EFC" w14:textId="77777777" w:rsidR="00A44F8D" w:rsidRDefault="00000000">
            <w:r>
              <w:t>Chronology</w:t>
            </w:r>
          </w:p>
        </w:tc>
      </w:tr>
      <w:tr w:rsidR="00A44F8D" w14:paraId="4F314349" w14:textId="77777777">
        <w:tc>
          <w:tcPr>
            <w:tcW w:w="2880" w:type="dxa"/>
          </w:tcPr>
          <w:p w14:paraId="30B72454" w14:textId="77777777" w:rsidR="00A44F8D" w:rsidRDefault="00000000">
            <w:r>
              <w:t>Any additional financial losses</w:t>
            </w:r>
          </w:p>
        </w:tc>
        <w:tc>
          <w:tcPr>
            <w:tcW w:w="2880" w:type="dxa"/>
          </w:tcPr>
          <w:p w14:paraId="7CF97969" w14:textId="77777777" w:rsidR="00A44F8D" w:rsidRDefault="00000000">
            <w:r>
              <w:t>To quantify</w:t>
            </w:r>
          </w:p>
        </w:tc>
        <w:tc>
          <w:tcPr>
            <w:tcW w:w="2880" w:type="dxa"/>
          </w:tcPr>
          <w:p w14:paraId="09B3BB9E" w14:textId="77777777" w:rsidR="00A44F8D" w:rsidRDefault="00000000">
            <w:r>
              <w:t>Supporting documents</w:t>
            </w:r>
          </w:p>
        </w:tc>
      </w:tr>
    </w:tbl>
    <w:p w14:paraId="2FEF2BC6" w14:textId="77777777" w:rsidR="00A44F8D" w:rsidRDefault="00000000">
      <w:pPr>
        <w:pStyle w:val="Heading2"/>
      </w:pPr>
      <w:r>
        <w:t>Non-Financial Impact</w:t>
      </w:r>
    </w:p>
    <w:p w14:paraId="056F261F" w14:textId="77777777" w:rsidR="00A44F8D" w:rsidRDefault="00000000">
      <w:r>
        <w:t>Although not every consequence can be compensated financially, the claimant's evidence records a prolonged period of inconvenience, repeated complaint handling, disappointment and loss of the benefit expected from ownership of the caravan. These matters are relevant background to the claim and should be supported by the witness statement.</w:t>
      </w:r>
    </w:p>
    <w:p w14:paraId="141628EA" w14:textId="77777777" w:rsidR="00A44F8D" w:rsidRDefault="00000000">
      <w:pPr>
        <w:pStyle w:val="Heading2"/>
      </w:pPr>
      <w:r>
        <w:t>Interest</w:t>
      </w:r>
    </w:p>
    <w:p w14:paraId="312C4E95" w14:textId="77777777" w:rsidR="00A44F8D" w:rsidRDefault="00000000">
      <w:r>
        <w:t>A final schedule can include any interest claimed where legally recoverable. The calculation should be based on the relevant dates and the legal basis relied upon in the proceedings.</w:t>
      </w:r>
    </w:p>
    <w:p w14:paraId="0BCF7F1A" w14:textId="77777777" w:rsidR="00A44F8D" w:rsidRDefault="00000000">
      <w:pPr>
        <w:pStyle w:val="Heading2"/>
      </w:pPr>
      <w:r>
        <w:t>Supporting Evidence Checklist</w:t>
      </w:r>
    </w:p>
    <w:p w14:paraId="324BBB2C" w14:textId="77777777" w:rsidR="00A44F8D" w:rsidRDefault="00000000">
      <w:pPr>
        <w:pStyle w:val="ListBullet"/>
      </w:pPr>
      <w:r>
        <w:t>Purchase agreement</w:t>
      </w:r>
    </w:p>
    <w:p w14:paraId="1E585FB4" w14:textId="77777777" w:rsidR="00A44F8D" w:rsidRDefault="00000000">
      <w:pPr>
        <w:pStyle w:val="ListBullet"/>
      </w:pPr>
      <w:r>
        <w:t>Finance records (if applicable)</w:t>
      </w:r>
    </w:p>
    <w:p w14:paraId="3F5C3244" w14:textId="77777777" w:rsidR="00A44F8D" w:rsidRDefault="00000000">
      <w:pPr>
        <w:pStyle w:val="ListBullet"/>
      </w:pPr>
      <w:r>
        <w:t>Emails and complaint correspondence</w:t>
      </w:r>
    </w:p>
    <w:p w14:paraId="4F01252E" w14:textId="77777777" w:rsidR="00A44F8D" w:rsidRDefault="00000000">
      <w:pPr>
        <w:pStyle w:val="ListBullet"/>
      </w:pPr>
      <w:r>
        <w:t>Photographs</w:t>
      </w:r>
    </w:p>
    <w:p w14:paraId="79FC44AD" w14:textId="77777777" w:rsidR="00A44F8D" w:rsidRDefault="00000000">
      <w:pPr>
        <w:pStyle w:val="ListBullet"/>
      </w:pPr>
      <w:r>
        <w:t>Snagging schedules</w:t>
      </w:r>
    </w:p>
    <w:p w14:paraId="5DE3A16C" w14:textId="77777777" w:rsidR="00A44F8D" w:rsidRDefault="00000000">
      <w:pPr>
        <w:pStyle w:val="ListBullet"/>
      </w:pPr>
      <w:r>
        <w:t>Subject Access Request documents</w:t>
      </w:r>
    </w:p>
    <w:p w14:paraId="00B4A0C1" w14:textId="77777777" w:rsidR="00A44F8D" w:rsidRDefault="00000000">
      <w:pPr>
        <w:pStyle w:val="ListBullet"/>
      </w:pPr>
      <w:r>
        <w:t>Receipts and invoices</w:t>
      </w:r>
    </w:p>
    <w:p w14:paraId="2C87AA89" w14:textId="77777777" w:rsidR="00A44F8D" w:rsidRDefault="00000000">
      <w:pPr>
        <w:pStyle w:val="ListBullet"/>
      </w:pPr>
      <w:r>
        <w:t>Witness statement</w:t>
      </w:r>
    </w:p>
    <w:p w14:paraId="6BA619DE" w14:textId="77777777" w:rsidR="00A44F8D" w:rsidRDefault="00000000">
      <w:pPr>
        <w:pStyle w:val="Heading2"/>
      </w:pPr>
      <w:r>
        <w:lastRenderedPageBreak/>
        <w:t>Summary</w:t>
      </w:r>
    </w:p>
    <w:p w14:paraId="5E3B45A8" w14:textId="77777777" w:rsidR="00A44F8D" w:rsidRDefault="00000000">
      <w:r>
        <w:t>This schedule is intended to become the financial appendix to the litigation bundle. As evidence is finalised, each item can be quantified and cross-rereferenced to the supporting exhibit.</w:t>
      </w:r>
    </w:p>
    <w:sectPr w:rsidR="00A44F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636127">
    <w:abstractNumId w:val="8"/>
  </w:num>
  <w:num w:numId="2" w16cid:durableId="1637375509">
    <w:abstractNumId w:val="6"/>
  </w:num>
  <w:num w:numId="3" w16cid:durableId="1864662621">
    <w:abstractNumId w:val="5"/>
  </w:num>
  <w:num w:numId="4" w16cid:durableId="747464032">
    <w:abstractNumId w:val="4"/>
  </w:num>
  <w:num w:numId="5" w16cid:durableId="743262716">
    <w:abstractNumId w:val="7"/>
  </w:num>
  <w:num w:numId="6" w16cid:durableId="441265859">
    <w:abstractNumId w:val="3"/>
  </w:num>
  <w:num w:numId="7" w16cid:durableId="1237546026">
    <w:abstractNumId w:val="2"/>
  </w:num>
  <w:num w:numId="8" w16cid:durableId="54092009">
    <w:abstractNumId w:val="1"/>
  </w:num>
  <w:num w:numId="9" w16cid:durableId="11117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407F"/>
    <w:rsid w:val="00A44F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0170"/>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2026-07-02T09:42:00Z</dcterms:created>
  <dcterms:modified xsi:type="dcterms:W3CDTF">2026-07-02T09:42:00Z</dcterms:modified>
  <cp:category/>
</cp:coreProperties>
</file>