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VAUGHAN v HAVEN HOLIDAYS LTD</w:t>
      </w:r>
    </w:p>
    <w:p>
      <w:pPr>
        <w:pStyle w:val="Heading1"/>
      </w:pPr>
      <w:r>
        <w:t>AUTHORITIES &amp; REFERENCE LOG</w:t>
      </w:r>
    </w:p>
    <w:p>
      <w:r>
        <w:t>Version 1 – Working Register</w:t>
        <w:br/>
      </w:r>
    </w:p>
    <w:p>
      <w:r>
        <w:t>Use this register to record legislation, case law, guidance, policies and other reference material that may be relevant to the claim.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Ref</w:t>
            </w:r>
          </w:p>
        </w:tc>
        <w:tc>
          <w:tcPr>
            <w:tcW w:type="dxa" w:w="1728"/>
          </w:tcPr>
          <w:p>
            <w:r>
              <w:t>Authority / Source</w:t>
            </w:r>
          </w:p>
        </w:tc>
        <w:tc>
          <w:tcPr>
            <w:tcW w:type="dxa" w:w="1728"/>
          </w:tcPr>
          <w:p>
            <w:r>
              <w:t>Purpose</w:t>
            </w:r>
          </w:p>
        </w:tc>
        <w:tc>
          <w:tcPr>
            <w:tcW w:type="dxa" w:w="1728"/>
          </w:tcPr>
          <w:p>
            <w:r>
              <w:t>Added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AR1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AR2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AR3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AR4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AR5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AR6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AR7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AR8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AR9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AR10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